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4"/>
        <w:rPr>
          <w:rFonts w:ascii="Times New Roman"/>
          <w:sz w:val="20"/>
        </w:rPr>
      </w:pPr>
    </w:p>
    <w:p>
      <w:pPr>
        <w:pStyle w:val="2"/>
        <w:spacing w:line="795" w:lineRule="exact"/>
        <w:ind w:left="40"/>
      </w:pPr>
      <w:bookmarkStart w:id="0" w:name="中国重汽集团济南地球村电子商务有限公司"/>
      <w:bookmarkEnd w:id="0"/>
      <w:r>
        <w:t>中国重汽集团济南地球村电子商务有限公司</w:t>
      </w:r>
    </w:p>
    <w:p>
      <w:pPr>
        <w:pStyle w:val="10"/>
        <w:spacing w:before="3"/>
        <w:rPr>
          <w:rFonts w:ascii="微软雅黑"/>
          <w:b/>
          <w:sz w:val="48"/>
        </w:rPr>
      </w:pPr>
    </w:p>
    <w:p>
      <w:pPr>
        <w:ind w:left="38"/>
        <w:jc w:val="center"/>
        <w:rPr>
          <w:rFonts w:ascii="微软雅黑" w:eastAsia="微软雅黑"/>
          <w:b/>
          <w:sz w:val="44"/>
        </w:rPr>
      </w:pPr>
      <w:r>
        <w:rPr>
          <w:rFonts w:hint="eastAsia" w:ascii="微软雅黑" w:eastAsia="微软雅黑"/>
          <w:b/>
          <w:sz w:val="44"/>
          <w:lang w:val="en-US"/>
        </w:rPr>
        <w:t>国内停车调件</w:t>
      </w:r>
      <w:r>
        <w:rPr>
          <w:rFonts w:hint="eastAsia" w:ascii="微软雅黑" w:eastAsia="微软雅黑"/>
          <w:b/>
          <w:sz w:val="44"/>
        </w:rPr>
        <w:t>物流运输项目</w:t>
      </w:r>
    </w:p>
    <w:p>
      <w:pPr>
        <w:pStyle w:val="10"/>
        <w:spacing w:before="5"/>
        <w:rPr>
          <w:rFonts w:ascii="微软雅黑"/>
          <w:b/>
          <w:sz w:val="69"/>
        </w:rPr>
      </w:pPr>
    </w:p>
    <w:p>
      <w:pPr>
        <w:spacing w:line="561" w:lineRule="auto"/>
        <w:ind w:left="4752" w:right="4717"/>
        <w:jc w:val="both"/>
        <w:rPr>
          <w:rFonts w:ascii="黑体" w:eastAsia="黑体"/>
          <w:sz w:val="84"/>
        </w:rPr>
      </w:pPr>
      <w:r>
        <w:rPr>
          <w:rFonts w:hint="eastAsia" w:ascii="黑体" w:eastAsia="黑体"/>
          <w:sz w:val="84"/>
        </w:rPr>
        <w:t>招标书</w:t>
      </w:r>
    </w:p>
    <w:p>
      <w:pPr>
        <w:pStyle w:val="4"/>
        <w:spacing w:line="218" w:lineRule="auto"/>
        <w:ind w:left="1401" w:right="1358"/>
        <w:jc w:val="center"/>
      </w:pPr>
      <w:bookmarkStart w:id="1" w:name="招_标_人：中国重汽集团济南地球村电子商务有限公司"/>
      <w:bookmarkEnd w:id="1"/>
      <w:r>
        <w:t>招标人：中国重汽集团济南地球村电子商务有限公司2020年1</w:t>
      </w:r>
      <w:r>
        <w:rPr>
          <w:rFonts w:hint="eastAsia"/>
          <w:lang w:val="en-US" w:eastAsia="zh-CN"/>
        </w:rPr>
        <w:t>2</w:t>
      </w:r>
      <w:r>
        <w:t>月</w:t>
      </w:r>
    </w:p>
    <w:p>
      <w:pPr>
        <w:spacing w:line="218" w:lineRule="auto"/>
        <w:jc w:val="center"/>
        <w:sectPr>
          <w:type w:val="continuous"/>
          <w:pgSz w:w="11910" w:h="16840"/>
          <w:pgMar w:top="1599" w:right="822" w:bottom="1361" w:left="782" w:header="720" w:footer="720" w:gutter="0"/>
          <w:cols w:space="720" w:num="1"/>
        </w:sectPr>
      </w:pPr>
    </w:p>
    <w:p>
      <w:pPr>
        <w:pStyle w:val="10"/>
        <w:spacing w:before="1"/>
        <w:rPr>
          <w:rFonts w:ascii="微软雅黑"/>
        </w:rPr>
      </w:pPr>
    </w:p>
    <w:p>
      <w:pPr>
        <w:tabs>
          <w:tab w:val="left" w:pos="1248"/>
        </w:tabs>
        <w:spacing w:before="32"/>
        <w:ind w:left="43"/>
        <w:jc w:val="center"/>
        <w:rPr>
          <w:b/>
          <w:sz w:val="48"/>
        </w:rPr>
      </w:pPr>
      <w:r>
        <w:rPr>
          <w:b/>
          <w:sz w:val="48"/>
        </w:rPr>
        <w:t>目</w:t>
      </w:r>
      <w:r>
        <w:rPr>
          <w:b/>
          <w:sz w:val="48"/>
        </w:rPr>
        <w:tab/>
      </w:r>
      <w:r>
        <w:rPr>
          <w:b/>
          <w:sz w:val="48"/>
        </w:rPr>
        <w:t>录</w:t>
      </w:r>
      <w:bookmarkStart w:id="2" w:name="第一章招标公告............."/>
      <w:bookmarkEnd w:id="2"/>
    </w:p>
    <w:p>
      <w:pPr>
        <w:tabs>
          <w:tab w:val="left" w:pos="1248"/>
        </w:tabs>
        <w:spacing w:before="32" w:line="360" w:lineRule="auto"/>
        <w:ind w:left="45"/>
      </w:pPr>
    </w:p>
    <w:p>
      <w:pPr>
        <w:tabs>
          <w:tab w:val="left" w:pos="1248"/>
        </w:tabs>
        <w:spacing w:before="32" w:line="360" w:lineRule="auto"/>
        <w:ind w:left="45"/>
        <w:rPr>
          <w:b/>
          <w:spacing w:val="-1"/>
          <w:position w:val="-1"/>
          <w:sz w:val="28"/>
        </w:rPr>
      </w:pPr>
      <w:r>
        <w:fldChar w:fldCharType="begin"/>
      </w:r>
      <w:r>
        <w:instrText xml:space="preserve"> HYPERLINK \l "_bookmark1" </w:instrText>
      </w:r>
      <w:r>
        <w:fldChar w:fldCharType="separate"/>
      </w:r>
      <w:r>
        <w:rPr>
          <w:b/>
          <w:position w:val="-1"/>
          <w:sz w:val="28"/>
        </w:rPr>
        <w:t>第</w:t>
      </w:r>
      <w:r>
        <w:rPr>
          <w:rFonts w:hint="eastAsia"/>
          <w:b/>
          <w:position w:val="-1"/>
          <w:sz w:val="28"/>
        </w:rPr>
        <w:t>一</w:t>
      </w:r>
      <w:r>
        <w:rPr>
          <w:b/>
          <w:position w:val="-1"/>
          <w:sz w:val="28"/>
        </w:rPr>
        <w:t>章</w:t>
      </w:r>
      <w:r>
        <w:rPr>
          <w:b/>
          <w:position w:val="-1"/>
          <w:sz w:val="28"/>
        </w:rPr>
        <w:tab/>
      </w:r>
      <w:r>
        <w:rPr>
          <w:rFonts w:hint="eastAsia"/>
          <w:b/>
          <w:position w:val="-1"/>
          <w:sz w:val="28"/>
        </w:rPr>
        <w:t>招标公告</w:t>
      </w:r>
      <w:r>
        <w:rPr>
          <w:rFonts w:ascii="Times New Roman" w:eastAsia="Times New Roman"/>
          <w:b/>
          <w:spacing w:val="-2"/>
          <w:sz w:val="28"/>
        </w:rPr>
        <w:t>....................................................................................................</w:t>
      </w:r>
      <w:r>
        <w:rPr>
          <w:b/>
          <w:spacing w:val="-1"/>
          <w:position w:val="-1"/>
          <w:sz w:val="28"/>
        </w:rPr>
        <w:t>-2-</w:t>
      </w:r>
      <w:r>
        <w:rPr>
          <w:b/>
          <w:spacing w:val="-1"/>
          <w:position w:val="-1"/>
          <w:sz w:val="28"/>
        </w:rPr>
        <w:fldChar w:fldCharType="end"/>
      </w:r>
    </w:p>
    <w:p>
      <w:pPr>
        <w:tabs>
          <w:tab w:val="left" w:pos="1248"/>
        </w:tabs>
        <w:spacing w:before="32" w:line="360" w:lineRule="auto"/>
        <w:ind w:left="45"/>
        <w:rPr>
          <w:b/>
          <w:spacing w:val="-1"/>
          <w:position w:val="-1"/>
          <w:sz w:val="28"/>
        </w:rPr>
      </w:pPr>
      <w:r>
        <w:fldChar w:fldCharType="begin"/>
      </w:r>
      <w:r>
        <w:instrText xml:space="preserve"> HYPERLINK \l "_bookmark1" </w:instrText>
      </w:r>
      <w:r>
        <w:fldChar w:fldCharType="separate"/>
      </w:r>
      <w:r>
        <w:rPr>
          <w:b/>
          <w:position w:val="-1"/>
          <w:sz w:val="28"/>
        </w:rPr>
        <w:t>第二章</w:t>
      </w:r>
      <w:r>
        <w:rPr>
          <w:b/>
          <w:position w:val="-1"/>
          <w:sz w:val="28"/>
        </w:rPr>
        <w:tab/>
      </w:r>
      <w:r>
        <w:rPr>
          <w:b/>
          <w:spacing w:val="-2"/>
          <w:position w:val="-1"/>
          <w:sz w:val="28"/>
        </w:rPr>
        <w:t>投标文件编</w:t>
      </w:r>
      <w:r>
        <w:rPr>
          <w:b/>
          <w:spacing w:val="-3"/>
          <w:position w:val="-1"/>
          <w:sz w:val="28"/>
        </w:rPr>
        <w:t>制</w:t>
      </w:r>
      <w:bookmarkStart w:id="3" w:name="_Hlk48720144"/>
      <w:r>
        <w:rPr>
          <w:rFonts w:ascii="Times New Roman" w:eastAsia="Times New Roman"/>
          <w:b/>
          <w:spacing w:val="-2"/>
          <w:sz w:val="28"/>
        </w:rPr>
        <w:t>..</w:t>
      </w:r>
      <w:bookmarkStart w:id="4" w:name="_Hlk48719988"/>
      <w:r>
        <w:rPr>
          <w:rFonts w:ascii="Times New Roman" w:eastAsia="Times New Roman"/>
          <w:b/>
          <w:spacing w:val="-2"/>
          <w:sz w:val="28"/>
        </w:rPr>
        <w:t>.........</w:t>
      </w:r>
      <w:bookmarkStart w:id="5" w:name="_Hlk48720270"/>
      <w:r>
        <w:rPr>
          <w:rFonts w:ascii="Times New Roman" w:eastAsia="Times New Roman"/>
          <w:b/>
          <w:spacing w:val="-2"/>
          <w:sz w:val="28"/>
        </w:rPr>
        <w:t>........................................</w:t>
      </w:r>
      <w:bookmarkEnd w:id="3"/>
      <w:r>
        <w:rPr>
          <w:rFonts w:ascii="Times New Roman" w:eastAsia="Times New Roman"/>
          <w:b/>
          <w:spacing w:val="-2"/>
          <w:sz w:val="28"/>
        </w:rPr>
        <w:t>.....................................</w:t>
      </w:r>
      <w:bookmarkEnd w:id="4"/>
      <w:r>
        <w:rPr>
          <w:rFonts w:ascii="Times New Roman" w:eastAsia="Times New Roman"/>
          <w:b/>
          <w:spacing w:val="-2"/>
          <w:sz w:val="28"/>
        </w:rPr>
        <w:t>...</w:t>
      </w:r>
      <w:bookmarkEnd w:id="5"/>
      <w:r>
        <w:rPr>
          <w:rFonts w:ascii="Times New Roman" w:eastAsia="Times New Roman"/>
          <w:b/>
          <w:spacing w:val="-2"/>
          <w:sz w:val="28"/>
        </w:rPr>
        <w:t>.</w:t>
      </w:r>
      <w:r>
        <w:rPr>
          <w:b/>
          <w:spacing w:val="-1"/>
          <w:position w:val="-1"/>
          <w:sz w:val="28"/>
        </w:rPr>
        <w:t>-10-</w:t>
      </w:r>
      <w:r>
        <w:rPr>
          <w:b/>
          <w:spacing w:val="-1"/>
          <w:position w:val="-1"/>
          <w:sz w:val="28"/>
        </w:rPr>
        <w:fldChar w:fldCharType="end"/>
      </w:r>
    </w:p>
    <w:p>
      <w:pPr>
        <w:tabs>
          <w:tab w:val="left" w:pos="1248"/>
        </w:tabs>
        <w:spacing w:before="32" w:line="360" w:lineRule="auto"/>
        <w:ind w:left="45"/>
        <w:rPr>
          <w:b/>
          <w:sz w:val="28"/>
        </w:rPr>
      </w:pPr>
      <w:r>
        <w:fldChar w:fldCharType="begin"/>
      </w:r>
      <w:r>
        <w:instrText xml:space="preserve"> HYPERLINK \l "_bookmark2" </w:instrText>
      </w:r>
      <w:r>
        <w:fldChar w:fldCharType="separate"/>
      </w:r>
      <w:r>
        <w:rPr>
          <w:b/>
          <w:sz w:val="28"/>
        </w:rPr>
        <w:t>第三章</w:t>
      </w:r>
      <w:r>
        <w:rPr>
          <w:b/>
          <w:sz w:val="28"/>
        </w:rPr>
        <w:tab/>
      </w:r>
      <w:r>
        <w:rPr>
          <w:b/>
          <w:spacing w:val="-3"/>
          <w:sz w:val="28"/>
        </w:rPr>
        <w:t>技</w:t>
      </w:r>
      <w:r>
        <w:rPr>
          <w:b/>
          <w:sz w:val="28"/>
        </w:rPr>
        <w:t>术</w:t>
      </w:r>
      <w:r>
        <w:rPr>
          <w:b/>
          <w:spacing w:val="-3"/>
          <w:sz w:val="28"/>
        </w:rPr>
        <w:t>协议书</w:t>
      </w:r>
      <w:r>
        <w:rPr>
          <w:rFonts w:ascii="Times New Roman" w:eastAsia="Times New Roman"/>
          <w:b/>
          <w:spacing w:val="-3"/>
          <w:position w:val="1"/>
          <w:sz w:val="28"/>
        </w:rPr>
        <w:t>...........</w:t>
      </w:r>
      <w:bookmarkStart w:id="6" w:name="_Hlk48720214"/>
      <w:r>
        <w:rPr>
          <w:rFonts w:ascii="Times New Roman" w:eastAsia="Times New Roman"/>
          <w:b/>
          <w:spacing w:val="-3"/>
          <w:position w:val="1"/>
          <w:sz w:val="28"/>
        </w:rPr>
        <w:t>...........................................................</w:t>
      </w:r>
      <w:bookmarkEnd w:id="6"/>
      <w:r>
        <w:rPr>
          <w:rFonts w:ascii="Times New Roman" w:eastAsia="Times New Roman"/>
          <w:b/>
          <w:spacing w:val="-3"/>
          <w:position w:val="1"/>
          <w:sz w:val="28"/>
        </w:rPr>
        <w:t>...........................</w:t>
      </w:r>
      <w:r>
        <w:rPr>
          <w:rFonts w:ascii="Times New Roman" w:eastAsia="Times New Roman"/>
          <w:b/>
          <w:spacing w:val="-3"/>
          <w:position w:val="1"/>
          <w:sz w:val="28"/>
        </w:rPr>
        <w:fldChar w:fldCharType="end"/>
      </w:r>
      <w:r>
        <w:rPr>
          <w:b/>
          <w:sz w:val="28"/>
        </w:rPr>
        <w:t>-</w:t>
      </w:r>
      <w:r>
        <w:rPr>
          <w:rFonts w:hint="eastAsia"/>
          <w:b/>
          <w:sz w:val="28"/>
          <w:lang w:val="en-US" w:eastAsia="zh-CN"/>
        </w:rPr>
        <w:t>30</w:t>
      </w:r>
      <w:r>
        <w:rPr>
          <w:b/>
          <w:sz w:val="28"/>
        </w:rPr>
        <w:t>-</w:t>
      </w:r>
    </w:p>
    <w:p>
      <w:pPr>
        <w:jc w:val="center"/>
        <w:rPr>
          <w:sz w:val="28"/>
        </w:rPr>
        <w:sectPr>
          <w:headerReference r:id="rId3" w:type="default"/>
          <w:footerReference r:id="rId4" w:type="default"/>
          <w:pgSz w:w="11910" w:h="16840"/>
          <w:pgMar w:top="1242" w:right="1021" w:bottom="1162" w:left="1021" w:header="505" w:footer="975" w:gutter="0"/>
          <w:pgNumType w:start="1"/>
          <w:cols w:space="720" w:num="1"/>
        </w:sectPr>
      </w:pPr>
    </w:p>
    <w:p>
      <w:pPr>
        <w:tabs>
          <w:tab w:val="left" w:pos="1812"/>
        </w:tabs>
        <w:spacing w:before="38"/>
        <w:ind w:left="45"/>
        <w:jc w:val="center"/>
        <w:rPr>
          <w:b/>
          <w:sz w:val="44"/>
        </w:rPr>
      </w:pPr>
      <w:bookmarkStart w:id="7" w:name="_bookmark0"/>
      <w:bookmarkEnd w:id="7"/>
      <w:r>
        <w:rPr>
          <w:b/>
          <w:sz w:val="44"/>
        </w:rPr>
        <w:t>第一章</w:t>
      </w:r>
      <w:r>
        <w:rPr>
          <w:b/>
          <w:sz w:val="44"/>
        </w:rPr>
        <w:tab/>
      </w:r>
      <w:r>
        <w:rPr>
          <w:b/>
          <w:sz w:val="44"/>
        </w:rPr>
        <w:t>招标公告</w:t>
      </w:r>
    </w:p>
    <w:p>
      <w:pPr>
        <w:spacing w:before="1" w:line="360" w:lineRule="auto"/>
        <w:ind w:left="638"/>
        <w:rPr>
          <w:rFonts w:ascii="黑体" w:eastAsia="黑体"/>
          <w:b/>
          <w:sz w:val="32"/>
        </w:rPr>
      </w:pPr>
      <w:r>
        <w:rPr>
          <w:rFonts w:hint="eastAsia" w:ascii="黑体" w:eastAsia="黑体"/>
          <w:b/>
          <w:sz w:val="32"/>
        </w:rPr>
        <w:t>一、项目名称</w:t>
      </w:r>
    </w:p>
    <w:p>
      <w:pPr>
        <w:pStyle w:val="10"/>
        <w:spacing w:before="112" w:line="360" w:lineRule="auto"/>
        <w:ind w:left="1058"/>
        <w:rPr>
          <w:sz w:val="21"/>
          <w:szCs w:val="21"/>
        </w:rPr>
      </w:pPr>
      <w:r>
        <w:t>项目名称：电子商务公司</w:t>
      </w:r>
      <w:r>
        <w:rPr>
          <w:rFonts w:hint="eastAsia"/>
          <w:lang w:val="en-US"/>
        </w:rPr>
        <w:t>国内停车</w:t>
      </w:r>
      <w:r>
        <w:rPr>
          <w:rFonts w:hint="eastAsia"/>
          <w:sz w:val="21"/>
          <w:szCs w:val="21"/>
          <w:lang w:val="en-US"/>
        </w:rPr>
        <w:t>调件物流运输</w:t>
      </w:r>
      <w:r>
        <w:rPr>
          <w:rFonts w:hint="eastAsia"/>
          <w:sz w:val="21"/>
          <w:szCs w:val="21"/>
        </w:rPr>
        <w:t>项目</w:t>
      </w:r>
      <w:r>
        <w:rPr>
          <w:rFonts w:hint="eastAsia"/>
          <w:sz w:val="21"/>
          <w:szCs w:val="21"/>
          <w:lang w:eastAsia="zh-CN"/>
        </w:rPr>
        <w:t>（</w:t>
      </w:r>
      <w:r>
        <w:rPr>
          <w:rFonts w:hint="eastAsia"/>
          <w:color w:val="000000"/>
          <w:sz w:val="21"/>
          <w:szCs w:val="21"/>
          <w:lang w:val="en-US"/>
        </w:rPr>
        <w:t>跨区域调件</w:t>
      </w:r>
      <w:r>
        <w:rPr>
          <w:rFonts w:hint="eastAsia"/>
          <w:sz w:val="21"/>
          <w:szCs w:val="21"/>
          <w:lang w:eastAsia="zh-CN"/>
        </w:rPr>
        <w:t>）</w:t>
      </w:r>
      <w:r>
        <w:rPr>
          <w:sz w:val="21"/>
          <w:szCs w:val="21"/>
        </w:rPr>
        <w:t>。</w:t>
      </w:r>
    </w:p>
    <w:p>
      <w:pPr>
        <w:spacing w:line="360" w:lineRule="auto"/>
        <w:ind w:left="638"/>
        <w:rPr>
          <w:rFonts w:ascii="黑体" w:eastAsia="黑体"/>
          <w:b/>
          <w:sz w:val="32"/>
        </w:rPr>
      </w:pPr>
      <w:r>
        <w:rPr>
          <w:rFonts w:hint="eastAsia" w:ascii="黑体" w:eastAsia="黑体"/>
          <w:b/>
          <w:sz w:val="32"/>
        </w:rPr>
        <w:t>二、招标内容</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818" w:leftChars="372" w:right="2284" w:rightChars="1038" w:firstLine="1050" w:firstLineChars="500"/>
        <w:jc w:val="both"/>
        <w:textAlignment w:val="auto"/>
        <w:rPr>
          <w:rFonts w:hint="eastAsia" w:eastAsia="宋体"/>
          <w:lang w:eastAsia="zh-CN"/>
        </w:rPr>
      </w:pPr>
      <w:r>
        <w:t>招标内容：一标段：详见后附清单</w:t>
      </w:r>
      <w:r>
        <w:rPr>
          <w:rFonts w:hint="eastAsia"/>
          <w:lang w:eastAsia="zh-CN"/>
        </w:rPr>
        <w:t>；</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818" w:leftChars="372" w:right="2284" w:rightChars="1038" w:firstLine="2100" w:firstLineChars="1000"/>
        <w:jc w:val="both"/>
        <w:textAlignment w:val="auto"/>
        <w:rPr>
          <w:rFonts w:hint="eastAsia" w:eastAsia="宋体"/>
          <w:lang w:val="en-US" w:eastAsia="zh-CN"/>
        </w:rPr>
      </w:pPr>
      <w:r>
        <w:t>二标段：详见后附清单</w:t>
      </w:r>
      <w:r>
        <w:rPr>
          <w:rFonts w:hint="eastAsia"/>
          <w:lang w:val="en-US" w:eastAsia="zh-CN"/>
        </w:rPr>
        <w:t>。</w:t>
      </w:r>
    </w:p>
    <w:p>
      <w:pPr>
        <w:pStyle w:val="3"/>
        <w:spacing w:line="360" w:lineRule="auto"/>
      </w:pPr>
      <w:bookmarkStart w:id="8" w:name="三、招标形式"/>
      <w:bookmarkEnd w:id="8"/>
      <w:r>
        <w:t>三、招标形式</w:t>
      </w:r>
    </w:p>
    <w:p>
      <w:pPr>
        <w:pStyle w:val="10"/>
        <w:spacing w:before="99" w:line="360" w:lineRule="auto"/>
        <w:ind w:left="1058"/>
        <w:rPr>
          <w:sz w:val="14"/>
        </w:rPr>
      </w:pPr>
      <w:r>
        <w:t>招标形式：公开招标。</w:t>
      </w:r>
    </w:p>
    <w:p>
      <w:pPr>
        <w:pStyle w:val="3"/>
        <w:spacing w:line="360" w:lineRule="auto"/>
      </w:pPr>
      <w:bookmarkStart w:id="9" w:name="四、议程安排"/>
      <w:bookmarkEnd w:id="9"/>
      <w:r>
        <w:t>四、议程安排</w:t>
      </w:r>
    </w:p>
    <w:p>
      <w:pPr>
        <w:tabs>
          <w:tab w:val="left" w:pos="1270"/>
        </w:tabs>
        <w:spacing w:before="1" w:line="360" w:lineRule="auto"/>
        <w:ind w:firstLine="630" w:firstLineChars="300"/>
        <w:rPr>
          <w:sz w:val="21"/>
          <w:szCs w:val="21"/>
        </w:rPr>
      </w:pPr>
      <w:r>
        <w:rPr>
          <w:rFonts w:hint="eastAsia"/>
          <w:sz w:val="21"/>
          <w:szCs w:val="21"/>
        </w:rPr>
        <w:t>1</w:t>
      </w:r>
      <w:r>
        <w:rPr>
          <w:sz w:val="21"/>
          <w:szCs w:val="21"/>
        </w:rPr>
        <w:t>.公告时间：</w:t>
      </w:r>
      <w:r>
        <w:rPr>
          <w:color w:val="FF0000"/>
          <w:sz w:val="21"/>
          <w:szCs w:val="21"/>
        </w:rPr>
        <w:t>2020年</w:t>
      </w:r>
      <w:r>
        <w:rPr>
          <w:rFonts w:hint="eastAsia"/>
          <w:color w:val="FF0000"/>
          <w:sz w:val="21"/>
          <w:szCs w:val="21"/>
          <w:lang w:val="en-US" w:eastAsia="zh-CN"/>
        </w:rPr>
        <w:t>12</w:t>
      </w:r>
      <w:r>
        <w:rPr>
          <w:color w:val="FF0000"/>
          <w:sz w:val="21"/>
          <w:szCs w:val="21"/>
        </w:rPr>
        <w:t>月</w:t>
      </w:r>
      <w:r>
        <w:rPr>
          <w:rFonts w:hint="eastAsia"/>
          <w:color w:val="FF0000"/>
          <w:sz w:val="21"/>
          <w:szCs w:val="21"/>
          <w:lang w:val="en-US" w:eastAsia="zh-CN"/>
        </w:rPr>
        <w:t>12</w:t>
      </w:r>
      <w:r>
        <w:rPr>
          <w:color w:val="FF0000"/>
          <w:sz w:val="21"/>
          <w:szCs w:val="21"/>
        </w:rPr>
        <w:t>日。</w:t>
      </w:r>
    </w:p>
    <w:p>
      <w:pPr>
        <w:tabs>
          <w:tab w:val="left" w:pos="1270"/>
        </w:tabs>
        <w:spacing w:before="11" w:line="360" w:lineRule="auto"/>
        <w:ind w:firstLine="630" w:firstLineChars="300"/>
        <w:rPr>
          <w:sz w:val="21"/>
          <w:szCs w:val="21"/>
        </w:rPr>
      </w:pPr>
      <w:r>
        <w:rPr>
          <w:rFonts w:hint="eastAsia"/>
          <w:sz w:val="21"/>
          <w:szCs w:val="21"/>
        </w:rPr>
        <w:t>2</w:t>
      </w:r>
      <w:r>
        <w:rPr>
          <w:sz w:val="21"/>
          <w:szCs w:val="21"/>
        </w:rPr>
        <w:t>.报名截止时间：</w:t>
      </w:r>
      <w:r>
        <w:rPr>
          <w:color w:val="FF0000"/>
          <w:sz w:val="21"/>
          <w:szCs w:val="21"/>
        </w:rPr>
        <w:t>2020年</w:t>
      </w:r>
      <w:r>
        <w:rPr>
          <w:color w:val="FF0000"/>
          <w:sz w:val="21"/>
          <w:szCs w:val="21"/>
          <w:lang w:val="en-US"/>
        </w:rPr>
        <w:t>12</w:t>
      </w:r>
      <w:r>
        <w:rPr>
          <w:color w:val="FF0000"/>
          <w:sz w:val="21"/>
          <w:szCs w:val="21"/>
        </w:rPr>
        <w:t>月</w:t>
      </w:r>
      <w:r>
        <w:rPr>
          <w:rFonts w:hint="eastAsia"/>
          <w:color w:val="FF0000"/>
          <w:sz w:val="21"/>
          <w:szCs w:val="21"/>
          <w:lang w:val="en-US" w:eastAsia="zh-CN"/>
        </w:rPr>
        <w:t>23</w:t>
      </w:r>
      <w:r>
        <w:rPr>
          <w:color w:val="FF0000"/>
          <w:sz w:val="21"/>
          <w:szCs w:val="21"/>
        </w:rPr>
        <w:t>日下午17点前（书面、邮箱）</w:t>
      </w:r>
      <w:r>
        <w:rPr>
          <w:sz w:val="21"/>
          <w:szCs w:val="21"/>
        </w:rPr>
        <w:t>。</w:t>
      </w:r>
    </w:p>
    <w:p>
      <w:pPr>
        <w:tabs>
          <w:tab w:val="left" w:pos="1270"/>
        </w:tabs>
        <w:spacing w:line="360" w:lineRule="auto"/>
        <w:ind w:left="837" w:leftChars="285" w:right="4965" w:hanging="210" w:hangingChars="100"/>
        <w:rPr>
          <w:rFonts w:hint="default"/>
          <w:color w:val="FF0000"/>
          <w:sz w:val="21"/>
          <w:szCs w:val="21"/>
          <w:lang w:val="en-US" w:eastAsia="zh-CN"/>
        </w:rPr>
      </w:pPr>
      <w:r>
        <w:rPr>
          <w:rFonts w:hint="eastAsia"/>
          <w:sz w:val="21"/>
          <w:szCs w:val="21"/>
        </w:rPr>
        <w:t>3</w:t>
      </w:r>
      <w:r>
        <w:rPr>
          <w:sz w:val="21"/>
          <w:szCs w:val="21"/>
        </w:rPr>
        <w:t>.答疑时间：</w:t>
      </w:r>
      <w:r>
        <w:rPr>
          <w:color w:val="FF0000"/>
          <w:sz w:val="21"/>
          <w:szCs w:val="21"/>
        </w:rPr>
        <w:t>截止至2020年</w:t>
      </w:r>
      <w:r>
        <w:rPr>
          <w:color w:val="FF0000"/>
          <w:sz w:val="21"/>
          <w:szCs w:val="21"/>
          <w:lang w:val="en-US"/>
        </w:rPr>
        <w:t>12</w:t>
      </w:r>
      <w:r>
        <w:rPr>
          <w:color w:val="FF0000"/>
          <w:sz w:val="21"/>
          <w:szCs w:val="21"/>
        </w:rPr>
        <w:t>月</w:t>
      </w:r>
      <w:r>
        <w:rPr>
          <w:rFonts w:hint="eastAsia"/>
          <w:color w:val="FF0000"/>
          <w:sz w:val="21"/>
          <w:szCs w:val="21"/>
          <w:lang w:val="en-US" w:eastAsia="zh-CN"/>
        </w:rPr>
        <w:t>23</w:t>
      </w:r>
      <w:r>
        <w:rPr>
          <w:color w:val="FF0000"/>
          <w:sz w:val="21"/>
          <w:szCs w:val="21"/>
        </w:rPr>
        <w:t>日下午17点前</w:t>
      </w:r>
      <w:r>
        <w:rPr>
          <w:rFonts w:hint="eastAsia"/>
          <w:color w:val="FF0000"/>
          <w:sz w:val="21"/>
          <w:szCs w:val="21"/>
          <w:lang w:val="en-US" w:eastAsia="zh-CN"/>
        </w:rPr>
        <w:t xml:space="preserve"> 。</w:t>
      </w:r>
    </w:p>
    <w:p>
      <w:pPr>
        <w:tabs>
          <w:tab w:val="left" w:pos="1270"/>
        </w:tabs>
        <w:spacing w:line="360" w:lineRule="auto"/>
        <w:ind w:left="837" w:leftChars="285" w:right="4965" w:hanging="210" w:hangingChars="100"/>
        <w:rPr>
          <w:sz w:val="21"/>
          <w:szCs w:val="21"/>
        </w:rPr>
      </w:pPr>
      <w:r>
        <w:rPr>
          <w:sz w:val="21"/>
          <w:szCs w:val="21"/>
        </w:rPr>
        <w:t>答疑方式：</w:t>
      </w:r>
      <w:r>
        <w:rPr>
          <w:rFonts w:hint="eastAsia"/>
          <w:sz w:val="21"/>
          <w:szCs w:val="21"/>
          <w:lang w:val="en-US" w:eastAsia="zh-CN"/>
        </w:rPr>
        <w:t>书面</w:t>
      </w:r>
      <w:r>
        <w:rPr>
          <w:sz w:val="21"/>
          <w:szCs w:val="21"/>
        </w:rPr>
        <w:t>答疑。</w:t>
      </w:r>
    </w:p>
    <w:p>
      <w:pPr>
        <w:pStyle w:val="10"/>
        <w:spacing w:line="360" w:lineRule="auto"/>
        <w:ind w:right="3235" w:firstLine="630" w:firstLineChars="300"/>
      </w:pPr>
      <w:r>
        <w:t>答疑地点：济南市章丘区世纪大道777</w:t>
      </w:r>
      <w:r>
        <w:rPr>
          <w:rFonts w:hint="eastAsia"/>
          <w:lang w:val="en-US" w:eastAsia="zh-CN"/>
        </w:rPr>
        <w:t>7</w:t>
      </w:r>
      <w:r>
        <w:t>号电子商务公司312会议室</w:t>
      </w:r>
    </w:p>
    <w:p>
      <w:pPr>
        <w:pStyle w:val="10"/>
        <w:spacing w:line="360" w:lineRule="auto"/>
        <w:ind w:right="3235" w:firstLine="630" w:firstLineChars="300"/>
        <w:rPr>
          <w:rFonts w:hint="default" w:eastAsia="宋体"/>
          <w:lang w:val="en-US" w:eastAsia="zh-CN"/>
        </w:rPr>
      </w:pPr>
      <w:r>
        <w:t>答疑联系人：</w:t>
      </w:r>
      <w:r>
        <w:rPr>
          <w:rFonts w:hint="eastAsia"/>
          <w:lang w:val="en-US" w:eastAsia="zh-CN"/>
        </w:rPr>
        <w:t>王燕  13515419616</w:t>
      </w:r>
    </w:p>
    <w:p>
      <w:pPr>
        <w:tabs>
          <w:tab w:val="left" w:pos="1270"/>
        </w:tabs>
        <w:spacing w:before="4" w:line="360" w:lineRule="auto"/>
        <w:ind w:firstLine="630" w:firstLineChars="300"/>
        <w:rPr>
          <w:sz w:val="21"/>
          <w:szCs w:val="21"/>
        </w:rPr>
      </w:pPr>
      <w:r>
        <w:rPr>
          <w:rFonts w:hint="eastAsia"/>
          <w:sz w:val="21"/>
          <w:szCs w:val="21"/>
        </w:rPr>
        <w:t>4</w:t>
      </w:r>
      <w:r>
        <w:rPr>
          <w:sz w:val="21"/>
          <w:szCs w:val="21"/>
        </w:rPr>
        <w:t>.开标时间：</w:t>
      </w:r>
      <w:r>
        <w:rPr>
          <w:color w:val="FF0000"/>
          <w:sz w:val="21"/>
          <w:szCs w:val="21"/>
        </w:rPr>
        <w:t>2020年</w:t>
      </w:r>
      <w:r>
        <w:rPr>
          <w:rFonts w:hint="eastAsia"/>
          <w:color w:val="FF0000"/>
          <w:sz w:val="21"/>
          <w:szCs w:val="21"/>
          <w:lang w:val="en-US" w:eastAsia="zh-CN"/>
        </w:rPr>
        <w:t>12</w:t>
      </w:r>
      <w:r>
        <w:rPr>
          <w:color w:val="FF0000"/>
          <w:sz w:val="21"/>
          <w:szCs w:val="21"/>
        </w:rPr>
        <w:t>月</w:t>
      </w:r>
      <w:r>
        <w:rPr>
          <w:rFonts w:hint="eastAsia"/>
          <w:color w:val="FF0000"/>
          <w:sz w:val="21"/>
          <w:szCs w:val="21"/>
          <w:lang w:val="en-US" w:eastAsia="zh-CN"/>
        </w:rPr>
        <w:t>25</w:t>
      </w:r>
      <w:r>
        <w:rPr>
          <w:color w:val="FF0000"/>
          <w:sz w:val="21"/>
          <w:szCs w:val="21"/>
        </w:rPr>
        <w:t>日上午9时（若有变动另行通知）</w:t>
      </w:r>
      <w:r>
        <w:rPr>
          <w:sz w:val="21"/>
          <w:szCs w:val="21"/>
        </w:rPr>
        <w:t>。</w:t>
      </w:r>
    </w:p>
    <w:p>
      <w:pPr>
        <w:tabs>
          <w:tab w:val="left" w:pos="1270"/>
        </w:tabs>
        <w:spacing w:before="12" w:line="360" w:lineRule="auto"/>
        <w:ind w:firstLine="630" w:firstLineChars="300"/>
        <w:rPr>
          <w:sz w:val="21"/>
          <w:szCs w:val="21"/>
        </w:rPr>
      </w:pPr>
      <w:r>
        <w:rPr>
          <w:rFonts w:hint="eastAsia"/>
          <w:sz w:val="21"/>
          <w:szCs w:val="21"/>
        </w:rPr>
        <w:t>5</w:t>
      </w:r>
      <w:r>
        <w:rPr>
          <w:sz w:val="21"/>
          <w:szCs w:val="21"/>
        </w:rPr>
        <w:t>.投标地点：济南市章丘区世纪大道777</w:t>
      </w:r>
      <w:r>
        <w:rPr>
          <w:rFonts w:hint="eastAsia"/>
          <w:sz w:val="21"/>
          <w:szCs w:val="21"/>
          <w:lang w:val="en-US" w:eastAsia="zh-CN"/>
        </w:rPr>
        <w:t>7</w:t>
      </w:r>
      <w:r>
        <w:rPr>
          <w:sz w:val="21"/>
          <w:szCs w:val="21"/>
        </w:rPr>
        <w:t>号电子商务公司</w:t>
      </w:r>
      <w:bookmarkStart w:id="10" w:name="_Hlk48725926"/>
      <w:r>
        <w:rPr>
          <w:rFonts w:hint="eastAsia"/>
          <w:sz w:val="21"/>
          <w:szCs w:val="21"/>
        </w:rPr>
        <w:t>3</w:t>
      </w:r>
      <w:r>
        <w:rPr>
          <w:sz w:val="21"/>
          <w:szCs w:val="21"/>
        </w:rPr>
        <w:t>12</w:t>
      </w:r>
      <w:bookmarkEnd w:id="10"/>
      <w:r>
        <w:rPr>
          <w:sz w:val="21"/>
          <w:szCs w:val="21"/>
        </w:rPr>
        <w:t>会议室</w:t>
      </w:r>
    </w:p>
    <w:p>
      <w:pPr>
        <w:tabs>
          <w:tab w:val="left" w:pos="1270"/>
        </w:tabs>
        <w:spacing w:before="1" w:line="360" w:lineRule="auto"/>
        <w:ind w:firstLine="630" w:firstLineChars="300"/>
        <w:rPr>
          <w:sz w:val="21"/>
          <w:szCs w:val="21"/>
        </w:rPr>
      </w:pPr>
      <w:r>
        <w:rPr>
          <w:rFonts w:hint="eastAsia"/>
          <w:sz w:val="21"/>
          <w:szCs w:val="21"/>
        </w:rPr>
        <w:t>6</w:t>
      </w:r>
      <w:r>
        <w:rPr>
          <w:sz w:val="21"/>
          <w:szCs w:val="21"/>
        </w:rPr>
        <w:t>.投标文件递交：于开标当日在投标地点现场递交。</w:t>
      </w:r>
    </w:p>
    <w:p>
      <w:pPr>
        <w:tabs>
          <w:tab w:val="left" w:pos="1270"/>
        </w:tabs>
        <w:spacing w:before="1" w:line="360" w:lineRule="auto"/>
        <w:ind w:firstLine="630" w:firstLineChars="300"/>
        <w:rPr>
          <w:rFonts w:hint="eastAsia" w:eastAsia="宋体"/>
          <w:sz w:val="21"/>
          <w:szCs w:val="21"/>
          <w:lang w:val="en-US" w:eastAsia="zh-CN"/>
        </w:rPr>
      </w:pPr>
      <w:r>
        <w:rPr>
          <w:rFonts w:hint="eastAsia"/>
          <w:sz w:val="21"/>
          <w:szCs w:val="21"/>
        </w:rPr>
        <w:t>7</w:t>
      </w:r>
      <w:r>
        <w:rPr>
          <w:sz w:val="21"/>
          <w:szCs w:val="21"/>
        </w:rPr>
        <w:t xml:space="preserve">.报名及商务事宜联系人： </w:t>
      </w:r>
      <w:r>
        <w:rPr>
          <w:rFonts w:hint="eastAsia"/>
          <w:sz w:val="21"/>
          <w:szCs w:val="21"/>
          <w:lang w:val="en-US" w:eastAsia="zh-CN"/>
        </w:rPr>
        <w:t>徐吉华</w:t>
      </w:r>
    </w:p>
    <w:p>
      <w:pPr>
        <w:tabs>
          <w:tab w:val="left" w:pos="1270"/>
        </w:tabs>
        <w:spacing w:line="360" w:lineRule="auto"/>
        <w:ind w:right="6739" w:firstLine="630" w:firstLineChars="300"/>
        <w:rPr>
          <w:rFonts w:hint="default" w:eastAsia="宋体"/>
          <w:sz w:val="21"/>
          <w:szCs w:val="21"/>
          <w:lang w:val="en-US" w:eastAsia="zh-CN"/>
        </w:rPr>
      </w:pPr>
      <w:r>
        <w:rPr>
          <w:sz w:val="21"/>
          <w:szCs w:val="21"/>
        </w:rPr>
        <w:t>联系电话：</w:t>
      </w:r>
      <w:r>
        <w:rPr>
          <w:rFonts w:hint="eastAsia"/>
          <w:sz w:val="21"/>
          <w:szCs w:val="21"/>
          <w:lang w:val="en-US" w:eastAsia="zh-CN"/>
        </w:rPr>
        <w:t>15953177257</w:t>
      </w:r>
    </w:p>
    <w:p>
      <w:pPr>
        <w:tabs>
          <w:tab w:val="left" w:pos="1270"/>
        </w:tabs>
        <w:spacing w:line="360" w:lineRule="auto"/>
        <w:ind w:right="6739" w:firstLine="660" w:firstLineChars="300"/>
        <w:rPr>
          <w:rFonts w:hint="default" w:eastAsia="宋体"/>
          <w:lang w:val="en-US" w:eastAsia="zh-CN"/>
        </w:rPr>
      </w:pPr>
      <w:r>
        <w:t xml:space="preserve">邮箱： </w:t>
      </w:r>
      <w:r>
        <w:rPr>
          <w:rFonts w:hint="eastAsia"/>
          <w:sz w:val="21"/>
          <w:szCs w:val="21"/>
          <w:lang w:val="en-US" w:eastAsia="zh-CN"/>
        </w:rPr>
        <w:t>15953177257@163.com</w:t>
      </w:r>
    </w:p>
    <w:p>
      <w:pPr>
        <w:pStyle w:val="3"/>
        <w:spacing w:line="360" w:lineRule="auto"/>
      </w:pPr>
      <w:bookmarkStart w:id="11" w:name="五、获取招标文件"/>
      <w:bookmarkEnd w:id="11"/>
      <w:r>
        <w:t>五、获取招标文件</w:t>
      </w:r>
    </w:p>
    <w:p>
      <w:pPr>
        <w:pStyle w:val="10"/>
        <w:spacing w:before="110" w:line="360" w:lineRule="auto"/>
        <w:ind w:left="1044"/>
        <w:jc w:val="both"/>
        <w:rPr>
          <w:color w:val="FF0000"/>
        </w:rPr>
      </w:pPr>
      <w:r>
        <w:t>1.时间：</w:t>
      </w:r>
      <w:r>
        <w:rPr>
          <w:color w:val="FF0000"/>
        </w:rPr>
        <w:t>2020年</w:t>
      </w:r>
      <w:r>
        <w:rPr>
          <w:rFonts w:hint="eastAsia"/>
          <w:color w:val="FF0000"/>
          <w:lang w:val="en-US" w:eastAsia="zh-CN"/>
        </w:rPr>
        <w:t>12</w:t>
      </w:r>
      <w:r>
        <w:rPr>
          <w:color w:val="FF0000"/>
        </w:rPr>
        <w:t>月</w:t>
      </w:r>
      <w:r>
        <w:rPr>
          <w:rFonts w:hint="eastAsia"/>
          <w:color w:val="FF0000"/>
          <w:lang w:val="en-US" w:eastAsia="zh-CN"/>
        </w:rPr>
        <w:t>12</w:t>
      </w:r>
      <w:r>
        <w:rPr>
          <w:color w:val="FF0000"/>
        </w:rPr>
        <w:t>日至2020年</w:t>
      </w:r>
      <w:r>
        <w:rPr>
          <w:rFonts w:hint="eastAsia"/>
          <w:color w:val="FF0000"/>
          <w:lang w:val="en-US" w:eastAsia="zh-CN"/>
        </w:rPr>
        <w:t>12</w:t>
      </w:r>
      <w:r>
        <w:rPr>
          <w:color w:val="FF0000"/>
        </w:rPr>
        <w:t>月</w:t>
      </w:r>
      <w:r>
        <w:rPr>
          <w:rFonts w:hint="eastAsia"/>
          <w:color w:val="FF0000"/>
          <w:lang w:val="en-US" w:eastAsia="zh-CN"/>
        </w:rPr>
        <w:t>23</w:t>
      </w:r>
      <w:r>
        <w:rPr>
          <w:color w:val="FF0000"/>
        </w:rPr>
        <w:t>日下午17点前。</w:t>
      </w:r>
    </w:p>
    <w:p>
      <w:pPr>
        <w:pStyle w:val="10"/>
        <w:spacing w:before="110" w:line="360" w:lineRule="auto"/>
        <w:ind w:left="1044"/>
        <w:jc w:val="both"/>
      </w:pPr>
      <w:r>
        <w:t>2.方式：在上述时间范围内，招标人将本项目招标书电子版以电子邮件的形式发送至资质初审合格的投标人所提供的邮箱，招标人不对投标人能否通过电子邮件正确或及时接收相关邮件负责，招标人邮件发出即视为送达。</w:t>
      </w:r>
    </w:p>
    <w:p>
      <w:pPr>
        <w:pStyle w:val="3"/>
        <w:spacing w:before="54" w:line="360" w:lineRule="auto"/>
      </w:pPr>
      <w:r>
        <w:t>六、投标须知</w:t>
      </w:r>
    </w:p>
    <w:p>
      <w:pPr>
        <w:pStyle w:val="7"/>
        <w:numPr>
          <w:ilvl w:val="0"/>
          <w:numId w:val="1"/>
        </w:numPr>
        <w:tabs>
          <w:tab w:val="left" w:pos="1260"/>
        </w:tabs>
        <w:spacing w:before="11" w:line="360" w:lineRule="auto"/>
        <w:rPr>
          <w:sz w:val="15"/>
        </w:rPr>
      </w:pPr>
      <w:bookmarkStart w:id="12" w:name="1.合格投标人："/>
      <w:bookmarkEnd w:id="12"/>
      <w:r>
        <w:rPr>
          <w:spacing w:val="2"/>
        </w:rPr>
        <w:t>合格投标人：</w:t>
      </w:r>
    </w:p>
    <w:p>
      <w:pPr>
        <w:pStyle w:val="10"/>
        <w:spacing w:line="360" w:lineRule="auto"/>
        <w:ind w:left="638" w:right="641" w:firstLine="420"/>
      </w:pPr>
      <w:r>
        <w:rPr>
          <w:rFonts w:hint="eastAsia"/>
        </w:rPr>
        <w:t>⑴</w:t>
      </w:r>
      <w:r>
        <w:t>投标人须遵守《中华人民共和国招标投标法》、《中华人民共和国合同法》及其它有关的法律和法规；为中华人民共和国境内注册的独立法人机构，具有独立承担民事责任的能力；公司</w:t>
      </w:r>
      <w:r>
        <w:rPr>
          <w:color w:val="auto"/>
        </w:rPr>
        <w:t>成立三年以上（以营业执照成立日期到开标当日满三年为准）；注册资金1000万元人民币以上；</w:t>
      </w:r>
      <w:r>
        <w:t>经营范围满足招标项目需求；</w:t>
      </w:r>
    </w:p>
    <w:p>
      <w:pPr>
        <w:pStyle w:val="10"/>
        <w:spacing w:line="360" w:lineRule="auto"/>
        <w:ind w:left="638" w:right="641" w:firstLine="420"/>
        <w:rPr>
          <w:color w:val="auto"/>
        </w:rPr>
      </w:pPr>
      <w:r>
        <w:rPr>
          <w:rFonts w:hint="eastAsia"/>
        </w:rPr>
        <w:t>⑵投标人须于投标时提供具有统一社会信用代码的三证合一的营业执照副本</w:t>
      </w:r>
      <w:r>
        <w:rPr>
          <w:rFonts w:hint="eastAsia"/>
          <w:b/>
          <w:bCs/>
        </w:rPr>
        <w:t>原件</w:t>
      </w:r>
      <w:r>
        <w:rPr>
          <w:rFonts w:hint="eastAsia"/>
        </w:rPr>
        <w:t>及复印件（加盖公章）；</w:t>
      </w:r>
    </w:p>
    <w:p>
      <w:pPr>
        <w:pStyle w:val="10"/>
        <w:spacing w:line="360" w:lineRule="auto"/>
        <w:ind w:left="638" w:right="641" w:firstLine="420"/>
        <w:rPr>
          <w:color w:val="auto"/>
        </w:rPr>
      </w:pPr>
      <w:r>
        <w:rPr>
          <w:rFonts w:hint="eastAsia"/>
          <w:color w:val="auto"/>
        </w:rPr>
        <w:t>⑶投标人需提供《道路运输经营许可证》</w:t>
      </w:r>
      <w:r>
        <w:rPr>
          <w:rFonts w:hint="eastAsia"/>
          <w:b/>
          <w:bCs/>
          <w:color w:val="auto"/>
        </w:rPr>
        <w:t>原件</w:t>
      </w:r>
      <w:r>
        <w:rPr>
          <w:rFonts w:hint="eastAsia"/>
          <w:color w:val="auto"/>
        </w:rPr>
        <w:t>及复印件（加盖公章）、《道路危险货物运输许可证》</w:t>
      </w:r>
      <w:r>
        <w:rPr>
          <w:rFonts w:hint="eastAsia"/>
          <w:b/>
          <w:bCs/>
          <w:color w:val="auto"/>
        </w:rPr>
        <w:t>原件</w:t>
      </w:r>
      <w:r>
        <w:rPr>
          <w:rFonts w:hint="eastAsia"/>
          <w:color w:val="auto"/>
        </w:rPr>
        <w:t>及复印件（加盖公章），并保证行政许可在有效期内。</w:t>
      </w:r>
    </w:p>
    <w:p>
      <w:pPr>
        <w:pStyle w:val="10"/>
        <w:spacing w:line="360" w:lineRule="auto"/>
        <w:ind w:left="638" w:right="643" w:firstLine="420"/>
      </w:pPr>
      <w:r>
        <w:rPr>
          <w:rFonts w:hint="eastAsia"/>
        </w:rPr>
        <w:t>⑷</w:t>
      </w:r>
      <w:r>
        <w:t>具有良好的商业信誉，在国家企业信用信息公示系统中无行政处罚、列入经营异常名录和列入严重违法失信企业名单（黑名单）信息或上述信息已被移除的声明；</w:t>
      </w:r>
    </w:p>
    <w:p>
      <w:pPr>
        <w:pStyle w:val="10"/>
        <w:spacing w:before="3" w:line="360" w:lineRule="auto"/>
        <w:ind w:left="1058"/>
      </w:pPr>
      <w:r>
        <w:rPr>
          <w:rFonts w:hint="eastAsia"/>
        </w:rPr>
        <w:t>⑸</w:t>
      </w:r>
      <w:r>
        <w:t>投标人在近三年内在经营活动中无重大违法、违规的不良记录；</w:t>
      </w:r>
    </w:p>
    <w:p>
      <w:pPr>
        <w:pStyle w:val="10"/>
        <w:spacing w:before="1" w:line="360" w:lineRule="auto"/>
        <w:ind w:left="638" w:right="643" w:firstLine="420"/>
      </w:pPr>
      <w:r>
        <w:rPr>
          <w:rFonts w:hint="eastAsia"/>
        </w:rPr>
        <w:t>⑹投标人应能提供其正在或曾经从事过类似相关行业产品或服务经历的从业证明（可使用正在或曾经从事过的包装服务的合同文本原件或复印件加盖公章加以证明）</w:t>
      </w:r>
      <w:r>
        <w:t>；</w:t>
      </w:r>
    </w:p>
    <w:p>
      <w:pPr>
        <w:pStyle w:val="10"/>
        <w:spacing w:before="1" w:line="360" w:lineRule="auto"/>
        <w:ind w:left="638" w:right="643" w:firstLine="420"/>
      </w:pPr>
      <w:r>
        <w:rPr>
          <w:rFonts w:hint="eastAsia"/>
        </w:rPr>
        <w:t>⑺</w:t>
      </w:r>
      <w:r>
        <w:t>具有健全的财务会计制度，财务状况和市场行为良好。没有处于被有权机关吊销营业执照、吊销资质、停业整顿、取消投标资格以及财产被接管、冻结或进入破产程序等；</w:t>
      </w:r>
    </w:p>
    <w:p>
      <w:pPr>
        <w:pStyle w:val="10"/>
        <w:spacing w:line="360" w:lineRule="auto"/>
        <w:ind w:left="638" w:right="643" w:firstLine="420"/>
      </w:pPr>
      <w:r>
        <w:rPr>
          <w:rFonts w:hint="eastAsia"/>
        </w:rPr>
        <w:t>⑻</w:t>
      </w:r>
      <w:r>
        <w:t>投标人没有被列入招标人处《黑名单》（《黑名单》指投标人与招标人在以往或正在进行的合作中，存在招标人认为的违反合同约定或违反法律法规等的失信行为）的；</w:t>
      </w:r>
    </w:p>
    <w:p>
      <w:pPr>
        <w:pStyle w:val="10"/>
        <w:spacing w:before="1" w:line="360" w:lineRule="auto"/>
        <w:ind w:left="1058"/>
      </w:pPr>
      <w:r>
        <w:rPr>
          <w:rFonts w:hint="eastAsia"/>
        </w:rPr>
        <w:t>⑼</w:t>
      </w:r>
      <w:r>
        <w:t>投标人须提供近三年的公司财务报表（资产负债表、损益表、现金流量表等）；</w:t>
      </w:r>
    </w:p>
    <w:p>
      <w:pPr>
        <w:pStyle w:val="10"/>
        <w:spacing w:before="1" w:line="360" w:lineRule="auto"/>
        <w:ind w:left="638" w:right="640" w:firstLine="420"/>
      </w:pPr>
      <w:r>
        <w:rPr>
          <w:rFonts w:hint="eastAsia"/>
        </w:rPr>
        <w:t>⑽</w:t>
      </w:r>
      <w:r>
        <w:t>投标人须提供法人授权委托书</w:t>
      </w:r>
      <w:r>
        <w:rPr>
          <w:b/>
          <w:bCs/>
        </w:rPr>
        <w:t>原件</w:t>
      </w:r>
      <w:r>
        <w:t>（在投标文件副本中可用复印件并加盖公章）及投标单位的法定代表人或授权代表的身份证</w:t>
      </w:r>
      <w:r>
        <w:rPr>
          <w:b/>
          <w:bCs/>
        </w:rPr>
        <w:t>原件</w:t>
      </w:r>
      <w:r>
        <w:t>；</w:t>
      </w:r>
    </w:p>
    <w:p>
      <w:pPr>
        <w:pStyle w:val="10"/>
        <w:spacing w:before="3" w:line="360" w:lineRule="auto"/>
        <w:ind w:left="1058"/>
      </w:pPr>
      <w:r>
        <w:rPr>
          <w:rFonts w:hint="eastAsia"/>
        </w:rPr>
        <w:t>⑾</w:t>
      </w:r>
      <w:r>
        <w:t>投标人须具有履行合同所必须的设备、财务、技术、服务等方面的资质和能力；</w:t>
      </w:r>
    </w:p>
    <w:p>
      <w:pPr>
        <w:pStyle w:val="10"/>
        <w:spacing w:line="360" w:lineRule="auto"/>
        <w:ind w:left="1058"/>
      </w:pPr>
      <w:r>
        <w:rPr>
          <w:rFonts w:hint="eastAsia"/>
        </w:rPr>
        <w:t>⑿</w:t>
      </w:r>
      <w:r>
        <w:t>投标人须具有完全履行招标文件的所有要求的能力；</w:t>
      </w:r>
    </w:p>
    <w:p>
      <w:pPr>
        <w:pStyle w:val="10"/>
        <w:spacing w:line="360" w:lineRule="auto"/>
        <w:ind w:left="1058"/>
      </w:pPr>
      <w:r>
        <w:rPr>
          <w:rFonts w:hint="eastAsia"/>
        </w:rPr>
        <w:t>⒀</w:t>
      </w:r>
      <w:r>
        <w:t>投标人须负责提供合理的便于运输的包装物，并承担相关费用；</w:t>
      </w:r>
    </w:p>
    <w:p>
      <w:pPr>
        <w:pStyle w:val="10"/>
        <w:spacing w:line="360" w:lineRule="auto"/>
        <w:ind w:left="1058"/>
      </w:pPr>
      <w:r>
        <w:rPr>
          <w:rFonts w:hint="eastAsia"/>
        </w:rPr>
        <w:t>⒁</w:t>
      </w:r>
      <w:r>
        <w:t>投标人须认可招标人的工作指令，包括节假日能正常开展工作的要求；</w:t>
      </w:r>
    </w:p>
    <w:p>
      <w:pPr>
        <w:pStyle w:val="10"/>
        <w:spacing w:before="1" w:line="360" w:lineRule="auto"/>
        <w:ind w:left="1058"/>
      </w:pPr>
      <w:r>
        <w:rPr>
          <w:rFonts w:hint="eastAsia"/>
        </w:rPr>
        <w:t>⒂</w:t>
      </w:r>
      <w:r>
        <w:t>投标人须认可招标人终止合同后3个月</w:t>
      </w:r>
      <w:r>
        <w:rPr>
          <w:rFonts w:hint="eastAsia"/>
        </w:rPr>
        <w:t>无息</w:t>
      </w:r>
      <w:r>
        <w:t>退还履约保证金的招标要求；</w:t>
      </w:r>
    </w:p>
    <w:p>
      <w:pPr>
        <w:pStyle w:val="10"/>
        <w:spacing w:before="1" w:line="360" w:lineRule="auto"/>
        <w:ind w:left="638" w:right="643" w:firstLine="420"/>
      </w:pPr>
      <w:r>
        <w:rPr>
          <w:rFonts w:hint="eastAsia"/>
        </w:rPr>
        <w:t>⒃</w:t>
      </w:r>
      <w:r>
        <w:t>投标人必须是最终投标、签订合同的单位，不得以任何理由将已中标项目以任何形式转包给其他单位；</w:t>
      </w:r>
    </w:p>
    <w:p>
      <w:pPr>
        <w:pStyle w:val="10"/>
        <w:spacing w:before="3" w:line="360" w:lineRule="auto"/>
        <w:ind w:left="1058"/>
      </w:pPr>
      <w:r>
        <w:rPr>
          <w:rFonts w:hint="eastAsia"/>
        </w:rPr>
        <w:t>⒄</w:t>
      </w:r>
      <w:r>
        <w:t>本次招标项目不接受联合体投标；</w:t>
      </w:r>
    </w:p>
    <w:p>
      <w:pPr>
        <w:pStyle w:val="10"/>
        <w:spacing w:line="360" w:lineRule="auto"/>
        <w:ind w:left="1058"/>
      </w:pPr>
      <w:r>
        <w:rPr>
          <w:rFonts w:hint="eastAsia"/>
        </w:rPr>
        <w:t>⒅</w:t>
      </w:r>
      <w:r>
        <w:t>投标人在向招标人出示《投标保证金缴纳凭证》后方可进行投标；</w:t>
      </w:r>
    </w:p>
    <w:p>
      <w:pPr>
        <w:pStyle w:val="10"/>
        <w:spacing w:before="70" w:line="360" w:lineRule="auto"/>
        <w:ind w:left="1058"/>
      </w:pPr>
      <w:r>
        <w:rPr>
          <w:rFonts w:hint="eastAsia"/>
        </w:rPr>
        <w:t>⒆</w:t>
      </w:r>
      <w:r>
        <w:t>投标文件1</w:t>
      </w:r>
      <w:r>
        <w:rPr>
          <w:rFonts w:hint="eastAsia"/>
        </w:rPr>
        <w:t>份</w:t>
      </w:r>
      <w:r>
        <w:t>正</w:t>
      </w:r>
      <w:r>
        <w:rPr>
          <w:rFonts w:hint="eastAsia"/>
          <w:lang w:val="en-US" w:eastAsia="zh-CN"/>
        </w:rPr>
        <w:t>7</w:t>
      </w:r>
      <w:r>
        <w:rPr>
          <w:rFonts w:hint="eastAsia"/>
        </w:rPr>
        <w:t>份</w:t>
      </w:r>
      <w:r>
        <w:t>副</w:t>
      </w:r>
      <w:r>
        <w:rPr>
          <w:rFonts w:hint="eastAsia"/>
        </w:rPr>
        <w:t>本，</w:t>
      </w:r>
      <w:r>
        <w:t>共计</w:t>
      </w:r>
      <w:r>
        <w:rPr>
          <w:rFonts w:hint="eastAsia"/>
          <w:lang w:val="en-US" w:eastAsia="zh-CN"/>
        </w:rPr>
        <w:t>8</w:t>
      </w:r>
      <w:r>
        <w:t>份并附U盘电子版（详见本招标文件“第二章投标文件编制”）；</w:t>
      </w:r>
    </w:p>
    <w:p>
      <w:pPr>
        <w:pStyle w:val="10"/>
        <w:spacing w:line="360" w:lineRule="auto"/>
        <w:ind w:left="1058"/>
      </w:pPr>
      <w:r>
        <w:rPr>
          <w:rFonts w:hint="eastAsia"/>
        </w:rPr>
        <w:t>⒇其他须</w:t>
      </w:r>
      <w:r>
        <w:t>具备的资格要求：投标单位应提供近三年相同或类似项目规模销售业绩</w:t>
      </w:r>
      <w:r>
        <w:rPr>
          <w:rFonts w:hint="eastAsia"/>
        </w:rPr>
        <w:t>。</w:t>
      </w:r>
    </w:p>
    <w:p>
      <w:pPr>
        <w:pStyle w:val="10"/>
        <w:spacing w:before="1" w:line="360" w:lineRule="auto"/>
        <w:ind w:left="1058"/>
      </w:pPr>
      <w:r>
        <w:rPr>
          <w:rFonts w:hint="eastAsia"/>
        </w:rPr>
        <w:t>注：上述</w:t>
      </w:r>
      <w:r>
        <w:t>1</w:t>
      </w:r>
      <w:r>
        <w:rPr>
          <w:rFonts w:hint="eastAsia"/>
          <w:lang w:val="en-US"/>
        </w:rPr>
        <w:t>,</w:t>
      </w:r>
      <w:r>
        <w:t>2</w:t>
      </w:r>
      <w:r>
        <w:rPr>
          <w:rFonts w:hint="eastAsia"/>
          <w:lang w:val="en-US"/>
        </w:rPr>
        <w:t>,</w:t>
      </w:r>
      <w:r>
        <w:t>3</w:t>
      </w:r>
      <w:r>
        <w:rPr>
          <w:rFonts w:hint="eastAsia"/>
          <w:lang w:val="en-US"/>
        </w:rPr>
        <w:t>,</w:t>
      </w:r>
      <w:r>
        <w:rPr>
          <w:lang w:val="en-US"/>
        </w:rPr>
        <w:t>4,</w:t>
      </w:r>
      <w:r>
        <w:t>6</w:t>
      </w:r>
      <w:r>
        <w:rPr>
          <w:rFonts w:hint="eastAsia"/>
          <w:lang w:val="en-US"/>
        </w:rPr>
        <w:t>,</w:t>
      </w:r>
      <w:r>
        <w:t>9</w:t>
      </w:r>
      <w:r>
        <w:rPr>
          <w:rFonts w:hint="eastAsia"/>
          <w:lang w:val="en-US"/>
        </w:rPr>
        <w:t>,</w:t>
      </w:r>
      <w:r>
        <w:t>10</w:t>
      </w:r>
      <w:r>
        <w:rPr>
          <w:rFonts w:hint="eastAsia"/>
          <w:lang w:val="en-US"/>
        </w:rPr>
        <w:t>,</w:t>
      </w:r>
      <w:r>
        <w:t>18项为必备的资格文件且开标当日上述第2</w:t>
      </w:r>
      <w:r>
        <w:rPr>
          <w:rFonts w:hint="eastAsia"/>
        </w:rPr>
        <w:t>,</w:t>
      </w:r>
      <w:r>
        <w:t>3,10</w:t>
      </w:r>
      <w:r>
        <w:rPr>
          <w:rFonts w:hint="eastAsia"/>
        </w:rPr>
        <w:t>,</w:t>
      </w:r>
      <w:r>
        <w:t>18项所述资格文件须提供原件，缺一项按废标处理。</w:t>
      </w:r>
    </w:p>
    <w:p>
      <w:pPr>
        <w:pStyle w:val="10"/>
        <w:spacing w:before="1" w:line="360" w:lineRule="auto"/>
        <w:ind w:left="1058"/>
      </w:pPr>
      <w:r>
        <w:t>投标方必须携带以下证件的</w:t>
      </w:r>
      <w:r>
        <w:rPr>
          <w:b/>
          <w:bCs/>
        </w:rPr>
        <w:t>原件</w:t>
      </w:r>
      <w:r>
        <w:t>或公证件参加开标会并交验，否则视为自动放弃投标资格：</w:t>
      </w:r>
    </w:p>
    <w:p>
      <w:pPr>
        <w:pStyle w:val="10"/>
        <w:spacing w:before="1" w:line="360" w:lineRule="auto"/>
        <w:ind w:left="1058"/>
      </w:pPr>
      <w:r>
        <w:rPr>
          <w:rFonts w:hint="eastAsia"/>
        </w:rPr>
        <w:t>⑴</w:t>
      </w:r>
      <w:r>
        <w:t>法人授权委托书及被授权人的身份证；法人到场的，提供法定代表人资格证明文件和身份证；</w:t>
      </w:r>
    </w:p>
    <w:p>
      <w:pPr>
        <w:pStyle w:val="10"/>
        <w:spacing w:before="1" w:line="360" w:lineRule="auto"/>
        <w:ind w:left="1058"/>
        <w:rPr>
          <w:lang w:val="en-US"/>
        </w:rPr>
      </w:pPr>
      <w:r>
        <w:rPr>
          <w:rFonts w:hint="eastAsia"/>
        </w:rPr>
        <w:t>⑵</w:t>
      </w:r>
      <w:r>
        <w:t>企业营业执照。</w:t>
      </w:r>
    </w:p>
    <w:p>
      <w:pPr>
        <w:pStyle w:val="10"/>
        <w:spacing w:line="360" w:lineRule="auto"/>
        <w:ind w:left="1058"/>
        <w:rPr>
          <w:b/>
          <w:bCs/>
        </w:rPr>
      </w:pPr>
      <w:r>
        <w:rPr>
          <w:b/>
          <w:bCs/>
        </w:rPr>
        <w:t>逾期的投标文件招标人不予受理。</w:t>
      </w:r>
    </w:p>
    <w:p>
      <w:pPr>
        <w:pStyle w:val="7"/>
        <w:numPr>
          <w:ilvl w:val="0"/>
          <w:numId w:val="1"/>
        </w:numPr>
        <w:tabs>
          <w:tab w:val="left" w:pos="1270"/>
        </w:tabs>
        <w:spacing w:before="11" w:line="360" w:lineRule="auto"/>
        <w:ind w:left="1269" w:hanging="212"/>
      </w:pPr>
      <w:r>
        <w:t>投标文件格式</w:t>
      </w:r>
    </w:p>
    <w:p>
      <w:pPr>
        <w:pStyle w:val="10"/>
        <w:spacing w:line="360" w:lineRule="auto"/>
        <w:ind w:left="1058" w:right="2273"/>
      </w:pPr>
      <w:r>
        <w:t>详见本招标文件“第二章投标文件编制”，请投标人按格式要求进行填写。</w:t>
      </w:r>
    </w:p>
    <w:p>
      <w:pPr>
        <w:pStyle w:val="10"/>
        <w:spacing w:line="360" w:lineRule="auto"/>
        <w:ind w:left="1058" w:right="2273"/>
        <w:rPr>
          <w:b/>
          <w:bCs/>
        </w:rPr>
      </w:pPr>
      <w:r>
        <w:rPr>
          <w:b/>
          <w:bCs/>
        </w:rPr>
        <w:t>3.报价：</w:t>
      </w:r>
    </w:p>
    <w:p>
      <w:pPr>
        <w:pStyle w:val="10"/>
        <w:spacing w:before="1" w:line="360" w:lineRule="auto"/>
        <w:ind w:left="1058"/>
      </w:pPr>
      <w:r>
        <w:rPr>
          <w:rFonts w:hint="eastAsia"/>
        </w:rPr>
        <w:t>⑴</w:t>
      </w:r>
      <w:r>
        <w:t>本次招标为公开招标，报价应为：</w:t>
      </w:r>
    </w:p>
    <w:p>
      <w:pPr>
        <w:pStyle w:val="10"/>
        <w:spacing w:line="360" w:lineRule="auto"/>
        <w:ind w:left="638" w:right="640" w:firstLine="420"/>
      </w:pPr>
      <w:r>
        <w:rPr>
          <w:rFonts w:hint="eastAsia"/>
        </w:rPr>
        <w:t>在</w:t>
      </w:r>
      <w:r>
        <w:t>与招标人或其指派的答疑人员充分沟通确认基础上，投标人在满足招标人提出的所有关于配件</w:t>
      </w:r>
      <w:r>
        <w:rPr>
          <w:rFonts w:hint="eastAsia"/>
        </w:rPr>
        <w:t>物流项目</w:t>
      </w:r>
      <w:r>
        <w:t>全流程要求的前提下，与中标人签订合同的单位</w:t>
      </w:r>
      <w:r>
        <w:rPr>
          <w:rFonts w:hint="eastAsia"/>
        </w:rPr>
        <w:t>需</w:t>
      </w:r>
      <w:r>
        <w:t>支付给中标人的所有费用。</w:t>
      </w:r>
    </w:p>
    <w:p>
      <w:pPr>
        <w:pStyle w:val="10"/>
        <w:spacing w:before="1" w:line="360" w:lineRule="auto"/>
        <w:ind w:left="1058"/>
      </w:pPr>
      <w:r>
        <w:t>详见本招标书之“第二章投标文件编制”之“三、投标文件格式要求”之“格式3”。</w:t>
      </w:r>
    </w:p>
    <w:p>
      <w:pPr>
        <w:pStyle w:val="10"/>
        <w:spacing w:line="360" w:lineRule="auto"/>
        <w:ind w:left="1058"/>
      </w:pPr>
      <w:r>
        <w:rPr>
          <w:rFonts w:hint="eastAsia"/>
        </w:rPr>
        <w:t>⑵</w:t>
      </w:r>
      <w:r>
        <w:t>所有报价货币单位为：元（人民币），不含税价。</w:t>
      </w:r>
    </w:p>
    <w:p>
      <w:pPr>
        <w:pStyle w:val="10"/>
        <w:spacing w:line="360" w:lineRule="auto"/>
        <w:ind w:left="1058"/>
      </w:pPr>
      <w:r>
        <w:rPr>
          <w:rFonts w:hint="eastAsia"/>
        </w:rPr>
        <w:t>⑶</w:t>
      </w:r>
      <w:r>
        <w:t>付款结算方式：承兑支付</w:t>
      </w:r>
      <w:r>
        <w:rPr>
          <w:rFonts w:hint="eastAsia"/>
        </w:rPr>
        <w:t>；收到按招标人要求开具的增值税专用发票后挂账满三个月起付。</w:t>
      </w:r>
    </w:p>
    <w:p>
      <w:pPr>
        <w:pStyle w:val="10"/>
        <w:spacing w:line="360" w:lineRule="auto"/>
        <w:ind w:left="638" w:right="640" w:firstLine="420"/>
      </w:pPr>
      <w:r>
        <w:t>本次招标项目结算价只支持承兑支付，如投标人不认可、不接受使用承兑汇票用于费用结算，则投标人在本招标书中注明“不接受”字，招标人将视之为主动弃标。</w:t>
      </w:r>
    </w:p>
    <w:p>
      <w:pPr>
        <w:spacing w:line="360" w:lineRule="auto"/>
        <w:ind w:left="1058" w:right="3727"/>
        <w:rPr>
          <w:b/>
          <w:bCs/>
          <w:sz w:val="21"/>
          <w:szCs w:val="21"/>
        </w:rPr>
      </w:pPr>
      <w:r>
        <w:rPr>
          <w:rFonts w:hint="eastAsia"/>
          <w:sz w:val="21"/>
          <w:szCs w:val="21"/>
        </w:rPr>
        <w:t>⑷</w:t>
      </w:r>
      <w:r>
        <w:rPr>
          <w:sz w:val="21"/>
          <w:szCs w:val="21"/>
        </w:rPr>
        <w:t>高于项目预算金额的报价无效，按投标人主动弃标处理。</w:t>
      </w:r>
    </w:p>
    <w:p>
      <w:pPr>
        <w:spacing w:before="1" w:line="360" w:lineRule="auto"/>
        <w:ind w:left="1058" w:right="4922"/>
        <w:rPr>
          <w:b/>
          <w:bCs/>
          <w:sz w:val="21"/>
          <w:szCs w:val="21"/>
        </w:rPr>
      </w:pPr>
      <w:r>
        <w:rPr>
          <w:sz w:val="21"/>
          <w:szCs w:val="21"/>
        </w:rPr>
        <w:t>4.</w:t>
      </w:r>
      <w:r>
        <w:rPr>
          <w:b/>
          <w:bCs/>
          <w:sz w:val="21"/>
          <w:szCs w:val="21"/>
        </w:rPr>
        <w:t>技术规范及服务</w:t>
      </w:r>
    </w:p>
    <w:p>
      <w:pPr>
        <w:pStyle w:val="10"/>
        <w:spacing w:before="70" w:line="360" w:lineRule="auto"/>
        <w:ind w:left="1058"/>
      </w:pPr>
      <w:r>
        <w:rPr>
          <w:rFonts w:hint="eastAsia"/>
        </w:rPr>
        <w:t>⑴</w:t>
      </w:r>
      <w:r>
        <w:t>投标人应与</w:t>
      </w:r>
      <w:bookmarkStart w:id="13" w:name="_Hlk56064956"/>
      <w:r>
        <w:t>招标人</w:t>
      </w:r>
      <w:bookmarkEnd w:id="13"/>
      <w:r>
        <w:t>指派的答疑人员充分沟通，理解认可并接受相关技术规范及服务要求。</w:t>
      </w:r>
    </w:p>
    <w:p>
      <w:pPr>
        <w:pStyle w:val="10"/>
        <w:spacing w:line="360" w:lineRule="auto"/>
        <w:ind w:left="638" w:right="595" w:firstLine="420"/>
      </w:pPr>
      <w:r>
        <w:rPr>
          <w:rFonts w:hint="eastAsia"/>
        </w:rPr>
        <w:t>⑵</w:t>
      </w:r>
      <w:r>
        <w:t>投标人可免费提供的、包含但不限于招标人所要求的其他相关服务内容，按本招标书“第二章投标文件编制”要求，在其“开标一览表”中一并说明。</w:t>
      </w:r>
    </w:p>
    <w:p>
      <w:pPr>
        <w:pStyle w:val="10"/>
        <w:spacing w:line="360" w:lineRule="auto"/>
        <w:ind w:left="638" w:right="595" w:firstLine="420"/>
      </w:pPr>
      <w:r>
        <w:rPr>
          <w:rFonts w:hint="eastAsia"/>
        </w:rPr>
        <w:t>⑶</w:t>
      </w:r>
      <w:bookmarkStart w:id="14" w:name="_Hlk56064937"/>
      <w:r>
        <w:rPr>
          <w:rFonts w:hint="eastAsia"/>
        </w:rPr>
        <w:t>投标人</w:t>
      </w:r>
      <w:bookmarkEnd w:id="14"/>
      <w:r>
        <w:rPr>
          <w:rFonts w:hint="eastAsia"/>
        </w:rPr>
        <w:t>收到标书后，必须实地考察各业务单位运作流程，熟悉相关业务后，在招标时提交业务运营方案及相应业务交接、开始运行业务时间等预案。</w:t>
      </w:r>
    </w:p>
    <w:p>
      <w:pPr>
        <w:pStyle w:val="10"/>
        <w:spacing w:line="360" w:lineRule="auto"/>
        <w:ind w:left="638" w:right="595" w:firstLine="420"/>
      </w:pPr>
      <w:r>
        <w:rPr>
          <w:rFonts w:hint="eastAsia"/>
        </w:rPr>
        <w:t>⑷</w:t>
      </w:r>
      <w:bookmarkStart w:id="15" w:name="_Hlk56065099"/>
      <w:r>
        <w:rPr>
          <w:rFonts w:hint="eastAsia"/>
        </w:rPr>
        <w:t>投标人</w:t>
      </w:r>
      <w:bookmarkEnd w:id="15"/>
      <w:r>
        <w:rPr>
          <w:rFonts w:hint="eastAsia"/>
        </w:rPr>
        <w:t>应严格执行</w:t>
      </w:r>
      <w:r>
        <w:t>招标人</w:t>
      </w:r>
      <w:r>
        <w:rPr>
          <w:rFonts w:hint="eastAsia"/>
        </w:rPr>
        <w:t>的技术质量标准，如果投标人未按技术质量标准要求执行，投标人应无条件进行整改，所发生的所有费用均由投标人方承担。如投标人所供产品和服务质量存在严重缺陷，导致招标人产品市场形象受到损害，招标人有权中止或解除本合同，并由投标人承担违约责任。</w:t>
      </w:r>
    </w:p>
    <w:p>
      <w:pPr>
        <w:pStyle w:val="10"/>
        <w:spacing w:line="360" w:lineRule="auto"/>
        <w:ind w:left="638" w:right="595" w:firstLine="420"/>
      </w:pPr>
      <w:r>
        <w:rPr>
          <w:rFonts w:hint="eastAsia"/>
        </w:rPr>
        <w:t>⑸投标人在招标人所提供的库房内，投标人须严格遵守招标人园区内安全管理制度并自行完善仓库内相应的设备设施（消防器材、安全标识及其他必要设施），对招标人提供的水、电要珍惜使用，杜绝浪费，接受招标人的监督和考核。</w:t>
      </w:r>
    </w:p>
    <w:p>
      <w:pPr>
        <w:pStyle w:val="7"/>
        <w:tabs>
          <w:tab w:val="left" w:pos="1270"/>
        </w:tabs>
        <w:spacing w:before="1" w:line="360" w:lineRule="auto"/>
        <w:ind w:left="638" w:right="523" w:firstLine="422" w:firstLineChars="200"/>
        <w:jc w:val="both"/>
      </w:pPr>
      <w:bookmarkStart w:id="16" w:name="6.投标人应具有安全生产资质、条件，对所从事业务区域内的安全生产负全责，中标后与"/>
      <w:bookmarkEnd w:id="16"/>
      <w:r>
        <w:rPr>
          <w:rFonts w:hint="eastAsia"/>
        </w:rPr>
        <w:t>5</w:t>
      </w:r>
      <w:r>
        <w:t>.投标人应具有安全生产资质、条件，对所从事业务区域内的安全生产负全责，中标后与招标人签订安全责任书。因投标人原因造成的安全生产事故，由投标人承担责任并赔偿因此给招标人造成的损失。</w:t>
      </w:r>
    </w:p>
    <w:p>
      <w:pPr>
        <w:pStyle w:val="7"/>
        <w:tabs>
          <w:tab w:val="left" w:pos="1270"/>
        </w:tabs>
        <w:spacing w:before="1" w:line="360" w:lineRule="auto"/>
        <w:ind w:left="638" w:right="523" w:firstLine="422" w:firstLineChars="200"/>
        <w:jc w:val="both"/>
      </w:pPr>
      <w:r>
        <w:rPr>
          <w:rFonts w:hint="eastAsia"/>
        </w:rPr>
        <w:t>6</w:t>
      </w:r>
      <w:r>
        <w:t>.凡对本次招标提出的询问，均以招标方的书面答复为准。</w:t>
      </w:r>
    </w:p>
    <w:p>
      <w:pPr>
        <w:pStyle w:val="7"/>
        <w:tabs>
          <w:tab w:val="left" w:pos="1270"/>
        </w:tabs>
        <w:spacing w:before="1" w:line="360" w:lineRule="auto"/>
        <w:ind w:left="638" w:right="523" w:firstLine="422" w:firstLineChars="200"/>
        <w:jc w:val="both"/>
      </w:pPr>
      <w:r>
        <w:rPr>
          <w:rFonts w:hint="eastAsia"/>
        </w:rPr>
        <w:t>7</w:t>
      </w:r>
      <w:r>
        <w:t>.其他</w:t>
      </w:r>
    </w:p>
    <w:p>
      <w:pPr>
        <w:pStyle w:val="10"/>
        <w:spacing w:line="360" w:lineRule="auto"/>
        <w:ind w:left="638" w:right="594" w:firstLine="420"/>
        <w:jc w:val="both"/>
      </w:pPr>
      <w:r>
        <w:t>投标人须认可招标人由于招标人上级集团公司政策变化引起的随时终止合同的要求。如投标人不认可、不接受，则投标人在本招标书“第二章投标文件编制”之“相关条款偏离表（含商务偏离及技术偏离）”中注明“不接受”字，招标人将视之为主动弃标。</w:t>
      </w:r>
    </w:p>
    <w:p>
      <w:pPr>
        <w:pStyle w:val="10"/>
        <w:spacing w:before="2" w:line="360" w:lineRule="auto"/>
        <w:ind w:left="1058"/>
        <w:rPr>
          <w:b/>
          <w:bCs/>
        </w:rPr>
      </w:pPr>
      <w:r>
        <w:rPr>
          <w:b/>
          <w:bCs/>
        </w:rPr>
        <w:t>其余未尽事宜，均按合同约定。</w:t>
      </w:r>
    </w:p>
    <w:p>
      <w:pPr>
        <w:pStyle w:val="10"/>
        <w:spacing w:before="2" w:line="360" w:lineRule="auto"/>
        <w:ind w:left="1058"/>
        <w:rPr>
          <w:b/>
          <w:bCs/>
        </w:rPr>
      </w:pPr>
      <w:r>
        <w:rPr>
          <w:rFonts w:hint="eastAsia"/>
          <w:b/>
          <w:bCs/>
        </w:rPr>
        <w:t>8</w:t>
      </w:r>
      <w:r>
        <w:rPr>
          <w:b/>
          <w:bCs/>
        </w:rPr>
        <w:t>.要求招标人或相关合同签订单位提供的配合，在标书文件中说明。</w:t>
      </w:r>
    </w:p>
    <w:p>
      <w:pPr>
        <w:spacing w:line="360" w:lineRule="auto"/>
        <w:ind w:left="641" w:firstLine="321" w:firstLineChars="100"/>
        <w:rPr>
          <w:rFonts w:ascii="黑体" w:eastAsia="黑体"/>
          <w:b/>
          <w:sz w:val="32"/>
        </w:rPr>
      </w:pPr>
      <w:bookmarkStart w:id="17" w:name="9.要求招标人或相关合同签订单位提供的配合，在标书文件中说明。"/>
      <w:bookmarkEnd w:id="17"/>
      <w:bookmarkStart w:id="18" w:name="_Hlk56063645"/>
      <w:r>
        <w:rPr>
          <w:rFonts w:hint="eastAsia" w:ascii="黑体" w:eastAsia="黑体"/>
          <w:b/>
          <w:sz w:val="32"/>
        </w:rPr>
        <w:t>七、投标、开标、评标</w:t>
      </w:r>
    </w:p>
    <w:bookmarkEnd w:id="18"/>
    <w:p>
      <w:pPr>
        <w:spacing w:before="110" w:line="360" w:lineRule="auto"/>
        <w:ind w:left="1058"/>
        <w:rPr>
          <w:b/>
          <w:sz w:val="21"/>
        </w:rPr>
      </w:pPr>
      <w:r>
        <w:rPr>
          <w:b/>
          <w:sz w:val="21"/>
        </w:rPr>
        <w:t>1</w:t>
      </w:r>
      <w:r>
        <w:rPr>
          <w:b/>
          <w:sz w:val="21"/>
          <w:szCs w:val="21"/>
        </w:rPr>
        <w:t>.投标保证金</w:t>
      </w:r>
    </w:p>
    <w:p>
      <w:pPr>
        <w:pStyle w:val="10"/>
        <w:spacing w:before="1" w:line="360" w:lineRule="auto"/>
        <w:ind w:left="1058"/>
      </w:pPr>
      <w:r>
        <w:rPr>
          <w:rFonts w:hint="eastAsia"/>
        </w:rPr>
        <w:t>⑴</w:t>
      </w:r>
      <w:r>
        <w:t>投标人向招标人财务部门缴纳</w:t>
      </w:r>
      <w:r>
        <w:rPr>
          <w:rFonts w:hint="eastAsia"/>
          <w:lang w:val="en-US" w:eastAsia="zh-CN"/>
        </w:rPr>
        <w:t>10</w:t>
      </w:r>
      <w:r>
        <w:t>万元（人民币），作为投标人本次投标的保证金；</w:t>
      </w:r>
    </w:p>
    <w:p>
      <w:pPr>
        <w:pStyle w:val="10"/>
        <w:spacing w:line="360" w:lineRule="auto"/>
        <w:ind w:left="1058"/>
      </w:pPr>
      <w:r>
        <w:rPr>
          <w:rFonts w:hint="eastAsia"/>
        </w:rPr>
        <w:t>⑵</w:t>
      </w:r>
      <w:r>
        <w:t>缴纳方式：基本账户转账</w:t>
      </w:r>
      <w:r>
        <w:rPr>
          <w:rFonts w:hint="eastAsia"/>
        </w:rPr>
        <w:t>，另报名时需缴纳招标资料费用</w:t>
      </w:r>
      <w:r>
        <w:t>500元；</w:t>
      </w:r>
    </w:p>
    <w:p>
      <w:pPr>
        <w:pStyle w:val="10"/>
        <w:spacing w:before="1" w:line="360" w:lineRule="auto"/>
        <w:ind w:left="1058"/>
      </w:pPr>
      <w:r>
        <w:rPr>
          <w:rFonts w:hint="eastAsia"/>
        </w:rPr>
        <w:t>⑶</w:t>
      </w:r>
      <w:r>
        <w:t>接收单位：中国重汽集团济南地球村电子商务有限公司；</w:t>
      </w:r>
    </w:p>
    <w:p>
      <w:pPr>
        <w:pStyle w:val="10"/>
        <w:spacing w:line="360" w:lineRule="auto"/>
        <w:ind w:left="1058"/>
      </w:pPr>
      <w:r>
        <w:rPr>
          <w:rFonts w:hint="eastAsia"/>
        </w:rPr>
        <w:t>⑷</w:t>
      </w:r>
      <w:r>
        <w:t>转账信息：</w:t>
      </w:r>
    </w:p>
    <w:tbl>
      <w:tblPr>
        <w:tblStyle w:val="23"/>
        <w:tblW w:w="0" w:type="auto"/>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8599" w:type="dxa"/>
            <w:vAlign w:val="center"/>
          </w:tcPr>
          <w:p>
            <w:pPr>
              <w:pStyle w:val="34"/>
              <w:spacing w:before="147" w:line="360" w:lineRule="auto"/>
              <w:ind w:left="532"/>
              <w:rPr>
                <w:sz w:val="21"/>
                <w:szCs w:val="21"/>
              </w:rPr>
            </w:pPr>
            <w:r>
              <w:rPr>
                <w:sz w:val="21"/>
                <w:szCs w:val="21"/>
              </w:rPr>
              <w:t>开户银行：中国建设银行股份有限公司济南天桥支行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599" w:type="dxa"/>
            <w:vAlign w:val="center"/>
          </w:tcPr>
          <w:p>
            <w:pPr>
              <w:pStyle w:val="34"/>
              <w:spacing w:before="146" w:line="360" w:lineRule="auto"/>
              <w:ind w:left="532"/>
              <w:rPr>
                <w:sz w:val="21"/>
                <w:szCs w:val="21"/>
              </w:rPr>
            </w:pPr>
            <w:r>
              <w:rPr>
                <w:sz w:val="21"/>
                <w:szCs w:val="21"/>
              </w:rPr>
              <w:t>户名：中国重汽集团济南地球村电子商务有限公司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599" w:type="dxa"/>
            <w:vAlign w:val="center"/>
          </w:tcPr>
          <w:p>
            <w:pPr>
              <w:pStyle w:val="34"/>
              <w:spacing w:before="147" w:line="360" w:lineRule="auto"/>
              <w:ind w:left="532"/>
              <w:rPr>
                <w:sz w:val="21"/>
                <w:szCs w:val="21"/>
              </w:rPr>
            </w:pPr>
            <w:r>
              <w:rPr>
                <w:sz w:val="21"/>
                <w:szCs w:val="21"/>
              </w:rPr>
              <w:t>账号：37050161650800000201</w:t>
            </w:r>
          </w:p>
        </w:tc>
      </w:tr>
    </w:tbl>
    <w:p>
      <w:pPr>
        <w:pStyle w:val="10"/>
        <w:spacing w:before="100" w:line="360" w:lineRule="auto"/>
        <w:ind w:left="1058"/>
      </w:pPr>
      <w:r>
        <w:rPr>
          <w:rFonts w:hint="eastAsia"/>
        </w:rPr>
        <w:t>⑸</w:t>
      </w:r>
      <w:r>
        <w:t>说明：</w:t>
      </w:r>
    </w:p>
    <w:p>
      <w:pPr>
        <w:pStyle w:val="33"/>
        <w:numPr>
          <w:ilvl w:val="0"/>
          <w:numId w:val="2"/>
        </w:numPr>
        <w:tabs>
          <w:tab w:val="left" w:pos="1376"/>
        </w:tabs>
        <w:spacing w:before="5" w:line="360" w:lineRule="auto"/>
        <w:ind w:right="482" w:firstLine="420"/>
        <w:rPr>
          <w:sz w:val="21"/>
          <w:szCs w:val="21"/>
        </w:rPr>
      </w:pPr>
      <w:r>
        <w:rPr>
          <w:sz w:val="21"/>
          <w:szCs w:val="21"/>
        </w:rPr>
        <w:t>无正当理由随意放弃投标、撤销投标文件、中标后无正当理由拒签合同、在签订合同时向招标人或合同签订单位提出无理附加条件的，投标保证金不予返还，该投标人2年不得参与招标人组织的招投标项目，并赔偿招标人因此所遭受的损失，包括但不限于因违约造成的直接经济损失、可得利益损失、诉讼费、律师费等实现债权的费用。不存在以上违规情况的投标人，招标人在确定中标人后20个工作日内按投标人所提供的投标保证金退付表（详见本招标书“第二章投标文件编制”之“三、投标文件格式要求”之格式8相关要求）退还投标保证金（不计息）。</w:t>
      </w:r>
    </w:p>
    <w:p>
      <w:pPr>
        <w:pStyle w:val="33"/>
        <w:numPr>
          <w:ilvl w:val="0"/>
          <w:numId w:val="2"/>
        </w:numPr>
        <w:tabs>
          <w:tab w:val="left" w:pos="1376"/>
        </w:tabs>
        <w:spacing w:before="5" w:line="360" w:lineRule="auto"/>
        <w:ind w:right="482" w:firstLine="420"/>
        <w:rPr>
          <w:sz w:val="21"/>
          <w:szCs w:val="21"/>
        </w:rPr>
      </w:pPr>
      <w:r>
        <w:rPr>
          <w:sz w:val="21"/>
          <w:szCs w:val="21"/>
        </w:rPr>
        <w:t>投标人在向招标人出示《投标保证金缴纳凭证》后方可进行投。</w:t>
      </w:r>
    </w:p>
    <w:p>
      <w:pPr>
        <w:pStyle w:val="33"/>
        <w:tabs>
          <w:tab w:val="left" w:pos="1376"/>
        </w:tabs>
        <w:spacing w:before="5" w:line="360" w:lineRule="auto"/>
        <w:ind w:left="1058" w:right="482" w:firstLine="0"/>
        <w:rPr>
          <w:b/>
          <w:bCs/>
          <w:sz w:val="21"/>
          <w:szCs w:val="21"/>
        </w:rPr>
      </w:pPr>
      <w:r>
        <w:rPr>
          <w:b/>
          <w:bCs/>
          <w:sz w:val="21"/>
          <w:szCs w:val="21"/>
        </w:rPr>
        <w:t>2.开标</w:t>
      </w:r>
    </w:p>
    <w:p>
      <w:pPr>
        <w:pStyle w:val="33"/>
        <w:tabs>
          <w:tab w:val="left" w:pos="1376"/>
        </w:tabs>
        <w:spacing w:before="5" w:line="360" w:lineRule="auto"/>
        <w:ind w:left="1058" w:right="482" w:firstLine="0"/>
        <w:rPr>
          <w:sz w:val="21"/>
          <w:szCs w:val="21"/>
        </w:rPr>
      </w:pPr>
      <w:r>
        <w:t>所有报价货币单位均为：元（人民币，</w:t>
      </w:r>
      <w:r>
        <w:rPr>
          <w:rFonts w:hint="eastAsia"/>
        </w:rPr>
        <w:t>不含税</w:t>
      </w:r>
      <w:r>
        <w:t>）。</w:t>
      </w:r>
    </w:p>
    <w:p>
      <w:pPr>
        <w:pStyle w:val="10"/>
        <w:spacing w:line="360" w:lineRule="auto"/>
        <w:ind w:left="1058" w:right="4671"/>
        <w:rPr>
          <w:b/>
          <w:bCs/>
        </w:rPr>
      </w:pPr>
      <w:r>
        <w:rPr>
          <w:b/>
          <w:bCs/>
        </w:rPr>
        <w:t>3.评标</w:t>
      </w:r>
    </w:p>
    <w:p>
      <w:pPr>
        <w:pStyle w:val="10"/>
        <w:spacing w:line="360" w:lineRule="auto"/>
        <w:ind w:left="638" w:right="578" w:firstLine="420"/>
        <w:jc w:val="both"/>
      </w:pPr>
      <w:r>
        <w:t>评标工作由招标人为该项目依法组织的、由三人及以上单数成员（视标的额大小按规定确定专家人数）组成的评标工作小组负责，参照以下评分标准，采用综合评定法，即由评标工作小组按照国家招投标有关规定，本着公平、公正、公开、有序的原则，在最大限度地满足招标文件实质性要求的前提下，按照招标文件中规定的各项因素进行综合评审，并根据报价情况同时结合项目需求，依据本招标书列示的相关报价规则，按需确定中标候选人及中标项目，有权对未中标人不做任何解释。</w:t>
      </w:r>
    </w:p>
    <w:p>
      <w:pPr>
        <w:pStyle w:val="10"/>
        <w:spacing w:line="360" w:lineRule="auto"/>
        <w:ind w:left="638" w:right="640" w:firstLine="420"/>
      </w:pPr>
      <w:r>
        <w:t>自评标开始，直至签订合同为止，凡属于对投标文件的审查、澄清、评价和比较有关的资料，与评标有关的其他任何情况均需保密。</w:t>
      </w:r>
    </w:p>
    <w:p>
      <w:pPr>
        <w:pStyle w:val="7"/>
        <w:spacing w:line="360" w:lineRule="auto"/>
        <w:ind w:left="0" w:leftChars="0" w:firstLine="0" w:firstLineChars="0"/>
      </w:pPr>
      <w:bookmarkStart w:id="19" w:name="4.评分标准"/>
      <w:bookmarkEnd w:id="19"/>
    </w:p>
    <w:p>
      <w:pPr>
        <w:pStyle w:val="7"/>
        <w:spacing w:line="360" w:lineRule="auto"/>
        <w:ind w:left="0" w:leftChars="0" w:firstLine="0" w:firstLineChars="0"/>
      </w:pPr>
    </w:p>
    <w:p>
      <w:pPr>
        <w:pStyle w:val="7"/>
        <w:spacing w:line="360" w:lineRule="auto"/>
        <w:ind w:left="0" w:leftChars="0" w:firstLine="0" w:firstLineChars="0"/>
      </w:pPr>
    </w:p>
    <w:p>
      <w:pPr>
        <w:pStyle w:val="7"/>
        <w:spacing w:line="360" w:lineRule="auto"/>
        <w:ind w:left="0" w:leftChars="0" w:firstLine="1054" w:firstLineChars="500"/>
        <w:rPr>
          <w:b w:val="0"/>
          <w:sz w:val="14"/>
        </w:rPr>
      </w:pPr>
      <w:r>
        <w:t>4.评分标准</w:t>
      </w:r>
    </w:p>
    <w:p>
      <w:pPr>
        <w:spacing w:line="360" w:lineRule="auto"/>
        <w:ind w:left="1058"/>
        <w:rPr>
          <w:b/>
          <w:sz w:val="21"/>
        </w:rPr>
      </w:pPr>
      <w:r>
        <w:rPr>
          <w:b/>
          <w:sz w:val="21"/>
        </w:rPr>
        <w:t>本次招标评价分为</w:t>
      </w:r>
      <w:r>
        <w:rPr>
          <w:rFonts w:hint="eastAsia"/>
          <w:b/>
          <w:sz w:val="21"/>
          <w:lang w:val="en-US"/>
        </w:rPr>
        <w:t>五</w:t>
      </w:r>
      <w:r>
        <w:rPr>
          <w:b/>
          <w:sz w:val="21"/>
        </w:rPr>
        <w:t>个方面，总赋分为100分。</w:t>
      </w:r>
    </w:p>
    <w:tbl>
      <w:tblPr>
        <w:tblStyle w:val="23"/>
        <w:tblpPr w:leftFromText="180" w:rightFromText="180" w:vertAnchor="text" w:horzAnchor="margin" w:tblpXSpec="center" w:tblpY="1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9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980" w:type="dxa"/>
            <w:tcBorders>
              <w:bottom w:val="single" w:color="auto" w:sz="4" w:space="0"/>
            </w:tcBorders>
            <w:vAlign w:val="center"/>
          </w:tcPr>
          <w:p>
            <w:pPr>
              <w:pStyle w:val="34"/>
              <w:spacing w:line="360" w:lineRule="auto"/>
              <w:ind w:left="213" w:right="199"/>
              <w:jc w:val="center"/>
              <w:rPr>
                <w:b/>
                <w:bCs/>
                <w:sz w:val="21"/>
              </w:rPr>
            </w:pPr>
            <w:r>
              <w:rPr>
                <w:b/>
                <w:bCs/>
                <w:sz w:val="21"/>
              </w:rPr>
              <w:t>评分内容</w:t>
            </w:r>
          </w:p>
        </w:tc>
        <w:tc>
          <w:tcPr>
            <w:tcW w:w="6987" w:type="dxa"/>
            <w:tcBorders>
              <w:bottom w:val="single" w:color="auto" w:sz="4" w:space="0"/>
            </w:tcBorders>
            <w:vAlign w:val="center"/>
          </w:tcPr>
          <w:p>
            <w:pPr>
              <w:pStyle w:val="34"/>
              <w:spacing w:line="360" w:lineRule="auto"/>
              <w:ind w:right="3016"/>
              <w:jc w:val="center"/>
              <w:rPr>
                <w:b/>
                <w:bCs/>
                <w:sz w:val="21"/>
              </w:rPr>
            </w:pPr>
            <w:r>
              <w:rPr>
                <w:rFonts w:hint="eastAsia"/>
                <w:b/>
                <w:bCs/>
                <w:sz w:val="21"/>
              </w:rPr>
              <w:t xml:space="preserve"> </w:t>
            </w:r>
            <w:r>
              <w:rPr>
                <w:b/>
                <w:bCs/>
                <w:sz w:val="21"/>
              </w:rPr>
              <w:t xml:space="preserve">                    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34"/>
              <w:spacing w:line="360" w:lineRule="auto"/>
              <w:ind w:left="550"/>
              <w:rPr>
                <w:sz w:val="21"/>
              </w:rPr>
            </w:pPr>
            <w:r>
              <w:rPr>
                <w:sz w:val="21"/>
              </w:rPr>
              <w:t>企业情况</w:t>
            </w:r>
          </w:p>
          <w:p>
            <w:pPr>
              <w:pStyle w:val="34"/>
              <w:spacing w:before="48" w:line="360" w:lineRule="auto"/>
              <w:ind w:left="524"/>
              <w:rPr>
                <w:sz w:val="21"/>
              </w:rPr>
            </w:pPr>
            <w:r>
              <w:rPr>
                <w:sz w:val="21"/>
              </w:rPr>
              <w:t>（</w:t>
            </w:r>
            <w:r>
              <w:rPr>
                <w:rFonts w:hint="eastAsia"/>
                <w:sz w:val="21"/>
                <w:lang w:val="en-US"/>
              </w:rPr>
              <w:t>10</w:t>
            </w:r>
            <w:r>
              <w:rPr>
                <w:sz w:val="21"/>
              </w:rPr>
              <w:t>分）</w:t>
            </w:r>
          </w:p>
        </w:tc>
        <w:tc>
          <w:tcPr>
            <w:tcW w:w="6987" w:type="dxa"/>
            <w:tcBorders>
              <w:top w:val="single" w:color="auto" w:sz="4" w:space="0"/>
              <w:left w:val="single" w:color="auto" w:sz="4" w:space="0"/>
              <w:bottom w:val="single" w:color="auto" w:sz="4" w:space="0"/>
              <w:right w:val="single" w:color="auto" w:sz="4" w:space="0"/>
            </w:tcBorders>
          </w:tcPr>
          <w:p>
            <w:pPr>
              <w:pStyle w:val="34"/>
              <w:spacing w:before="22" w:line="360" w:lineRule="auto"/>
              <w:ind w:right="102"/>
              <w:rPr>
                <w:spacing w:val="-12"/>
                <w:sz w:val="21"/>
              </w:rPr>
            </w:pPr>
            <w:r>
              <w:rPr>
                <w:rFonts w:hint="eastAsia"/>
                <w:spacing w:val="-12"/>
                <w:sz w:val="21"/>
              </w:rPr>
              <w:t>依据企业人员、规模、资质、经营状况、技术力量、设施设备及运输能力等综和能力。视投标方的企业资质、设备及人员配备、配送设备及运输能力、现有包装规模等包装业务能力，有无相关质量体系认证予以赋分。</w:t>
            </w:r>
          </w:p>
          <w:p>
            <w:pPr>
              <w:pStyle w:val="34"/>
              <w:spacing w:before="1" w:line="360" w:lineRule="auto"/>
              <w:ind w:left="113"/>
              <w:rPr>
                <w:spacing w:val="-12"/>
                <w:sz w:val="21"/>
                <w:lang w:val="en-US"/>
              </w:rPr>
            </w:pPr>
            <w:r>
              <w:rPr>
                <w:spacing w:val="-12"/>
                <w:sz w:val="21"/>
              </w:rPr>
              <w:t>经综合评定情况为“优”的，赋</w:t>
            </w:r>
            <w:r>
              <w:rPr>
                <w:rFonts w:hint="eastAsia"/>
                <w:spacing w:val="-12"/>
                <w:sz w:val="21"/>
                <w:lang w:val="en-US"/>
              </w:rPr>
              <w:t>8</w:t>
            </w:r>
            <w:r>
              <w:rPr>
                <w:spacing w:val="-12"/>
                <w:sz w:val="21"/>
              </w:rPr>
              <w:t>～</w:t>
            </w:r>
            <w:r>
              <w:rPr>
                <w:rFonts w:hint="eastAsia"/>
                <w:spacing w:val="-12"/>
                <w:sz w:val="21"/>
                <w:lang w:val="en-US"/>
              </w:rPr>
              <w:t>10</w:t>
            </w:r>
            <w:r>
              <w:rPr>
                <w:spacing w:val="-12"/>
                <w:sz w:val="21"/>
              </w:rPr>
              <w:t>分；情况为“良”的，赋</w:t>
            </w:r>
            <w:r>
              <w:rPr>
                <w:rFonts w:hint="eastAsia"/>
                <w:spacing w:val="-12"/>
                <w:sz w:val="21"/>
                <w:lang w:val="en-US"/>
              </w:rPr>
              <w:t>5</w:t>
            </w:r>
            <w:r>
              <w:rPr>
                <w:spacing w:val="-12"/>
                <w:sz w:val="21"/>
              </w:rPr>
              <w:t>～</w:t>
            </w:r>
            <w:r>
              <w:rPr>
                <w:rFonts w:hint="eastAsia"/>
                <w:spacing w:val="-12"/>
                <w:sz w:val="21"/>
                <w:lang w:val="en-US"/>
              </w:rPr>
              <w:t>7</w:t>
            </w:r>
          </w:p>
          <w:p>
            <w:pPr>
              <w:pStyle w:val="34"/>
              <w:spacing w:before="38" w:line="360" w:lineRule="auto"/>
              <w:ind w:left="113"/>
              <w:rPr>
                <w:spacing w:val="-12"/>
                <w:sz w:val="21"/>
              </w:rPr>
            </w:pPr>
            <w:r>
              <w:rPr>
                <w:spacing w:val="-12"/>
                <w:sz w:val="21"/>
              </w:rPr>
              <w:t>分；情况为“一般”的，赋</w:t>
            </w:r>
            <w:r>
              <w:rPr>
                <w:rFonts w:hint="eastAsia"/>
                <w:spacing w:val="-12"/>
                <w:sz w:val="21"/>
                <w:lang w:val="en-US" w:eastAsia="zh-CN"/>
              </w:rPr>
              <w:t>4</w:t>
            </w:r>
            <w:r>
              <w:rPr>
                <w:spacing w:val="-12"/>
                <w:sz w:val="21"/>
              </w:rPr>
              <w:t>分及以下，最少0分。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34"/>
              <w:spacing w:before="24" w:line="360" w:lineRule="auto"/>
              <w:ind w:left="215" w:right="199"/>
              <w:jc w:val="center"/>
              <w:rPr>
                <w:sz w:val="21"/>
              </w:rPr>
            </w:pPr>
            <w:r>
              <w:rPr>
                <w:sz w:val="21"/>
              </w:rPr>
              <w:t>企业经历或业绩</w:t>
            </w:r>
            <w:r>
              <w:rPr>
                <w:rFonts w:hint="eastAsia"/>
                <w:sz w:val="21"/>
              </w:rPr>
              <w:t>（</w:t>
            </w:r>
            <w:r>
              <w:rPr>
                <w:sz w:val="21"/>
              </w:rPr>
              <w:t>10分）</w:t>
            </w:r>
          </w:p>
        </w:tc>
        <w:tc>
          <w:tcPr>
            <w:tcW w:w="6987" w:type="dxa"/>
            <w:tcBorders>
              <w:top w:val="single" w:color="auto" w:sz="4" w:space="0"/>
              <w:left w:val="single" w:color="auto" w:sz="4" w:space="0"/>
              <w:bottom w:val="single" w:color="auto" w:sz="4" w:space="0"/>
              <w:right w:val="single" w:color="auto" w:sz="4" w:space="0"/>
            </w:tcBorders>
          </w:tcPr>
          <w:p>
            <w:pPr>
              <w:pStyle w:val="34"/>
              <w:spacing w:before="22" w:line="360" w:lineRule="auto"/>
              <w:ind w:left="113"/>
              <w:rPr>
                <w:spacing w:val="-12"/>
                <w:sz w:val="21"/>
              </w:rPr>
            </w:pPr>
            <w:r>
              <w:rPr>
                <w:rFonts w:hint="eastAsia"/>
                <w:spacing w:val="-12"/>
                <w:sz w:val="21"/>
              </w:rPr>
              <w:t>视投标方是否有机械或类似相关行业尤其是汽车产品配件运输服务业务经历</w:t>
            </w:r>
            <w:r>
              <w:rPr>
                <w:spacing w:val="-12"/>
                <w:sz w:val="21"/>
              </w:rPr>
              <w:t>或业绩，</w:t>
            </w:r>
            <w:r>
              <w:rPr>
                <w:rFonts w:hint="eastAsia"/>
                <w:spacing w:val="-12"/>
                <w:sz w:val="21"/>
                <w:lang w:val="en-US"/>
              </w:rPr>
              <w:t>可</w:t>
            </w:r>
            <w:r>
              <w:rPr>
                <w:rFonts w:hint="eastAsia"/>
              </w:rPr>
              <w:t>提供业绩的合同，根据合同的质量进行评分</w:t>
            </w:r>
            <w:r>
              <w:rPr>
                <w:spacing w:val="-12"/>
                <w:sz w:val="21"/>
              </w:rPr>
              <w:t>予以赋分。</w:t>
            </w:r>
          </w:p>
          <w:p>
            <w:pPr>
              <w:pStyle w:val="34"/>
              <w:spacing w:before="22" w:line="360" w:lineRule="auto"/>
              <w:ind w:left="113"/>
              <w:rPr>
                <w:spacing w:val="-12"/>
                <w:sz w:val="21"/>
              </w:rPr>
            </w:pPr>
            <w:r>
              <w:rPr>
                <w:rFonts w:hint="eastAsia"/>
                <w:spacing w:val="-12"/>
                <w:sz w:val="21"/>
              </w:rPr>
              <w:t>经综合评定业绩为“优”的，赋</w:t>
            </w:r>
            <w:r>
              <w:rPr>
                <w:spacing w:val="-12"/>
                <w:sz w:val="21"/>
              </w:rPr>
              <w:t>8～10分；情况为“良”的，赋5～7分；情况为“一般”的，赋</w:t>
            </w:r>
            <w:r>
              <w:rPr>
                <w:rFonts w:hint="eastAsia"/>
                <w:spacing w:val="-12"/>
                <w:sz w:val="21"/>
                <w:lang w:val="en-US" w:eastAsia="zh-CN"/>
              </w:rPr>
              <w:t>4</w:t>
            </w:r>
            <w:r>
              <w:rPr>
                <w:spacing w:val="-12"/>
                <w:sz w:val="21"/>
              </w:rPr>
              <w:t>分及以下，最少0分。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34"/>
              <w:spacing w:before="22" w:line="360" w:lineRule="auto"/>
              <w:ind w:left="170" w:right="199"/>
              <w:jc w:val="center"/>
              <w:rPr>
                <w:sz w:val="21"/>
              </w:rPr>
            </w:pPr>
            <w:r>
              <w:rPr>
                <w:sz w:val="21"/>
              </w:rPr>
              <w:t>服务承诺</w:t>
            </w:r>
          </w:p>
          <w:p>
            <w:pPr>
              <w:pStyle w:val="34"/>
              <w:spacing w:before="22" w:line="360" w:lineRule="auto"/>
              <w:ind w:left="170" w:right="199"/>
              <w:jc w:val="center"/>
              <w:rPr>
                <w:sz w:val="21"/>
              </w:rPr>
            </w:pPr>
            <w:r>
              <w:rPr>
                <w:rFonts w:hint="eastAsia"/>
                <w:sz w:val="21"/>
              </w:rPr>
              <w:t>（</w:t>
            </w:r>
            <w:r>
              <w:rPr>
                <w:sz w:val="21"/>
              </w:rPr>
              <w:t>10分）</w:t>
            </w:r>
          </w:p>
        </w:tc>
        <w:tc>
          <w:tcPr>
            <w:tcW w:w="6987" w:type="dxa"/>
            <w:tcBorders>
              <w:top w:val="single" w:color="auto" w:sz="4" w:space="0"/>
              <w:left w:val="single" w:color="auto" w:sz="4" w:space="0"/>
              <w:bottom w:val="single" w:color="auto" w:sz="4" w:space="0"/>
              <w:right w:val="single" w:color="auto" w:sz="4" w:space="0"/>
            </w:tcBorders>
          </w:tcPr>
          <w:p>
            <w:pPr>
              <w:pStyle w:val="34"/>
              <w:spacing w:before="22" w:line="360" w:lineRule="auto"/>
              <w:ind w:left="113"/>
              <w:rPr>
                <w:spacing w:val="-12"/>
                <w:sz w:val="21"/>
              </w:rPr>
            </w:pPr>
            <w:r>
              <w:rPr>
                <w:rFonts w:hint="eastAsia"/>
                <w:spacing w:val="-12"/>
                <w:sz w:val="21"/>
              </w:rPr>
              <w:t>依据投标方所承诺的、能够为本招标项目所配备的、包含但不限于各种设</w:t>
            </w:r>
            <w:r>
              <w:rPr>
                <w:spacing w:val="-12"/>
                <w:sz w:val="21"/>
              </w:rPr>
              <w:t>备、人员和服务支持情况，予以赋分。</w:t>
            </w:r>
            <w:r>
              <w:rPr>
                <w:rFonts w:hint="eastAsia"/>
                <w:spacing w:val="-12"/>
                <w:sz w:val="21"/>
              </w:rPr>
              <w:t>提供自有运输设备（包括车辆、飞机等）以体现投标人的综合运输能力。自有运输车辆</w:t>
            </w:r>
            <w:r>
              <w:rPr>
                <w:spacing w:val="-12"/>
                <w:sz w:val="21"/>
              </w:rPr>
              <w:t>50辆（含50辆）以内的得赋分5分，每增加30辆车加1分，本项最多加3分。投标人应同时提供车辆行驶证复印件，以证明车辆归属。</w:t>
            </w:r>
          </w:p>
          <w:p>
            <w:pPr>
              <w:pStyle w:val="34"/>
              <w:spacing w:before="22" w:line="360" w:lineRule="auto"/>
              <w:ind w:left="113"/>
              <w:rPr>
                <w:spacing w:val="-12"/>
                <w:sz w:val="21"/>
              </w:rPr>
            </w:pPr>
            <w:r>
              <w:rPr>
                <w:rFonts w:hint="eastAsia"/>
                <w:spacing w:val="-12"/>
                <w:sz w:val="21"/>
              </w:rPr>
              <w:t>经综合评定服务承诺为“优”的，赋</w:t>
            </w:r>
            <w:r>
              <w:rPr>
                <w:spacing w:val="-12"/>
                <w:sz w:val="21"/>
              </w:rPr>
              <w:t>8～10分；情况为“良”的，赋5～7</w:t>
            </w:r>
          </w:p>
          <w:p>
            <w:pPr>
              <w:pStyle w:val="34"/>
              <w:spacing w:before="22" w:line="360" w:lineRule="auto"/>
              <w:ind w:left="113"/>
              <w:rPr>
                <w:spacing w:val="-12"/>
                <w:sz w:val="21"/>
              </w:rPr>
            </w:pPr>
            <w:r>
              <w:rPr>
                <w:rFonts w:hint="eastAsia"/>
                <w:spacing w:val="-12"/>
                <w:sz w:val="21"/>
              </w:rPr>
              <w:t>分；情况为“一般”的，赋</w:t>
            </w:r>
            <w:r>
              <w:rPr>
                <w:spacing w:val="-12"/>
                <w:sz w:val="21"/>
              </w:rPr>
              <w:t>4分及以下，最少0分。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34"/>
              <w:spacing w:before="48" w:line="360" w:lineRule="auto"/>
              <w:ind w:right="199"/>
              <w:jc w:val="center"/>
              <w:rPr>
                <w:sz w:val="21"/>
              </w:rPr>
            </w:pPr>
            <w:r>
              <w:rPr>
                <w:rFonts w:hint="eastAsia"/>
                <w:sz w:val="21"/>
                <w:lang w:val="en-US"/>
              </w:rPr>
              <w:t xml:space="preserve"> </w:t>
            </w:r>
            <w:r>
              <w:rPr>
                <w:sz w:val="21"/>
              </w:rPr>
              <w:t>报价</w:t>
            </w:r>
          </w:p>
          <w:p>
            <w:pPr>
              <w:pStyle w:val="34"/>
              <w:spacing w:before="48" w:line="360" w:lineRule="auto"/>
              <w:ind w:right="199"/>
              <w:jc w:val="center"/>
              <w:rPr>
                <w:sz w:val="21"/>
              </w:rPr>
            </w:pPr>
            <w:r>
              <w:rPr>
                <w:rFonts w:hint="eastAsia"/>
                <w:sz w:val="21"/>
                <w:lang w:val="en-US"/>
              </w:rPr>
              <w:t xml:space="preserve"> </w:t>
            </w:r>
            <w:r>
              <w:rPr>
                <w:sz w:val="21"/>
              </w:rPr>
              <w:t>（</w:t>
            </w:r>
            <w:r>
              <w:rPr>
                <w:rFonts w:hint="eastAsia"/>
                <w:sz w:val="21"/>
                <w:lang w:val="en-US"/>
              </w:rPr>
              <w:t>50</w:t>
            </w:r>
            <w:r>
              <w:rPr>
                <w:sz w:val="21"/>
              </w:rPr>
              <w:t>分）</w:t>
            </w:r>
          </w:p>
        </w:tc>
        <w:tc>
          <w:tcPr>
            <w:tcW w:w="6987" w:type="dxa"/>
            <w:tcBorders>
              <w:top w:val="single" w:color="auto" w:sz="4" w:space="0"/>
              <w:left w:val="single" w:color="auto" w:sz="4" w:space="0"/>
              <w:bottom w:val="single" w:color="auto" w:sz="4" w:space="0"/>
              <w:right w:val="single" w:color="auto" w:sz="4" w:space="0"/>
            </w:tcBorders>
          </w:tcPr>
          <w:p>
            <w:pPr>
              <w:pStyle w:val="34"/>
              <w:spacing w:before="170" w:line="360" w:lineRule="auto"/>
              <w:ind w:right="203"/>
              <w:rPr>
                <w:spacing w:val="-12"/>
                <w:sz w:val="21"/>
              </w:rPr>
            </w:pPr>
            <w:r>
              <w:rPr>
                <w:spacing w:val="-12"/>
                <w:sz w:val="21"/>
              </w:rPr>
              <w:t>根据</w:t>
            </w:r>
            <w:r>
              <w:rPr>
                <w:rFonts w:hint="eastAsia"/>
                <w:spacing w:val="-12"/>
                <w:sz w:val="21"/>
                <w:lang w:val="en-US"/>
              </w:rPr>
              <w:t>投标方</w:t>
            </w:r>
            <w:r>
              <w:rPr>
                <w:spacing w:val="-12"/>
                <w:sz w:val="21"/>
              </w:rPr>
              <w:t>报价由高到低依次打分。</w:t>
            </w:r>
            <w:r>
              <w:rPr>
                <w:rFonts w:hint="eastAsia"/>
                <w:spacing w:val="-12"/>
                <w:sz w:val="21"/>
                <w:lang w:val="en-US"/>
              </w:rPr>
              <w:t>打分标准为投标报价最低的为评标基准价，其价格分为满分（标准分）。其他投标人的价格分统一按照下列公式计算：</w:t>
            </w:r>
            <w:r>
              <w:rPr>
                <w:rFonts w:hint="eastAsia"/>
                <w:color w:val="000000"/>
                <w:szCs w:val="21"/>
              </w:rPr>
              <w:t>投标报价得分</w:t>
            </w:r>
            <w:r>
              <w:rPr>
                <w:rFonts w:ascii="Times New Roman" w:hAnsi="Times New Roman" w:cs="Times New Roman"/>
                <w:color w:val="000000"/>
                <w:szCs w:val="21"/>
              </w:rPr>
              <w:t>=(</w:t>
            </w:r>
            <w:r>
              <w:rPr>
                <w:rFonts w:hint="eastAsia"/>
                <w:color w:val="000000"/>
                <w:szCs w:val="21"/>
              </w:rPr>
              <w:t>评标基准价／投标报价</w:t>
            </w:r>
            <w:r>
              <w:rPr>
                <w:rFonts w:ascii="Times New Roman" w:hAnsi="Times New Roman" w:cs="Times New Roman"/>
                <w:color w:val="000000"/>
                <w:szCs w:val="21"/>
              </w:rPr>
              <w:t>)×</w:t>
            </w:r>
            <w:r>
              <w:rPr>
                <w:rFonts w:hint="eastAsia" w:ascii="Times New Roman" w:hAnsi="Times New Roman" w:cs="Times New Roman"/>
                <w:color w:val="000000"/>
                <w:szCs w:val="21"/>
                <w:lang w:val="en-US"/>
              </w:rPr>
              <w:t>50</w:t>
            </w:r>
            <w:r>
              <w:rPr>
                <w:rFonts w:hint="eastAsia" w:ascii="Times New Roman" w:hAnsi="Times New Roman" w:cs="Times New Roman"/>
                <w:color w:val="000000"/>
                <w:szCs w:val="21"/>
              </w:rPr>
              <w:t>。</w:t>
            </w:r>
            <w:r>
              <w:rPr>
                <w:rFonts w:hint="eastAsia" w:cs="Times New Roman"/>
                <w:color w:val="000000"/>
                <w:szCs w:val="21"/>
              </w:rPr>
              <w:t>评标委员会二分之一以上人员认为某投标总报价有低于成本价嫌疑的，视为无效报价，不进入下一步评审。特殊情况下，如果价格过高或过低，专家组可要求投标人做出说明或提供相应证明材料，以判定投标价格的合理性</w:t>
            </w:r>
            <w:r>
              <w:rPr>
                <w:rFonts w:cs="Times New Roman"/>
                <w:color w:val="000000"/>
                <w:szCs w:val="21"/>
              </w:rPr>
              <w:t>,给予赋分。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34"/>
              <w:spacing w:before="48" w:line="360" w:lineRule="auto"/>
              <w:ind w:left="208" w:right="199"/>
              <w:jc w:val="center"/>
              <w:rPr>
                <w:sz w:val="21"/>
                <w:lang w:val="en-US"/>
              </w:rPr>
            </w:pPr>
            <w:r>
              <w:rPr>
                <w:rFonts w:hint="eastAsia"/>
                <w:sz w:val="21"/>
                <w:lang w:val="en-US"/>
              </w:rPr>
              <w:t>质量</w:t>
            </w:r>
          </w:p>
          <w:p>
            <w:pPr>
              <w:pStyle w:val="34"/>
              <w:spacing w:before="48" w:line="360" w:lineRule="auto"/>
              <w:ind w:left="208" w:right="199"/>
              <w:jc w:val="center"/>
              <w:rPr>
                <w:sz w:val="21"/>
                <w:lang w:val="en-US"/>
              </w:rPr>
            </w:pPr>
            <w:r>
              <w:rPr>
                <w:rFonts w:hint="eastAsia"/>
                <w:sz w:val="21"/>
                <w:lang w:val="en-US"/>
              </w:rPr>
              <w:t>（</w:t>
            </w:r>
            <w:r>
              <w:rPr>
                <w:sz w:val="21"/>
                <w:lang w:val="en-US"/>
              </w:rPr>
              <w:t>20分）</w:t>
            </w:r>
          </w:p>
        </w:tc>
        <w:tc>
          <w:tcPr>
            <w:tcW w:w="6987" w:type="dxa"/>
            <w:tcBorders>
              <w:top w:val="single" w:color="auto" w:sz="4" w:space="0"/>
              <w:left w:val="single" w:color="auto" w:sz="4" w:space="0"/>
              <w:bottom w:val="single" w:color="auto" w:sz="4" w:space="0"/>
              <w:right w:val="single" w:color="auto" w:sz="4" w:space="0"/>
            </w:tcBorders>
          </w:tcPr>
          <w:p>
            <w:pPr>
              <w:pStyle w:val="34"/>
              <w:spacing w:before="170" w:line="360" w:lineRule="auto"/>
              <w:ind w:left="113" w:right="203"/>
              <w:rPr>
                <w:spacing w:val="-12"/>
                <w:sz w:val="21"/>
              </w:rPr>
            </w:pPr>
            <w:r>
              <w:rPr>
                <w:rFonts w:hint="eastAsia"/>
                <w:lang w:val="en-US"/>
              </w:rPr>
              <w:t>根据投标方</w:t>
            </w:r>
            <w:r>
              <w:rPr>
                <w:rFonts w:hint="eastAsia"/>
              </w:rPr>
              <w:t>提供服务方案、</w:t>
            </w:r>
            <w:r>
              <w:rPr>
                <w:rFonts w:hint="eastAsia"/>
                <w:szCs w:val="21"/>
              </w:rPr>
              <w:t>服务时效承诺</w:t>
            </w:r>
            <w:r>
              <w:rPr>
                <w:rFonts w:hint="eastAsia"/>
              </w:rPr>
              <w:t>、服务</w:t>
            </w:r>
            <w:r>
              <w:rPr>
                <w:rFonts w:hint="eastAsia"/>
                <w:lang w:val="en-US"/>
              </w:rPr>
              <w:t>质量</w:t>
            </w:r>
            <w:r>
              <w:rPr>
                <w:spacing w:val="-12"/>
                <w:sz w:val="21"/>
              </w:rPr>
              <w:t>由高到低依次打分。</w:t>
            </w:r>
          </w:p>
          <w:p>
            <w:pPr>
              <w:pStyle w:val="12"/>
              <w:spacing w:line="360" w:lineRule="auto"/>
              <w:ind w:firstLine="420" w:firstLineChars="200"/>
            </w:pPr>
            <w:r>
              <w:rPr>
                <w:rFonts w:hint="eastAsia"/>
              </w:rPr>
              <w:t>1.配送时效较短的，最优者赋分</w:t>
            </w:r>
            <w:r>
              <w:t>15</w:t>
            </w:r>
            <w:r>
              <w:rPr>
                <w:rFonts w:hint="eastAsia"/>
              </w:rPr>
              <w:t>分；最差者赋分</w:t>
            </w:r>
            <w:r>
              <w:t>4</w:t>
            </w:r>
            <w:r>
              <w:rPr>
                <w:rFonts w:hint="eastAsia"/>
              </w:rPr>
              <w:t>分；其它的根据排序在</w:t>
            </w:r>
            <w:r>
              <w:t>5</w:t>
            </w:r>
            <w:r>
              <w:rPr>
                <w:rFonts w:hint="eastAsia"/>
              </w:rPr>
              <w:t>—</w:t>
            </w:r>
            <w:r>
              <w:t>14</w:t>
            </w:r>
            <w:r>
              <w:rPr>
                <w:rFonts w:hint="eastAsia"/>
              </w:rPr>
              <w:t>分之间赋分；</w:t>
            </w:r>
          </w:p>
          <w:p>
            <w:pPr>
              <w:pStyle w:val="34"/>
              <w:spacing w:before="170" w:line="360" w:lineRule="auto"/>
              <w:ind w:right="203" w:firstLine="440" w:firstLineChars="200"/>
              <w:rPr>
                <w:szCs w:val="21"/>
              </w:rPr>
            </w:pPr>
            <w:r>
              <w:rPr>
                <w:szCs w:val="21"/>
              </w:rPr>
              <w:t>2</w:t>
            </w:r>
            <w:r>
              <w:rPr>
                <w:rFonts w:hint="eastAsia"/>
                <w:szCs w:val="21"/>
              </w:rPr>
              <w:t>.运输</w:t>
            </w:r>
            <w:r>
              <w:rPr>
                <w:szCs w:val="21"/>
              </w:rPr>
              <w:t>途中</w:t>
            </w:r>
            <w:r>
              <w:rPr>
                <w:rFonts w:hint="eastAsia"/>
                <w:szCs w:val="21"/>
              </w:rPr>
              <w:t>查询</w:t>
            </w:r>
            <w:r>
              <w:rPr>
                <w:szCs w:val="21"/>
              </w:rPr>
              <w:t>服务，</w:t>
            </w:r>
            <w:r>
              <w:rPr>
                <w:rFonts w:hint="eastAsia"/>
                <w:szCs w:val="21"/>
              </w:rPr>
              <w:t>方案</w:t>
            </w:r>
            <w:r>
              <w:rPr>
                <w:szCs w:val="21"/>
              </w:rPr>
              <w:t>最优者</w:t>
            </w:r>
            <w:r>
              <w:rPr>
                <w:rFonts w:hint="eastAsia"/>
                <w:szCs w:val="21"/>
              </w:rPr>
              <w:t>赋</w:t>
            </w:r>
            <w:r>
              <w:rPr>
                <w:rFonts w:hint="eastAsia"/>
                <w:szCs w:val="21"/>
                <w:lang w:val="en-US" w:eastAsia="zh-CN"/>
              </w:rPr>
              <w:t>5</w:t>
            </w:r>
            <w:r>
              <w:rPr>
                <w:rFonts w:hint="eastAsia"/>
                <w:szCs w:val="21"/>
              </w:rPr>
              <w:t>分；</w:t>
            </w:r>
            <w:r>
              <w:rPr>
                <w:szCs w:val="21"/>
              </w:rPr>
              <w:t>最差者赋</w:t>
            </w:r>
            <w:r>
              <w:rPr>
                <w:rFonts w:hint="eastAsia"/>
                <w:szCs w:val="21"/>
                <w:lang w:val="en-US" w:eastAsia="zh-CN"/>
              </w:rPr>
              <w:t>1</w:t>
            </w:r>
            <w:r>
              <w:rPr>
                <w:rFonts w:hint="eastAsia"/>
                <w:szCs w:val="21"/>
              </w:rPr>
              <w:t>分；</w:t>
            </w:r>
            <w:r>
              <w:rPr>
                <w:szCs w:val="21"/>
              </w:rPr>
              <w:t>其</w:t>
            </w:r>
            <w:r>
              <w:rPr>
                <w:rFonts w:hint="eastAsia"/>
                <w:szCs w:val="21"/>
              </w:rPr>
              <w:t>它</w:t>
            </w:r>
            <w:r>
              <w:rPr>
                <w:szCs w:val="21"/>
              </w:rPr>
              <w:t>的</w:t>
            </w:r>
            <w:r>
              <w:rPr>
                <w:rFonts w:hint="eastAsia"/>
                <w:szCs w:val="21"/>
              </w:rPr>
              <w:t>根据排序在</w:t>
            </w:r>
            <w:r>
              <w:rPr>
                <w:rFonts w:hint="eastAsia"/>
                <w:szCs w:val="21"/>
                <w:lang w:val="en-US" w:eastAsia="zh-CN"/>
              </w:rPr>
              <w:t>2</w:t>
            </w:r>
            <w:r>
              <w:rPr>
                <w:rFonts w:hint="eastAsia"/>
                <w:szCs w:val="21"/>
              </w:rPr>
              <w:t>—</w:t>
            </w:r>
            <w:r>
              <w:rPr>
                <w:rFonts w:hint="eastAsia"/>
                <w:szCs w:val="21"/>
                <w:lang w:val="en-US" w:eastAsia="zh-CN"/>
              </w:rPr>
              <w:t>4</w:t>
            </w:r>
            <w:r>
              <w:rPr>
                <w:rFonts w:hint="eastAsia"/>
                <w:szCs w:val="21"/>
              </w:rPr>
              <w:t>分之间赋分。</w:t>
            </w:r>
          </w:p>
          <w:p>
            <w:pPr>
              <w:pStyle w:val="34"/>
              <w:spacing w:before="170" w:line="360" w:lineRule="auto"/>
              <w:ind w:right="203" w:firstLine="372" w:firstLineChars="200"/>
              <w:rPr>
                <w:spacing w:val="-12"/>
                <w:sz w:val="21"/>
                <w:lang w:val="en-US"/>
              </w:rPr>
            </w:pPr>
            <w:r>
              <w:rPr>
                <w:spacing w:val="-12"/>
                <w:sz w:val="21"/>
              </w:rPr>
              <w:t>优：</w:t>
            </w:r>
            <w:r>
              <w:rPr>
                <w:rFonts w:hint="eastAsia"/>
                <w:spacing w:val="-12"/>
                <w:sz w:val="21"/>
                <w:lang w:val="en-US"/>
              </w:rPr>
              <w:t>15</w:t>
            </w:r>
            <w:r>
              <w:rPr>
                <w:spacing w:val="-12"/>
                <w:sz w:val="21"/>
              </w:rPr>
              <w:t>～</w:t>
            </w:r>
            <w:r>
              <w:rPr>
                <w:rFonts w:hint="eastAsia"/>
                <w:spacing w:val="-12"/>
                <w:sz w:val="21"/>
                <w:lang w:val="en-US"/>
              </w:rPr>
              <w:t>20</w:t>
            </w:r>
            <w:r>
              <w:rPr>
                <w:spacing w:val="-12"/>
                <w:sz w:val="21"/>
                <w:lang w:val="en-US"/>
              </w:rPr>
              <w:t xml:space="preserve"> </w:t>
            </w:r>
            <w:r>
              <w:rPr>
                <w:rFonts w:hint="eastAsia"/>
                <w:spacing w:val="-12"/>
                <w:sz w:val="21"/>
                <w:lang w:val="en-US"/>
              </w:rPr>
              <w:t>分；良：</w:t>
            </w:r>
            <w:r>
              <w:rPr>
                <w:spacing w:val="-12"/>
                <w:sz w:val="21"/>
                <w:lang w:val="en-US"/>
              </w:rPr>
              <w:t>9～14分；；情况为“一般”的，赋8分及以下，最少0分。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980" w:type="dxa"/>
            <w:tcBorders>
              <w:top w:val="single" w:color="auto" w:sz="4" w:space="0"/>
            </w:tcBorders>
            <w:vAlign w:val="center"/>
          </w:tcPr>
          <w:p>
            <w:pPr>
              <w:pStyle w:val="34"/>
              <w:spacing w:before="1" w:line="360" w:lineRule="auto"/>
              <w:ind w:left="210" w:right="199"/>
              <w:jc w:val="center"/>
              <w:rPr>
                <w:sz w:val="21"/>
              </w:rPr>
            </w:pPr>
            <w:r>
              <w:rPr>
                <w:sz w:val="21"/>
              </w:rPr>
              <w:t>备注</w:t>
            </w:r>
          </w:p>
        </w:tc>
        <w:tc>
          <w:tcPr>
            <w:tcW w:w="6987" w:type="dxa"/>
            <w:tcBorders>
              <w:top w:val="single" w:color="auto" w:sz="4" w:space="0"/>
            </w:tcBorders>
          </w:tcPr>
          <w:p>
            <w:pPr>
              <w:pStyle w:val="34"/>
              <w:spacing w:before="171" w:line="360" w:lineRule="auto"/>
              <w:ind w:left="113" w:right="455"/>
              <w:rPr>
                <w:spacing w:val="-12"/>
                <w:sz w:val="21"/>
              </w:rPr>
            </w:pPr>
            <w:r>
              <w:rPr>
                <w:spacing w:val="-12"/>
                <w:sz w:val="21"/>
              </w:rPr>
              <w:t>企业实力中所要求证书及合同业绩开标现场均需提供原件或盖章复印件，否则不作得分依据。</w:t>
            </w:r>
          </w:p>
        </w:tc>
      </w:tr>
    </w:tbl>
    <w:p>
      <w:pPr>
        <w:spacing w:line="360" w:lineRule="auto"/>
        <w:rPr>
          <w:sz w:val="21"/>
        </w:rPr>
        <w:sectPr>
          <w:pgSz w:w="11910" w:h="16840"/>
          <w:pgMar w:top="1304" w:right="822" w:bottom="1304" w:left="782" w:header="505" w:footer="975" w:gutter="0"/>
          <w:cols w:space="720" w:num="1"/>
        </w:sectPr>
      </w:pPr>
    </w:p>
    <w:p>
      <w:pPr>
        <w:spacing w:before="54" w:line="360" w:lineRule="auto"/>
        <w:ind w:firstLine="964" w:firstLineChars="300"/>
        <w:rPr>
          <w:rFonts w:ascii="黑体" w:eastAsia="黑体"/>
          <w:b/>
          <w:sz w:val="32"/>
        </w:rPr>
      </w:pPr>
      <w:r>
        <w:rPr>
          <w:rFonts w:hint="eastAsia" w:ascii="黑体" w:eastAsia="黑体"/>
          <w:b/>
          <w:sz w:val="32"/>
        </w:rPr>
        <w:t>八、合同签订</w:t>
      </w:r>
    </w:p>
    <w:p>
      <w:pPr>
        <w:pStyle w:val="33"/>
        <w:numPr>
          <w:ilvl w:val="0"/>
          <w:numId w:val="3"/>
        </w:numPr>
        <w:tabs>
          <w:tab w:val="left" w:pos="1270"/>
        </w:tabs>
        <w:spacing w:before="111" w:line="360" w:lineRule="auto"/>
        <w:ind w:right="595" w:firstLine="420"/>
        <w:jc w:val="both"/>
        <w:rPr>
          <w:sz w:val="21"/>
        </w:rPr>
      </w:pPr>
      <w:r>
        <w:rPr>
          <w:sz w:val="21"/>
        </w:rPr>
        <w:t>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33"/>
        <w:numPr>
          <w:ilvl w:val="0"/>
          <w:numId w:val="3"/>
        </w:numPr>
        <w:tabs>
          <w:tab w:val="left" w:pos="1270"/>
        </w:tabs>
        <w:spacing w:line="360" w:lineRule="auto"/>
        <w:ind w:right="565" w:firstLine="420"/>
        <w:jc w:val="both"/>
        <w:rPr>
          <w:sz w:val="21"/>
        </w:rPr>
      </w:pPr>
      <w:r>
        <w:rPr>
          <w:sz w:val="21"/>
        </w:rPr>
        <w:t>招标人发送《中标通知书》给中标人，中标人应及时与招标人联系，在规定的时间内（一般为接到《中标通知书》后3个工作日内）到招标单位对《中标人推荐表》进行签字确认并与相关单位签订合同（一般为接到《中标通知书》后10个工作日内，具体以招标人要求为准）</w:t>
      </w:r>
      <w:r>
        <w:rPr>
          <w:rFonts w:hint="eastAsia"/>
          <w:sz w:val="21"/>
        </w:rPr>
        <w:t>，</w:t>
      </w:r>
      <w:r>
        <w:rPr>
          <w:sz w:val="21"/>
        </w:rPr>
        <w:t>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pPr>
        <w:pStyle w:val="33"/>
        <w:numPr>
          <w:ilvl w:val="0"/>
          <w:numId w:val="3"/>
        </w:numPr>
        <w:tabs>
          <w:tab w:val="left" w:pos="1270"/>
        </w:tabs>
        <w:spacing w:line="360" w:lineRule="auto"/>
        <w:ind w:right="580" w:firstLine="420"/>
        <w:jc w:val="both"/>
        <w:rPr>
          <w:sz w:val="21"/>
        </w:rPr>
      </w:pPr>
      <w:r>
        <w:rPr>
          <w:sz w:val="21"/>
        </w:rPr>
        <w:t>中标人应当按照合同约定的履约责任，</w:t>
      </w:r>
      <w:r>
        <w:rPr>
          <w:rFonts w:hint="eastAsia"/>
          <w:sz w:val="21"/>
        </w:rPr>
        <w:t>向招标人缴纳履约保证金</w:t>
      </w:r>
      <w:r>
        <w:rPr>
          <w:rFonts w:hint="eastAsia"/>
          <w:sz w:val="21"/>
          <w:lang w:val="en-US" w:eastAsia="zh-CN"/>
        </w:rPr>
        <w:t>30</w:t>
      </w:r>
      <w:r>
        <w:rPr>
          <w:sz w:val="21"/>
        </w:rPr>
        <w:t>万元（人民币），如中标人未按合同及其附件约定履行应承担的责任，招标人有权单方直接扣除其履约保证金。</w:t>
      </w:r>
    </w:p>
    <w:p>
      <w:pPr>
        <w:pStyle w:val="33"/>
        <w:numPr>
          <w:ilvl w:val="0"/>
          <w:numId w:val="3"/>
        </w:numPr>
        <w:tabs>
          <w:tab w:val="left" w:pos="1270"/>
        </w:tabs>
        <w:spacing w:line="360" w:lineRule="auto"/>
        <w:ind w:right="640" w:firstLine="420"/>
        <w:rPr>
          <w:sz w:val="21"/>
        </w:rPr>
      </w:pPr>
      <w:r>
        <w:rPr>
          <w:sz w:val="21"/>
        </w:rPr>
        <w:t>中标人应在保证质量的前提下完成中标项目，不得将中标项目转包或分包给他人，否则视为违约，招标人或相关单位有权解除合同。</w:t>
      </w:r>
    </w:p>
    <w:p>
      <w:pPr>
        <w:pStyle w:val="33"/>
        <w:numPr>
          <w:ilvl w:val="0"/>
          <w:numId w:val="3"/>
        </w:numPr>
        <w:tabs>
          <w:tab w:val="left" w:pos="1270"/>
        </w:tabs>
        <w:spacing w:line="360" w:lineRule="auto"/>
        <w:ind w:right="595" w:firstLine="420"/>
        <w:jc w:val="both"/>
        <w:rPr>
          <w:sz w:val="21"/>
        </w:rPr>
      </w:pPr>
      <w:r>
        <w:rPr>
          <w:sz w:val="21"/>
        </w:rPr>
        <w:t>在履行合同过程中，中标人由于履行义务的能力或信用有严重缺陷，招标人有权解除合同并取消其中标资格，招标人将从剩余投标人中依序重新确定中标人，或重新组织招标，因此造成的损失由中标人承担。</w:t>
      </w:r>
    </w:p>
    <w:p>
      <w:pPr>
        <w:pStyle w:val="33"/>
        <w:numPr>
          <w:ilvl w:val="0"/>
          <w:numId w:val="3"/>
        </w:numPr>
        <w:tabs>
          <w:tab w:val="left" w:pos="1270"/>
        </w:tabs>
        <w:spacing w:line="360" w:lineRule="auto"/>
        <w:ind w:right="640" w:firstLine="420"/>
        <w:rPr>
          <w:sz w:val="21"/>
        </w:rPr>
      </w:pPr>
      <w:r>
        <w:rPr>
          <w:sz w:val="21"/>
        </w:rPr>
        <w:t>招标人有权指定招标人的关联单位作为合同签订人，与中标人签署相关合同，且具体权利义务以双方最终签署的合同为准。</w:t>
      </w:r>
    </w:p>
    <w:p>
      <w:pPr>
        <w:pStyle w:val="33"/>
        <w:numPr>
          <w:ilvl w:val="0"/>
          <w:numId w:val="3"/>
        </w:numPr>
        <w:tabs>
          <w:tab w:val="left" w:pos="1270"/>
        </w:tabs>
        <w:spacing w:line="360" w:lineRule="auto"/>
        <w:ind w:right="640" w:firstLine="420"/>
        <w:rPr>
          <w:sz w:val="21"/>
        </w:rPr>
      </w:pPr>
      <w:r>
        <w:rPr>
          <w:sz w:val="21"/>
        </w:rPr>
        <w:t>中标人须认可招标人由于招标人上级集团公司政策变化引起的随时终止合同的要求。</w:t>
      </w:r>
    </w:p>
    <w:p>
      <w:pPr>
        <w:pStyle w:val="33"/>
        <w:numPr>
          <w:ilvl w:val="0"/>
          <w:numId w:val="3"/>
        </w:numPr>
        <w:tabs>
          <w:tab w:val="left" w:pos="1270"/>
        </w:tabs>
        <w:spacing w:line="360" w:lineRule="auto"/>
        <w:ind w:right="640" w:firstLine="420"/>
        <w:rPr>
          <w:sz w:val="21"/>
        </w:rPr>
      </w:pPr>
      <w:r>
        <w:rPr>
          <w:sz w:val="21"/>
        </w:rPr>
        <w:t>中标人为委托业务购置财产保全保险，保费由中标人承担，指定招标人授权的合同签署单位为唯一受益人，并由各主营单位在合同中约定。</w:t>
      </w:r>
    </w:p>
    <w:p>
      <w:pPr>
        <w:pStyle w:val="3"/>
        <w:spacing w:before="178" w:line="360" w:lineRule="auto"/>
      </w:pPr>
      <w:bookmarkStart w:id="20" w:name="九、废标及终止招标"/>
      <w:bookmarkEnd w:id="20"/>
      <w:r>
        <w:t>九、废标及终止招标</w:t>
      </w:r>
    </w:p>
    <w:p>
      <w:pPr>
        <w:pStyle w:val="33"/>
        <w:numPr>
          <w:ilvl w:val="0"/>
          <w:numId w:val="4"/>
        </w:numPr>
        <w:tabs>
          <w:tab w:val="left" w:pos="1270"/>
        </w:tabs>
        <w:spacing w:before="216" w:line="360" w:lineRule="auto"/>
        <w:ind w:right="597" w:firstLine="420"/>
        <w:jc w:val="both"/>
        <w:rPr>
          <w:sz w:val="21"/>
        </w:rPr>
      </w:pPr>
      <w:r>
        <w:rPr>
          <w:sz w:val="21"/>
        </w:rPr>
        <w:t>投标人有下列情形之一，其投标将被视为废标，招标人将严格按照《中华人民共和国招标投标法》及相关法律、法规及规章制度的规定行使权利。投标人给招标人造成损失的，包括但不限于因违约造成的直接经济损失、可得利益损失、诉讼费、律师费等实现债权的费用，招标人有索赔的权利，投标人应予以赔偿。</w:t>
      </w:r>
    </w:p>
    <w:p>
      <w:pPr>
        <w:pStyle w:val="10"/>
        <w:spacing w:before="7" w:line="360" w:lineRule="auto"/>
        <w:ind w:left="1058"/>
        <w:rPr>
          <w:szCs w:val="22"/>
        </w:rPr>
      </w:pPr>
      <w:r>
        <w:rPr>
          <w:rFonts w:hint="eastAsia"/>
          <w:szCs w:val="22"/>
        </w:rPr>
        <w:t>⑴</w:t>
      </w:r>
      <w:r>
        <w:rPr>
          <w:szCs w:val="22"/>
        </w:rPr>
        <w:t>投标人提供的有关资格、资质证明文件不合格、不真实或提供虚假投标材料；</w:t>
      </w:r>
    </w:p>
    <w:p>
      <w:pPr>
        <w:pStyle w:val="10"/>
        <w:spacing w:line="360" w:lineRule="auto"/>
        <w:ind w:left="1058"/>
        <w:rPr>
          <w:szCs w:val="22"/>
        </w:rPr>
      </w:pPr>
      <w:r>
        <w:rPr>
          <w:rFonts w:hint="eastAsia"/>
          <w:szCs w:val="22"/>
        </w:rPr>
        <w:t>⑵</w:t>
      </w:r>
      <w:r>
        <w:rPr>
          <w:szCs w:val="22"/>
        </w:rPr>
        <w:t>投标人在报价有效期内撤回投标；</w:t>
      </w:r>
    </w:p>
    <w:p>
      <w:pPr>
        <w:pStyle w:val="10"/>
        <w:spacing w:line="360" w:lineRule="auto"/>
        <w:ind w:left="1058"/>
        <w:rPr>
          <w:szCs w:val="22"/>
        </w:rPr>
      </w:pPr>
      <w:r>
        <w:rPr>
          <w:rFonts w:hint="eastAsia"/>
          <w:szCs w:val="22"/>
        </w:rPr>
        <w:t>⑶</w:t>
      </w:r>
      <w:r>
        <w:rPr>
          <w:szCs w:val="22"/>
        </w:rPr>
        <w:t>在整个评标过程中，投标人有企图影响评标结果公正性的任何活动；</w:t>
      </w:r>
    </w:p>
    <w:p>
      <w:pPr>
        <w:pStyle w:val="10"/>
        <w:spacing w:before="70" w:line="360" w:lineRule="auto"/>
        <w:ind w:left="1058"/>
        <w:rPr>
          <w:szCs w:val="22"/>
        </w:rPr>
      </w:pPr>
      <w:bookmarkStart w:id="21" w:name="_bookmark1"/>
      <w:bookmarkEnd w:id="21"/>
      <w:r>
        <w:rPr>
          <w:rFonts w:hint="eastAsia"/>
          <w:szCs w:val="22"/>
        </w:rPr>
        <w:t>⑷</w:t>
      </w:r>
      <w:r>
        <w:rPr>
          <w:szCs w:val="22"/>
        </w:rPr>
        <w:t>投标人以任何方式诋毁其他投标人；</w:t>
      </w:r>
    </w:p>
    <w:p>
      <w:pPr>
        <w:pStyle w:val="10"/>
        <w:spacing w:before="1" w:line="360" w:lineRule="auto"/>
        <w:ind w:left="1058"/>
        <w:rPr>
          <w:szCs w:val="22"/>
        </w:rPr>
      </w:pPr>
      <w:r>
        <w:rPr>
          <w:rFonts w:hint="eastAsia"/>
          <w:szCs w:val="22"/>
        </w:rPr>
        <w:t>⑸</w:t>
      </w:r>
      <w:r>
        <w:rPr>
          <w:szCs w:val="22"/>
        </w:rPr>
        <w:t>投标人串通投标；</w:t>
      </w:r>
    </w:p>
    <w:p>
      <w:pPr>
        <w:pStyle w:val="10"/>
        <w:spacing w:line="360" w:lineRule="auto"/>
        <w:ind w:left="1058"/>
        <w:rPr>
          <w:szCs w:val="22"/>
        </w:rPr>
      </w:pPr>
      <w:r>
        <w:rPr>
          <w:rFonts w:hint="eastAsia"/>
          <w:szCs w:val="22"/>
        </w:rPr>
        <w:t>⑹</w:t>
      </w:r>
      <w:r>
        <w:rPr>
          <w:szCs w:val="22"/>
        </w:rPr>
        <w:t>以他人名义投标或者以其他方式弄虚作假，骗取中标的；</w:t>
      </w:r>
    </w:p>
    <w:p>
      <w:pPr>
        <w:pStyle w:val="10"/>
        <w:spacing w:before="1" w:line="360" w:lineRule="auto"/>
        <w:ind w:left="1058"/>
        <w:rPr>
          <w:szCs w:val="22"/>
        </w:rPr>
      </w:pPr>
      <w:r>
        <w:rPr>
          <w:rFonts w:hint="eastAsia"/>
          <w:szCs w:val="22"/>
        </w:rPr>
        <w:t>⑺</w:t>
      </w:r>
      <w:r>
        <w:rPr>
          <w:szCs w:val="22"/>
        </w:rPr>
        <w:t>中标人不按规定签订合同；</w:t>
      </w:r>
    </w:p>
    <w:p>
      <w:pPr>
        <w:pStyle w:val="10"/>
        <w:spacing w:line="360" w:lineRule="auto"/>
        <w:ind w:left="1058"/>
        <w:rPr>
          <w:szCs w:val="22"/>
        </w:rPr>
      </w:pPr>
      <w:r>
        <w:rPr>
          <w:rFonts w:hint="eastAsia"/>
          <w:szCs w:val="22"/>
        </w:rPr>
        <w:t>⑻</w:t>
      </w:r>
      <w:r>
        <w:rPr>
          <w:szCs w:val="22"/>
        </w:rPr>
        <w:t>法律、法规规定的其他情况。</w:t>
      </w:r>
    </w:p>
    <w:p>
      <w:pPr>
        <w:pStyle w:val="10"/>
        <w:spacing w:line="360" w:lineRule="auto"/>
        <w:ind w:left="1058"/>
        <w:rPr>
          <w:szCs w:val="22"/>
        </w:rPr>
      </w:pPr>
      <w:r>
        <w:rPr>
          <w:rFonts w:hint="eastAsia"/>
          <w:szCs w:val="22"/>
        </w:rPr>
        <w:t>2</w:t>
      </w:r>
      <w:r>
        <w:rPr>
          <w:szCs w:val="22"/>
        </w:rPr>
        <w:t>.</w:t>
      </w:r>
      <w:r>
        <w:t>出现下列情形之一，招标人有权否决所有投标人的投标，并终止招标。</w:t>
      </w:r>
    </w:p>
    <w:p>
      <w:pPr>
        <w:pStyle w:val="10"/>
        <w:spacing w:line="360" w:lineRule="auto"/>
        <w:ind w:left="1058"/>
        <w:rPr>
          <w:szCs w:val="22"/>
        </w:rPr>
      </w:pPr>
      <w:r>
        <w:rPr>
          <w:rFonts w:hint="eastAsia"/>
          <w:szCs w:val="22"/>
        </w:rPr>
        <w:t>⑴</w:t>
      </w:r>
      <w:r>
        <w:rPr>
          <w:szCs w:val="22"/>
        </w:rPr>
        <w:t>出现影响采购公正的违法、违规行为的；</w:t>
      </w:r>
    </w:p>
    <w:p>
      <w:pPr>
        <w:pStyle w:val="10"/>
        <w:spacing w:line="360" w:lineRule="auto"/>
        <w:ind w:left="1058"/>
        <w:rPr>
          <w:szCs w:val="22"/>
        </w:rPr>
      </w:pPr>
      <w:r>
        <w:rPr>
          <w:rFonts w:hint="eastAsia"/>
          <w:szCs w:val="22"/>
        </w:rPr>
        <w:t>⑵</w:t>
      </w:r>
      <w:r>
        <w:rPr>
          <w:szCs w:val="22"/>
        </w:rPr>
        <w:t>因重大变故，采购任务取消的；</w:t>
      </w:r>
    </w:p>
    <w:p>
      <w:pPr>
        <w:pStyle w:val="10"/>
        <w:spacing w:line="360" w:lineRule="auto"/>
        <w:ind w:left="1058"/>
        <w:rPr>
          <w:szCs w:val="22"/>
        </w:rPr>
      </w:pPr>
      <w:r>
        <w:rPr>
          <w:rFonts w:hint="eastAsia"/>
          <w:szCs w:val="22"/>
        </w:rPr>
        <w:t>⑶</w:t>
      </w:r>
      <w:r>
        <w:rPr>
          <w:szCs w:val="22"/>
        </w:rPr>
        <w:t>招标人认为其他应终止招标的情形。</w:t>
      </w:r>
    </w:p>
    <w:p>
      <w:pPr>
        <w:pStyle w:val="3"/>
        <w:spacing w:before="130" w:line="360" w:lineRule="auto"/>
      </w:pPr>
      <w:bookmarkStart w:id="22" w:name="十、中标人瑕疵滞后发现的处理原则"/>
      <w:bookmarkEnd w:id="22"/>
      <w:r>
        <w:t>十、中标人瑕疵滞后发现的处理原则</w:t>
      </w:r>
    </w:p>
    <w:p>
      <w:pPr>
        <w:pStyle w:val="10"/>
        <w:spacing w:before="15" w:line="360" w:lineRule="auto"/>
        <w:ind w:left="638" w:right="640" w:firstLine="420"/>
        <w:jc w:val="both"/>
      </w:pPr>
      <w: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因招标产生的相关的费用以及一切损失均由中标人承担。</w:t>
      </w:r>
    </w:p>
    <w:p>
      <w:pPr>
        <w:pStyle w:val="3"/>
        <w:spacing w:before="86" w:line="360" w:lineRule="auto"/>
      </w:pPr>
      <w:bookmarkStart w:id="23" w:name="十一、技术要求"/>
      <w:bookmarkEnd w:id="23"/>
      <w:r>
        <w:t>十一、技术要求</w:t>
      </w:r>
    </w:p>
    <w:p>
      <w:pPr>
        <w:pStyle w:val="10"/>
        <w:spacing w:before="111" w:line="360" w:lineRule="auto"/>
        <w:ind w:left="1058"/>
      </w:pPr>
      <w:r>
        <w:t>见本招标文件“第三章技术协议书”，附后。</w:t>
      </w:r>
    </w:p>
    <w:p>
      <w:pPr>
        <w:sectPr>
          <w:pgSz w:w="11910" w:h="16840"/>
          <w:pgMar w:top="1240" w:right="820" w:bottom="1180" w:left="780" w:header="506" w:footer="978" w:gutter="0"/>
          <w:cols w:space="720" w:num="1"/>
        </w:sectPr>
      </w:pPr>
    </w:p>
    <w:p>
      <w:pPr>
        <w:pStyle w:val="10"/>
        <w:rPr>
          <w:sz w:val="20"/>
        </w:rPr>
      </w:pPr>
    </w:p>
    <w:p>
      <w:pPr>
        <w:pStyle w:val="2"/>
        <w:tabs>
          <w:tab w:val="left" w:pos="1812"/>
        </w:tabs>
        <w:spacing w:before="38"/>
        <w:ind w:left="48"/>
        <w:rPr>
          <w:rFonts w:ascii="宋体" w:eastAsia="宋体"/>
        </w:rPr>
      </w:pPr>
      <w:bookmarkStart w:id="24" w:name="第二章投标文件编制"/>
      <w:bookmarkEnd w:id="24"/>
      <w:r>
        <w:rPr>
          <w:rFonts w:hint="eastAsia" w:ascii="宋体" w:eastAsia="宋体"/>
        </w:rPr>
        <w:t>第二章</w:t>
      </w:r>
      <w:r>
        <w:rPr>
          <w:rFonts w:hint="eastAsia" w:ascii="宋体" w:eastAsia="宋体"/>
        </w:rPr>
        <w:tab/>
      </w:r>
      <w:r>
        <w:rPr>
          <w:rFonts w:hint="eastAsia" w:ascii="宋体" w:eastAsia="宋体"/>
        </w:rPr>
        <w:t>投标文件编制</w:t>
      </w:r>
    </w:p>
    <w:p>
      <w:pPr>
        <w:pStyle w:val="10"/>
        <w:spacing w:before="3"/>
        <w:rPr>
          <w:b/>
          <w:sz w:val="40"/>
        </w:rPr>
      </w:pPr>
    </w:p>
    <w:p>
      <w:pPr>
        <w:pStyle w:val="3"/>
        <w:spacing w:before="1"/>
      </w:pPr>
      <w:bookmarkStart w:id="25" w:name="一、投标文件签署"/>
      <w:bookmarkEnd w:id="25"/>
      <w:r>
        <w:t>一、投标文件签署</w:t>
      </w:r>
    </w:p>
    <w:p>
      <w:pPr>
        <w:pStyle w:val="33"/>
        <w:numPr>
          <w:ilvl w:val="0"/>
          <w:numId w:val="5"/>
        </w:numPr>
        <w:tabs>
          <w:tab w:val="left" w:pos="1270"/>
        </w:tabs>
        <w:spacing w:before="112" w:line="422" w:lineRule="auto"/>
        <w:ind w:right="561" w:firstLine="420"/>
        <w:jc w:val="both"/>
        <w:rPr>
          <w:sz w:val="21"/>
        </w:rPr>
      </w:pPr>
      <w:r>
        <w:rPr>
          <w:sz w:val="21"/>
        </w:rPr>
        <w:t>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33"/>
        <w:numPr>
          <w:ilvl w:val="0"/>
          <w:numId w:val="5"/>
        </w:numPr>
        <w:tabs>
          <w:tab w:val="left" w:pos="1270"/>
        </w:tabs>
        <w:spacing w:line="417" w:lineRule="auto"/>
        <w:ind w:right="640" w:firstLine="420"/>
        <w:jc w:val="both"/>
        <w:rPr>
          <w:sz w:val="21"/>
        </w:rPr>
      </w:pPr>
      <w:r>
        <w:rPr>
          <w:sz w:val="21"/>
        </w:rPr>
        <w:t>任何行间插字、涂改和增删，必须由投标人的法定代表人或授权代表签字或加盖公章后才有效。</w:t>
      </w:r>
    </w:p>
    <w:p>
      <w:pPr>
        <w:pStyle w:val="3"/>
        <w:spacing w:line="398" w:lineRule="exact"/>
      </w:pPr>
      <w:bookmarkStart w:id="26" w:name="二、投标文件的密封和标记"/>
      <w:bookmarkEnd w:id="26"/>
      <w:r>
        <w:t>二、投标文件的密封和标记</w:t>
      </w:r>
    </w:p>
    <w:p>
      <w:pPr>
        <w:pStyle w:val="33"/>
        <w:tabs>
          <w:tab w:val="left" w:pos="1270"/>
        </w:tabs>
        <w:spacing w:before="112" w:line="422" w:lineRule="auto"/>
        <w:ind w:left="1058" w:right="561" w:firstLine="0"/>
        <w:jc w:val="both"/>
        <w:rPr>
          <w:sz w:val="21"/>
        </w:rPr>
      </w:pPr>
      <w:r>
        <w:rPr>
          <w:rFonts w:hint="eastAsia"/>
          <w:sz w:val="21"/>
        </w:rPr>
        <w:t>1</w:t>
      </w:r>
      <w:r>
        <w:rPr>
          <w:sz w:val="21"/>
        </w:rPr>
        <w:t>.投标人应将投标文件正、副本及U盘电子版一同密封送达，并在封面明显处注明以下内容：</w:t>
      </w:r>
    </w:p>
    <w:p>
      <w:pPr>
        <w:pStyle w:val="33"/>
        <w:tabs>
          <w:tab w:val="left" w:pos="1270"/>
        </w:tabs>
        <w:spacing w:before="112" w:line="422" w:lineRule="auto"/>
        <w:ind w:left="1058" w:right="561" w:firstLine="210" w:firstLineChars="100"/>
        <w:jc w:val="both"/>
        <w:rPr>
          <w:sz w:val="21"/>
        </w:rPr>
      </w:pPr>
      <w:r>
        <w:rPr>
          <w:rFonts w:hint="eastAsia"/>
          <w:sz w:val="21"/>
        </w:rPr>
        <w:t>⑴</w:t>
      </w:r>
      <w:r>
        <w:rPr>
          <w:sz w:val="21"/>
        </w:rPr>
        <w:t>项目名称</w:t>
      </w:r>
      <w:r>
        <w:rPr>
          <w:rFonts w:hint="eastAsia"/>
          <w:sz w:val="21"/>
        </w:rPr>
        <w:t>；</w:t>
      </w:r>
    </w:p>
    <w:p>
      <w:pPr>
        <w:pStyle w:val="33"/>
        <w:tabs>
          <w:tab w:val="left" w:pos="1270"/>
        </w:tabs>
        <w:spacing w:before="112" w:line="422" w:lineRule="auto"/>
        <w:ind w:left="1058" w:right="561" w:firstLine="210" w:firstLineChars="100"/>
        <w:jc w:val="both"/>
        <w:rPr>
          <w:sz w:val="21"/>
        </w:rPr>
      </w:pPr>
      <w:r>
        <w:rPr>
          <w:rFonts w:hint="eastAsia"/>
          <w:sz w:val="21"/>
        </w:rPr>
        <w:t>⑵</w:t>
      </w:r>
      <w:r>
        <w:rPr>
          <w:sz w:val="21"/>
        </w:rPr>
        <w:t>投标人名称（加盖公章）、地址、邮编、电话、传真</w:t>
      </w:r>
      <w:r>
        <w:rPr>
          <w:rFonts w:hint="eastAsia"/>
          <w:sz w:val="21"/>
        </w:rPr>
        <w:t>。</w:t>
      </w:r>
    </w:p>
    <w:p>
      <w:pPr>
        <w:pStyle w:val="33"/>
        <w:tabs>
          <w:tab w:val="left" w:pos="1270"/>
        </w:tabs>
        <w:spacing w:before="112" w:line="422" w:lineRule="auto"/>
        <w:ind w:left="1058" w:right="561" w:firstLine="0"/>
        <w:jc w:val="both"/>
        <w:rPr>
          <w:sz w:val="21"/>
        </w:rPr>
      </w:pPr>
      <w:r>
        <w:rPr>
          <w:rFonts w:hint="eastAsia"/>
          <w:sz w:val="21"/>
        </w:rPr>
        <w:t>2</w:t>
      </w:r>
      <w:r>
        <w:rPr>
          <w:sz w:val="21"/>
        </w:rPr>
        <w:t>.请投标人将 “开标一览表”单独密封，并注明开标一览表、项目名称、投标人名称（加盖公章），与投标文件同时提交。</w:t>
      </w:r>
    </w:p>
    <w:p>
      <w:pPr>
        <w:pStyle w:val="33"/>
        <w:tabs>
          <w:tab w:val="left" w:pos="1270"/>
        </w:tabs>
        <w:spacing w:before="112" w:line="422" w:lineRule="auto"/>
        <w:ind w:left="1058" w:right="561" w:firstLine="0"/>
        <w:jc w:val="both"/>
        <w:rPr>
          <w:sz w:val="21"/>
        </w:rPr>
      </w:pPr>
      <w:r>
        <w:rPr>
          <w:rFonts w:hint="eastAsia"/>
          <w:sz w:val="21"/>
        </w:rPr>
        <w:t>3</w:t>
      </w:r>
      <w:r>
        <w:rPr>
          <w:sz w:val="21"/>
        </w:rPr>
        <w:t>.每一密封文件在封口处加盖投标人公章并注明“于20XX年X月X日上午X时之前不准启封”字样。</w:t>
      </w:r>
    </w:p>
    <w:p>
      <w:pPr>
        <w:pStyle w:val="33"/>
        <w:tabs>
          <w:tab w:val="left" w:pos="1270"/>
        </w:tabs>
        <w:spacing w:before="112" w:line="422" w:lineRule="auto"/>
        <w:ind w:left="1058" w:right="561" w:firstLine="0"/>
        <w:jc w:val="both"/>
        <w:rPr>
          <w:sz w:val="21"/>
        </w:rPr>
      </w:pPr>
      <w:r>
        <w:rPr>
          <w:rFonts w:hint="eastAsia"/>
          <w:sz w:val="21"/>
        </w:rPr>
        <w:t>4</w:t>
      </w:r>
      <w:r>
        <w:rPr>
          <w:sz w:val="21"/>
        </w:rPr>
        <w:t>.如果投标人未按上述要求对投标文件密封及加写标记，招标人对投标人提前启封概不负责。对由此造成提前开封的投标文件，招标人有权予以拒绝，并退回投标人取消其投标资格。</w:t>
      </w:r>
    </w:p>
    <w:p>
      <w:pPr>
        <w:pStyle w:val="33"/>
        <w:tabs>
          <w:tab w:val="left" w:pos="1270"/>
        </w:tabs>
        <w:spacing w:before="112" w:line="422" w:lineRule="auto"/>
        <w:ind w:left="1058" w:right="561" w:firstLine="0"/>
        <w:jc w:val="both"/>
        <w:rPr>
          <w:rFonts w:hint="eastAsia" w:eastAsia="宋体"/>
          <w:b/>
          <w:bCs/>
          <w:sz w:val="21"/>
          <w:lang w:val="en-US" w:eastAsia="zh-CN"/>
        </w:rPr>
      </w:pPr>
      <w:r>
        <w:rPr>
          <w:rFonts w:hint="eastAsia" w:ascii="宋体" w:hAnsi="宋体" w:eastAsia="宋体" w:cs="宋体"/>
          <w:b/>
          <w:bCs/>
          <w:i w:val="0"/>
          <w:caps w:val="0"/>
          <w:color w:val="000000"/>
          <w:spacing w:val="0"/>
          <w:sz w:val="21"/>
          <w:szCs w:val="21"/>
          <w:shd w:val="clear" w:fill="FFFFFF"/>
          <w:lang w:val="en-US" w:eastAsia="zh-CN"/>
        </w:rPr>
        <w:t>5.</w:t>
      </w:r>
      <w:r>
        <w:rPr>
          <w:rFonts w:hint="eastAsia" w:cs="宋体"/>
          <w:b/>
          <w:bCs/>
          <w:i w:val="0"/>
          <w:caps w:val="0"/>
          <w:color w:val="000000"/>
          <w:spacing w:val="0"/>
          <w:sz w:val="21"/>
          <w:szCs w:val="21"/>
          <w:shd w:val="clear" w:fill="FFFFFF"/>
          <w:lang w:val="en-US" w:eastAsia="zh-CN"/>
        </w:rPr>
        <w:t>投标资料（</w:t>
      </w:r>
      <w:r>
        <w:rPr>
          <w:rFonts w:hint="eastAsia" w:ascii="宋体" w:hAnsi="宋体" w:eastAsia="宋体" w:cs="宋体"/>
          <w:b/>
          <w:bCs/>
          <w:i w:val="0"/>
          <w:caps w:val="0"/>
          <w:color w:val="000000"/>
          <w:spacing w:val="0"/>
          <w:sz w:val="21"/>
          <w:szCs w:val="21"/>
          <w:shd w:val="clear" w:fill="FFFFFF"/>
        </w:rPr>
        <w:t>资质、技术</w:t>
      </w:r>
      <w:r>
        <w:rPr>
          <w:rFonts w:hint="eastAsia" w:cs="宋体"/>
          <w:b/>
          <w:bCs/>
          <w:i w:val="0"/>
          <w:caps w:val="0"/>
          <w:color w:val="000000"/>
          <w:spacing w:val="0"/>
          <w:sz w:val="21"/>
          <w:szCs w:val="21"/>
          <w:shd w:val="clear" w:fill="FFFFFF"/>
          <w:lang w:eastAsia="zh-CN"/>
        </w:rPr>
        <w:t>、</w:t>
      </w:r>
      <w:r>
        <w:rPr>
          <w:rFonts w:hint="eastAsia" w:ascii="宋体" w:hAnsi="宋体" w:eastAsia="宋体" w:cs="宋体"/>
          <w:b/>
          <w:bCs/>
          <w:i w:val="0"/>
          <w:caps w:val="0"/>
          <w:color w:val="000000"/>
          <w:spacing w:val="0"/>
          <w:sz w:val="21"/>
          <w:szCs w:val="21"/>
          <w:shd w:val="clear" w:fill="FFFFFF"/>
        </w:rPr>
        <w:t>商务</w:t>
      </w:r>
      <w:r>
        <w:rPr>
          <w:rFonts w:hint="eastAsia" w:cs="宋体"/>
          <w:b/>
          <w:bCs/>
          <w:i w:val="0"/>
          <w:caps w:val="0"/>
          <w:color w:val="000000"/>
          <w:spacing w:val="0"/>
          <w:sz w:val="21"/>
          <w:szCs w:val="21"/>
          <w:shd w:val="clear" w:fill="FFFFFF"/>
          <w:lang w:eastAsia="zh-CN"/>
        </w:rPr>
        <w:t>）</w:t>
      </w:r>
      <w:r>
        <w:rPr>
          <w:rFonts w:hint="eastAsia" w:ascii="宋体" w:hAnsi="宋体" w:eastAsia="宋体" w:cs="宋体"/>
          <w:b/>
          <w:bCs/>
          <w:i w:val="0"/>
          <w:caps w:val="0"/>
          <w:color w:val="000000"/>
          <w:spacing w:val="0"/>
          <w:sz w:val="21"/>
          <w:szCs w:val="21"/>
          <w:shd w:val="clear" w:fill="FFFFFF"/>
        </w:rPr>
        <w:t>资料</w:t>
      </w:r>
      <w:r>
        <w:rPr>
          <w:rFonts w:hint="eastAsia" w:cs="宋体"/>
          <w:b/>
          <w:bCs/>
          <w:i w:val="0"/>
          <w:caps w:val="0"/>
          <w:color w:val="000000"/>
          <w:spacing w:val="0"/>
          <w:sz w:val="21"/>
          <w:szCs w:val="21"/>
          <w:shd w:val="clear" w:fill="FFFFFF"/>
          <w:lang w:val="en-US" w:eastAsia="zh-CN"/>
        </w:rPr>
        <w:t>应</w:t>
      </w:r>
      <w:r>
        <w:rPr>
          <w:rFonts w:hint="eastAsia" w:ascii="宋体" w:hAnsi="宋体" w:eastAsia="宋体" w:cs="宋体"/>
          <w:b/>
          <w:bCs/>
          <w:i w:val="0"/>
          <w:caps w:val="0"/>
          <w:color w:val="000000"/>
          <w:spacing w:val="0"/>
          <w:sz w:val="21"/>
          <w:szCs w:val="21"/>
          <w:shd w:val="clear" w:fill="FFFFFF"/>
        </w:rPr>
        <w:t>分开封存</w:t>
      </w:r>
      <w:r>
        <w:rPr>
          <w:rFonts w:hint="eastAsia" w:cs="宋体"/>
          <w:b/>
          <w:bCs/>
          <w:i w:val="0"/>
          <w:caps w:val="0"/>
          <w:color w:val="000000"/>
          <w:spacing w:val="0"/>
          <w:sz w:val="21"/>
          <w:szCs w:val="21"/>
          <w:shd w:val="clear" w:fill="FFFFFF"/>
          <w:lang w:eastAsia="zh-CN"/>
        </w:rPr>
        <w:t>，</w:t>
      </w:r>
      <w:r>
        <w:rPr>
          <w:rFonts w:hint="eastAsia" w:cs="宋体"/>
          <w:b/>
          <w:bCs/>
          <w:i w:val="0"/>
          <w:caps w:val="0"/>
          <w:color w:val="000000"/>
          <w:spacing w:val="0"/>
          <w:sz w:val="21"/>
          <w:szCs w:val="21"/>
          <w:shd w:val="clear" w:fill="FFFFFF"/>
          <w:lang w:val="en-US" w:eastAsia="zh-CN"/>
        </w:rPr>
        <w:t>投标每标段报价分开</w:t>
      </w:r>
      <w:r>
        <w:rPr>
          <w:rFonts w:hint="eastAsia" w:ascii="宋体" w:hAnsi="宋体" w:eastAsia="宋体" w:cs="宋体"/>
          <w:b/>
          <w:bCs/>
          <w:i w:val="0"/>
          <w:caps w:val="0"/>
          <w:color w:val="000000"/>
          <w:spacing w:val="0"/>
          <w:sz w:val="21"/>
          <w:szCs w:val="21"/>
          <w:shd w:val="clear" w:fill="FFFFFF"/>
        </w:rPr>
        <w:t>封存</w:t>
      </w:r>
      <w:r>
        <w:rPr>
          <w:rFonts w:hint="eastAsia" w:cs="宋体"/>
          <w:b/>
          <w:bCs/>
          <w:i w:val="0"/>
          <w:caps w:val="0"/>
          <w:color w:val="000000"/>
          <w:spacing w:val="0"/>
          <w:sz w:val="21"/>
          <w:szCs w:val="21"/>
          <w:shd w:val="clear" w:fill="FFFFFF"/>
          <w:lang w:eastAsia="zh-CN"/>
        </w:rPr>
        <w:t>。</w:t>
      </w:r>
    </w:p>
    <w:p>
      <w:pPr>
        <w:pStyle w:val="3"/>
        <w:spacing w:line="402" w:lineRule="exact"/>
      </w:pPr>
      <w:r>
        <w:t>三、投标文件格式要求</w:t>
      </w:r>
    </w:p>
    <w:p>
      <w:pPr>
        <w:rPr>
          <w:rFonts w:ascii="黑体" w:eastAsia="黑体"/>
          <w:b/>
          <w:sz w:val="28"/>
        </w:rPr>
      </w:pPr>
      <w:r>
        <w:br w:type="page"/>
      </w:r>
    </w:p>
    <w:p>
      <w:pPr>
        <w:spacing w:before="62" w:line="60" w:lineRule="auto"/>
        <w:ind w:left="641"/>
        <w:rPr>
          <w:rFonts w:ascii="黑体" w:eastAsia="黑体"/>
          <w:b/>
          <w:sz w:val="28"/>
        </w:rPr>
      </w:pPr>
    </w:p>
    <w:p>
      <w:pPr>
        <w:spacing w:before="62"/>
        <w:ind w:left="638"/>
        <w:rPr>
          <w:rFonts w:ascii="Calibri"/>
          <w:b/>
          <w:sz w:val="28"/>
          <w:lang w:val="en-US"/>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1</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p>
    <w:p>
      <w:pPr>
        <w:spacing w:line="402" w:lineRule="exact"/>
      </w:pPr>
    </w:p>
    <w:p>
      <w:pPr>
        <w:pStyle w:val="5"/>
        <w:spacing w:before="238"/>
        <w:ind w:left="41"/>
        <w:jc w:val="center"/>
        <w:rPr>
          <w:rFonts w:ascii="黑体" w:eastAsia="黑体"/>
        </w:rPr>
      </w:pPr>
      <w:r>
        <w:rPr>
          <w:rFonts w:hint="eastAsia" w:ascii="黑体" w:eastAsia="黑体"/>
        </w:rPr>
        <w:t>投标书</w:t>
      </w:r>
    </w:p>
    <w:p>
      <w:pPr>
        <w:pStyle w:val="10"/>
        <w:tabs>
          <w:tab w:val="left" w:pos="5258"/>
        </w:tabs>
        <w:spacing w:before="155"/>
        <w:ind w:left="638"/>
      </w:pPr>
      <w:r>
        <w:t>致</w:t>
      </w:r>
      <w:r>
        <w:rPr>
          <w:u w:val="single"/>
        </w:rPr>
        <w:t>（招标人名称）</w:t>
      </w:r>
      <w:r>
        <w:rPr>
          <w:u w:val="single"/>
        </w:rPr>
        <w:tab/>
      </w:r>
      <w:r>
        <w:t>：</w:t>
      </w:r>
    </w:p>
    <w:p>
      <w:pPr>
        <w:pStyle w:val="10"/>
        <w:tabs>
          <w:tab w:val="left" w:pos="6457"/>
          <w:tab w:val="left" w:pos="6515"/>
        </w:tabs>
        <w:spacing w:before="48" w:line="280" w:lineRule="auto"/>
        <w:ind w:left="638" w:right="592" w:firstLine="645"/>
      </w:pPr>
      <w:r>
        <w:rPr>
          <w:spacing w:val="7"/>
        </w:rPr>
        <w:t>根</w:t>
      </w:r>
      <w:r>
        <w:rPr>
          <w:spacing w:val="9"/>
        </w:rPr>
        <w:t>据</w:t>
      </w:r>
      <w:r>
        <w:rPr>
          <w:spacing w:val="7"/>
        </w:rPr>
        <w:t>贵</w:t>
      </w:r>
      <w:r>
        <w:rPr>
          <w:spacing w:val="9"/>
        </w:rPr>
        <w:t>方为</w:t>
      </w:r>
      <w:r>
        <w:rPr>
          <w:spacing w:val="4"/>
        </w:rPr>
        <w:t>（</w:t>
      </w:r>
      <w:r>
        <w:rPr>
          <w:spacing w:val="9"/>
          <w:u w:val="single"/>
        </w:rPr>
        <w:t>项目</w:t>
      </w:r>
      <w:r>
        <w:rPr>
          <w:spacing w:val="7"/>
          <w:u w:val="single"/>
        </w:rPr>
        <w:t>名</w:t>
      </w:r>
      <w:r>
        <w:rPr>
          <w:spacing w:val="9"/>
          <w:u w:val="single"/>
        </w:rPr>
        <w:t>称</w:t>
      </w:r>
      <w:r>
        <w:rPr>
          <w:u w:val="single"/>
        </w:rPr>
        <w:t>）</w:t>
      </w:r>
      <w:r>
        <w:rPr>
          <w:u w:val="single"/>
        </w:rPr>
        <w:tab/>
      </w:r>
      <w:r>
        <w:rPr>
          <w:spacing w:val="9"/>
        </w:rPr>
        <w:t>招标书，签字代表（全名、职务）</w:t>
      </w:r>
      <w:r>
        <w:t>经正式授权并代表投标人</w:t>
      </w:r>
      <w:r>
        <w:rPr>
          <w:u w:val="single"/>
        </w:rPr>
        <w:t>（投标人名称、地址）</w:t>
      </w:r>
      <w:r>
        <w:rPr>
          <w:u w:val="single"/>
        </w:rPr>
        <w:tab/>
      </w:r>
      <w:r>
        <w:rPr>
          <w:u w:val="single"/>
        </w:rPr>
        <w:tab/>
      </w:r>
      <w:r>
        <w:t>提交下述文件：</w:t>
      </w:r>
    </w:p>
    <w:p>
      <w:pPr>
        <w:pStyle w:val="10"/>
        <w:spacing w:before="2" w:line="280" w:lineRule="auto"/>
        <w:ind w:left="638" w:right="6544"/>
        <w:rPr>
          <w:spacing w:val="-11"/>
        </w:rPr>
      </w:pPr>
      <w:r>
        <w:t>标书（</w:t>
      </w:r>
      <w:r>
        <w:rPr>
          <w:spacing w:val="-20"/>
        </w:rPr>
        <w:t>正本</w:t>
      </w:r>
      <w:r>
        <w:rPr>
          <w:rFonts w:hint="eastAsia"/>
          <w:spacing w:val="-20"/>
          <w:lang w:val="en-US"/>
        </w:rPr>
        <w:t xml:space="preserve"> </w:t>
      </w:r>
      <w:r>
        <w:rPr>
          <w:u w:val="single"/>
        </w:rPr>
        <w:t>X</w:t>
      </w:r>
      <w:r>
        <w:rPr>
          <w:rFonts w:hint="eastAsia"/>
          <w:spacing w:val="-20"/>
          <w:lang w:val="en-US"/>
        </w:rPr>
        <w:t xml:space="preserve"> </w:t>
      </w:r>
      <w:r>
        <w:rPr>
          <w:spacing w:val="-17"/>
        </w:rPr>
        <w:t>份和副本一式</w:t>
      </w:r>
      <w:r>
        <w:rPr>
          <w:rFonts w:hint="eastAsia"/>
          <w:spacing w:val="-20"/>
          <w:lang w:val="en-US"/>
        </w:rPr>
        <w:t xml:space="preserve"> </w:t>
      </w:r>
      <w:r>
        <w:rPr>
          <w:u w:val="single"/>
        </w:rPr>
        <w:t>X</w:t>
      </w:r>
      <w:r>
        <w:rPr>
          <w:rFonts w:hint="eastAsia"/>
          <w:spacing w:val="-20"/>
          <w:lang w:val="en-US"/>
        </w:rPr>
        <w:t xml:space="preserve"> </w:t>
      </w:r>
      <w:r>
        <w:rPr>
          <w:spacing w:val="-31"/>
        </w:rPr>
        <w:t>份</w:t>
      </w:r>
      <w:r>
        <w:rPr>
          <w:spacing w:val="-11"/>
        </w:rPr>
        <w:t>）</w:t>
      </w:r>
    </w:p>
    <w:p>
      <w:pPr>
        <w:pStyle w:val="10"/>
        <w:spacing w:before="2" w:line="280" w:lineRule="auto"/>
        <w:ind w:left="638" w:right="6544"/>
      </w:pPr>
      <w:r>
        <w:t>资质证明文件（1</w:t>
      </w:r>
      <w:r>
        <w:rPr>
          <w:spacing w:val="-27"/>
        </w:rPr>
        <w:t>份</w:t>
      </w:r>
      <w:r>
        <w:t>）</w:t>
      </w:r>
    </w:p>
    <w:p>
      <w:pPr>
        <w:pStyle w:val="10"/>
        <w:spacing w:before="4"/>
        <w:ind w:left="638"/>
      </w:pPr>
      <w:r>
        <w:t>据此，签字代表宣布同意如下：</w:t>
      </w:r>
    </w:p>
    <w:p>
      <w:pPr>
        <w:pStyle w:val="33"/>
        <w:numPr>
          <w:ilvl w:val="0"/>
          <w:numId w:val="6"/>
        </w:numPr>
        <w:tabs>
          <w:tab w:val="left" w:pos="1433"/>
          <w:tab w:val="left" w:pos="8992"/>
        </w:tabs>
        <w:spacing w:before="38"/>
        <w:ind w:firstLine="420"/>
        <w:rPr>
          <w:sz w:val="21"/>
        </w:rPr>
      </w:pPr>
      <w:r>
        <w:rPr>
          <w:sz w:val="21"/>
        </w:rPr>
        <w:t>所附投标报价表中规定的应提供的投标总价（不含税）为</w:t>
      </w:r>
      <w:r>
        <w:rPr>
          <w:sz w:val="21"/>
          <w:u w:val="single"/>
        </w:rPr>
        <w:t>（注明币种和金额）</w:t>
      </w:r>
      <w:r>
        <w:rPr>
          <w:sz w:val="21"/>
          <w:u w:val="single"/>
        </w:rPr>
        <w:tab/>
      </w:r>
      <w:r>
        <w:rPr>
          <w:spacing w:val="-17"/>
          <w:sz w:val="21"/>
          <w:u w:val="single"/>
        </w:rPr>
        <w:t>，</w:t>
      </w:r>
      <w:r>
        <w:rPr>
          <w:sz w:val="21"/>
        </w:rPr>
        <w:t>即</w:t>
      </w:r>
    </w:p>
    <w:p>
      <w:pPr>
        <w:pStyle w:val="10"/>
        <w:tabs>
          <w:tab w:val="left" w:pos="7355"/>
        </w:tabs>
        <w:spacing w:before="48"/>
        <w:ind w:left="1478"/>
      </w:pPr>
      <w:r>
        <w:rPr>
          <w:u w:val="single"/>
        </w:rPr>
        <w:t>（中文文字描述）</w:t>
      </w:r>
      <w:r>
        <w:rPr>
          <w:u w:val="single"/>
        </w:rPr>
        <w:tab/>
      </w:r>
      <w:r>
        <w:t>。</w:t>
      </w:r>
    </w:p>
    <w:p>
      <w:pPr>
        <w:pStyle w:val="33"/>
        <w:numPr>
          <w:ilvl w:val="0"/>
          <w:numId w:val="6"/>
        </w:numPr>
        <w:tabs>
          <w:tab w:val="left" w:pos="1433"/>
        </w:tabs>
        <w:spacing w:before="50"/>
        <w:ind w:firstLine="420"/>
        <w:rPr>
          <w:sz w:val="21"/>
        </w:rPr>
      </w:pPr>
      <w:r>
        <w:rPr>
          <w:sz w:val="21"/>
        </w:rPr>
        <w:t>投标人将按招标文件的规定履行合同责任和义务。</w:t>
      </w:r>
    </w:p>
    <w:p>
      <w:pPr>
        <w:pStyle w:val="33"/>
        <w:numPr>
          <w:ilvl w:val="0"/>
          <w:numId w:val="6"/>
        </w:numPr>
        <w:tabs>
          <w:tab w:val="left" w:pos="1433"/>
        </w:tabs>
        <w:spacing w:before="38" w:line="283" w:lineRule="auto"/>
        <w:ind w:right="679" w:firstLine="420"/>
        <w:rPr>
          <w:sz w:val="21"/>
        </w:rPr>
      </w:pPr>
      <w:r>
        <w:rPr>
          <w:sz w:val="21"/>
        </w:rPr>
        <w:t>投标人已详细审查全部招标文件，包括修改文件（如有的话）以及全部参考资料和有关附件，我们完全理解并同意放弃对这方面有不明及误解的权利。</w:t>
      </w:r>
    </w:p>
    <w:p>
      <w:pPr>
        <w:pStyle w:val="33"/>
        <w:numPr>
          <w:ilvl w:val="0"/>
          <w:numId w:val="6"/>
        </w:numPr>
        <w:tabs>
          <w:tab w:val="left" w:pos="1433"/>
        </w:tabs>
        <w:spacing w:before="1"/>
        <w:ind w:firstLine="420"/>
        <w:rPr>
          <w:sz w:val="21"/>
        </w:rPr>
      </w:pPr>
      <w:r>
        <w:rPr>
          <w:sz w:val="21"/>
        </w:rPr>
        <w:t>投标有效期：自投标截止之日起至合同签署日一直有效。</w:t>
      </w:r>
    </w:p>
    <w:p>
      <w:pPr>
        <w:pStyle w:val="33"/>
        <w:numPr>
          <w:ilvl w:val="0"/>
          <w:numId w:val="6"/>
        </w:numPr>
        <w:tabs>
          <w:tab w:val="left" w:pos="1433"/>
        </w:tabs>
        <w:spacing w:before="38" w:line="283" w:lineRule="auto"/>
        <w:ind w:right="686" w:firstLine="420"/>
        <w:rPr>
          <w:sz w:val="21"/>
        </w:rPr>
      </w:pPr>
      <w:r>
        <w:rPr>
          <w:sz w:val="21"/>
        </w:rPr>
        <w:t>投标人同意提供贵方要求的可能与投标有关的一切数据和资料，完全理解贵方不一定要接受最低价的投标或收到的任何投标。</w:t>
      </w:r>
    </w:p>
    <w:p>
      <w:pPr>
        <w:pStyle w:val="33"/>
        <w:numPr>
          <w:ilvl w:val="0"/>
          <w:numId w:val="6"/>
        </w:numPr>
        <w:tabs>
          <w:tab w:val="left" w:pos="1433"/>
        </w:tabs>
        <w:spacing w:line="280" w:lineRule="auto"/>
        <w:ind w:right="686" w:firstLine="420"/>
        <w:rPr>
          <w:sz w:val="21"/>
        </w:rPr>
      </w:pPr>
      <w:r>
        <w:rPr>
          <w:sz w:val="21"/>
        </w:rPr>
        <w:t>投标人承诺所提供的所有数据和资料均真实有效，如存在虚报情况，投标人愿为此承担一切法律责任，</w:t>
      </w:r>
      <w:r>
        <w:rPr>
          <w:rFonts w:hint="eastAsia"/>
          <w:sz w:val="21"/>
        </w:rPr>
        <w:t>赔偿因此给招标人造成的损失，</w:t>
      </w:r>
      <w:r>
        <w:rPr>
          <w:sz w:val="21"/>
        </w:rPr>
        <w:t>并主动退出本项目竞标。</w:t>
      </w:r>
    </w:p>
    <w:p>
      <w:pPr>
        <w:pStyle w:val="33"/>
        <w:numPr>
          <w:ilvl w:val="0"/>
          <w:numId w:val="6"/>
        </w:numPr>
        <w:tabs>
          <w:tab w:val="left" w:pos="1433"/>
        </w:tabs>
        <w:spacing w:before="3"/>
        <w:ind w:firstLine="420"/>
        <w:rPr>
          <w:sz w:val="21"/>
        </w:rPr>
      </w:pPr>
      <w:r>
        <w:rPr>
          <w:sz w:val="21"/>
        </w:rPr>
        <w:t>与本投标有关的一切正式往来通讯请寄：</w:t>
      </w:r>
    </w:p>
    <w:p>
      <w:pPr>
        <w:pStyle w:val="10"/>
        <w:tabs>
          <w:tab w:val="left" w:pos="5738"/>
        </w:tabs>
        <w:spacing w:before="38"/>
        <w:ind w:left="1432"/>
      </w:pPr>
      <w:r>
        <w:t>地址：</w:t>
      </w:r>
      <w:r>
        <w:tab/>
      </w:r>
      <w:r>
        <w:t>邮编：</w:t>
      </w:r>
    </w:p>
    <w:p>
      <w:pPr>
        <w:pStyle w:val="10"/>
        <w:tabs>
          <w:tab w:val="left" w:pos="5738"/>
        </w:tabs>
        <w:spacing w:before="38"/>
        <w:ind w:left="1432"/>
      </w:pPr>
      <w:r>
        <w:t>电话：</w:t>
      </w:r>
      <w:r>
        <w:tab/>
      </w:r>
      <w:r>
        <w:t>传真：</w:t>
      </w:r>
    </w:p>
    <w:p>
      <w:pPr>
        <w:pStyle w:val="10"/>
        <w:rPr>
          <w:sz w:val="20"/>
        </w:rPr>
      </w:pPr>
    </w:p>
    <w:p>
      <w:pPr>
        <w:pStyle w:val="10"/>
        <w:rPr>
          <w:sz w:val="20"/>
        </w:rPr>
      </w:pPr>
    </w:p>
    <w:p>
      <w:pPr>
        <w:pStyle w:val="10"/>
        <w:tabs>
          <w:tab w:val="left" w:pos="5318"/>
          <w:tab w:val="left" w:pos="7732"/>
        </w:tabs>
        <w:spacing w:before="164" w:line="283" w:lineRule="auto"/>
        <w:ind w:left="1432" w:right="1946"/>
      </w:pPr>
      <w:r>
        <w:t>投标人授权代表签字：</w:t>
      </w:r>
      <w:r>
        <w:tab/>
      </w:r>
      <w:r>
        <w:t>职务：</w:t>
      </w:r>
      <w:r>
        <w:tab/>
      </w:r>
      <w:r>
        <w:t>日期</w:t>
      </w:r>
      <w:r>
        <w:rPr>
          <w:spacing w:val="-16"/>
        </w:rPr>
        <w:t>：</w:t>
      </w:r>
      <w:r>
        <w:t>投标人授权代表姓名、职务：</w:t>
      </w:r>
    </w:p>
    <w:p>
      <w:pPr>
        <w:pStyle w:val="10"/>
        <w:spacing w:before="1"/>
        <w:ind w:left="1432"/>
        <w:rPr>
          <w:szCs w:val="22"/>
        </w:rPr>
      </w:pPr>
      <w:r>
        <w:rPr>
          <w:szCs w:val="22"/>
        </w:rPr>
        <w:t>投标人名称（及公章）：</w:t>
      </w:r>
    </w:p>
    <w:p>
      <w:pPr>
        <w:pStyle w:val="10"/>
        <w:spacing w:before="1"/>
        <w:ind w:left="1432"/>
      </w:pPr>
      <w:r>
        <w:t>日期：</w:t>
      </w:r>
      <w:r>
        <w:tab/>
      </w:r>
      <w:r>
        <w:t>年</w:t>
      </w:r>
      <w:r>
        <w:tab/>
      </w:r>
      <w:r>
        <w:t>月</w:t>
      </w:r>
      <w:r>
        <w:tab/>
      </w:r>
      <w:r>
        <w:t>日</w:t>
      </w:r>
    </w:p>
    <w:p>
      <w:pPr>
        <w:rPr>
          <w:rFonts w:ascii="黑体" w:eastAsia="黑体"/>
          <w:b/>
          <w:sz w:val="28"/>
        </w:rPr>
      </w:pPr>
      <w:r>
        <w:br w:type="page"/>
      </w:r>
    </w:p>
    <w:p>
      <w:pPr>
        <w:spacing w:before="62" w:line="60" w:lineRule="auto"/>
        <w:ind w:left="641"/>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2</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p>
    <w:p>
      <w:pPr>
        <w:pStyle w:val="10"/>
        <w:tabs>
          <w:tab w:val="left" w:pos="1478"/>
          <w:tab w:val="left" w:pos="2003"/>
          <w:tab w:val="left" w:pos="2527"/>
        </w:tabs>
        <w:spacing w:before="69"/>
        <w:ind w:left="638"/>
      </w:pPr>
      <w:r>
        <w:t>日期：</w:t>
      </w:r>
      <w:r>
        <w:tab/>
      </w:r>
      <w:r>
        <w:t>年</w:t>
      </w:r>
      <w:r>
        <w:tab/>
      </w:r>
      <w:r>
        <w:t>月</w:t>
      </w:r>
      <w:r>
        <w:tab/>
      </w:r>
      <w:r>
        <w:t>日</w:t>
      </w:r>
    </w:p>
    <w:p>
      <w:pPr>
        <w:pStyle w:val="10"/>
        <w:tabs>
          <w:tab w:val="left" w:pos="1478"/>
          <w:tab w:val="left" w:pos="2003"/>
          <w:tab w:val="left" w:pos="2527"/>
        </w:tabs>
        <w:spacing w:before="69"/>
        <w:ind w:left="638"/>
      </w:pPr>
    </w:p>
    <w:p>
      <w:pPr>
        <w:pStyle w:val="10"/>
        <w:tabs>
          <w:tab w:val="left" w:pos="1478"/>
          <w:tab w:val="left" w:pos="2003"/>
          <w:tab w:val="left" w:pos="2527"/>
        </w:tabs>
        <w:spacing w:before="69" w:after="120" w:afterLines="50"/>
        <w:ind w:left="641" w:firstLine="3900" w:firstLineChars="1300"/>
        <w:rPr>
          <w:rFonts w:ascii="黑体" w:hAnsi="黑体" w:eastAsia="黑体" w:cs="黑体"/>
          <w:sz w:val="30"/>
          <w:szCs w:val="30"/>
          <w:lang w:val="en-US"/>
        </w:rPr>
      </w:pPr>
      <w:r>
        <w:rPr>
          <w:rFonts w:hint="eastAsia" w:ascii="黑体" w:hAnsi="黑体" w:eastAsia="黑体" w:cs="黑体"/>
          <w:sz w:val="30"/>
          <w:szCs w:val="30"/>
          <w:lang w:val="en-US"/>
        </w:rPr>
        <w:t>招标文件目录</w:t>
      </w:r>
    </w:p>
    <w:tbl>
      <w:tblPr>
        <w:tblStyle w:val="23"/>
        <w:tblW w:w="0" w:type="auto"/>
        <w:tblInd w:w="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6520"/>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spacing w:before="191"/>
              <w:ind w:left="148"/>
              <w:rPr>
                <w:sz w:val="28"/>
              </w:rPr>
            </w:pPr>
            <w:r>
              <w:rPr>
                <w:sz w:val="28"/>
              </w:rPr>
              <w:t>序号</w:t>
            </w:r>
          </w:p>
        </w:tc>
        <w:tc>
          <w:tcPr>
            <w:tcW w:w="6520" w:type="dxa"/>
          </w:tcPr>
          <w:p>
            <w:pPr>
              <w:pStyle w:val="34"/>
              <w:spacing w:before="191"/>
              <w:ind w:left="2684" w:right="2666"/>
              <w:jc w:val="center"/>
              <w:rPr>
                <w:sz w:val="28"/>
              </w:rPr>
            </w:pPr>
            <w:r>
              <w:rPr>
                <w:sz w:val="28"/>
              </w:rPr>
              <w:t>主要内容</w:t>
            </w:r>
          </w:p>
        </w:tc>
        <w:tc>
          <w:tcPr>
            <w:tcW w:w="1276" w:type="dxa"/>
          </w:tcPr>
          <w:p>
            <w:pPr>
              <w:pStyle w:val="34"/>
              <w:spacing w:before="191"/>
              <w:ind w:left="361"/>
              <w:rPr>
                <w:sz w:val="28"/>
              </w:rPr>
            </w:pPr>
            <w:r>
              <w:rPr>
                <w:sz w:val="28"/>
              </w:rPr>
              <w:t>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51" w:type="dxa"/>
          </w:tcPr>
          <w:p>
            <w:pPr>
              <w:pStyle w:val="34"/>
              <w:rPr>
                <w:rFonts w:ascii="Times New Roman"/>
                <w:sz w:val="24"/>
              </w:rPr>
            </w:pPr>
          </w:p>
        </w:tc>
        <w:tc>
          <w:tcPr>
            <w:tcW w:w="6520" w:type="dxa"/>
          </w:tcPr>
          <w:p>
            <w:pPr>
              <w:pStyle w:val="34"/>
              <w:rPr>
                <w:rFonts w:ascii="Times New Roman"/>
                <w:sz w:val="24"/>
              </w:rPr>
            </w:pPr>
          </w:p>
        </w:tc>
        <w:tc>
          <w:tcPr>
            <w:tcW w:w="1276" w:type="dxa"/>
          </w:tcPr>
          <w:p>
            <w:pPr>
              <w:pStyle w:val="34"/>
              <w:rPr>
                <w:rFonts w:ascii="Times New Roman"/>
                <w:sz w:val="24"/>
              </w:rPr>
            </w:pPr>
          </w:p>
        </w:tc>
      </w:tr>
    </w:tbl>
    <w:p>
      <w:pPr>
        <w:pStyle w:val="6"/>
        <w:tabs>
          <w:tab w:val="left" w:pos="4598"/>
        </w:tabs>
        <w:spacing w:before="2"/>
        <w:ind w:firstLine="480" w:firstLineChars="200"/>
        <w:rPr>
          <w:rFonts w:ascii="仿宋" w:hAnsi="仿宋" w:eastAsia="仿宋" w:cs="仿宋"/>
        </w:rPr>
      </w:pPr>
      <w:r>
        <w:rPr>
          <w:rFonts w:hint="eastAsia" w:ascii="仿宋" w:hAnsi="仿宋" w:eastAsia="仿宋" w:cs="仿宋"/>
        </w:rPr>
        <w:t>投标人名称（盖章</w:t>
      </w:r>
      <w:r>
        <w:rPr>
          <w:rFonts w:hint="eastAsia" w:ascii="仿宋" w:hAnsi="仿宋" w:eastAsia="仿宋" w:cs="仿宋"/>
          <w:spacing w:val="-120"/>
        </w:rPr>
        <w:t>）</w:t>
      </w:r>
      <w:r>
        <w:rPr>
          <w:rFonts w:hint="eastAsia" w:ascii="仿宋" w:hAnsi="仿宋" w:eastAsia="仿宋" w:cs="仿宋"/>
        </w:rPr>
        <w:t>：</w:t>
      </w:r>
      <w:r>
        <w:rPr>
          <w:rFonts w:hint="eastAsia" w:ascii="仿宋" w:hAnsi="仿宋" w:eastAsia="仿宋" w:cs="仿宋"/>
        </w:rPr>
        <w:tab/>
      </w:r>
      <w:r>
        <w:rPr>
          <w:rFonts w:hint="eastAsia" w:ascii="仿宋" w:hAnsi="仿宋" w:eastAsia="仿宋" w:cs="仿宋"/>
          <w:lang w:val="en-US"/>
        </w:rPr>
        <w:t xml:space="preserve">   </w:t>
      </w:r>
      <w:r>
        <w:rPr>
          <w:rFonts w:hint="eastAsia" w:ascii="仿宋" w:hAnsi="仿宋" w:eastAsia="仿宋" w:cs="仿宋"/>
        </w:rPr>
        <w:t>法定代表人或授权代表签字：</w:t>
      </w:r>
    </w:p>
    <w:p>
      <w:pPr>
        <w:pStyle w:val="10"/>
        <w:spacing w:before="5"/>
        <w:rPr>
          <w:sz w:val="25"/>
        </w:rPr>
      </w:pPr>
    </w:p>
    <w:p>
      <w:pPr>
        <w:spacing w:before="1"/>
        <w:ind w:left="638"/>
        <w:rPr>
          <w:sz w:val="24"/>
        </w:rPr>
      </w:pPr>
      <w:r>
        <w:rPr>
          <w:b/>
          <w:sz w:val="24"/>
        </w:rPr>
        <w:t>注：</w:t>
      </w:r>
      <w:r>
        <w:rPr>
          <w:sz w:val="24"/>
        </w:rPr>
        <w:t>1.本表填写投标文件主要内容，以用于开标宣读。</w:t>
      </w:r>
    </w:p>
    <w:p>
      <w:pPr>
        <w:spacing w:before="7"/>
        <w:ind w:left="1118"/>
        <w:rPr>
          <w:rFonts w:ascii="黑体" w:hAnsi="黑体" w:eastAsia="黑体" w:cs="黑体"/>
          <w:sz w:val="30"/>
          <w:szCs w:val="30"/>
          <w:lang w:val="en-US"/>
        </w:rPr>
        <w:sectPr>
          <w:footerReference r:id="rId5" w:type="default"/>
          <w:pgSz w:w="11910" w:h="16840"/>
          <w:pgMar w:top="1240" w:right="820" w:bottom="1180" w:left="780" w:header="506" w:footer="980" w:gutter="0"/>
          <w:pgNumType w:start="10"/>
          <w:cols w:space="720" w:num="1"/>
        </w:sectPr>
      </w:pPr>
      <w:r>
        <w:rPr>
          <w:sz w:val="24"/>
        </w:rPr>
        <w:t>2．“索引”一栏填写该主要内容对应于投标文件的“条款号/页号”。</w:t>
      </w:r>
    </w:p>
    <w:p>
      <w:pPr>
        <w:spacing w:before="1"/>
        <w:rPr>
          <w:b/>
          <w:sz w:val="24"/>
          <w:lang w:val="en-US"/>
        </w:rPr>
      </w:pPr>
    </w:p>
    <w:p>
      <w:pPr>
        <w:pStyle w:val="6"/>
        <w:tabs>
          <w:tab w:val="left" w:pos="4598"/>
        </w:tabs>
        <w:spacing w:before="2"/>
        <w:ind w:left="0"/>
        <w:rPr>
          <w:lang w:val="en-US"/>
        </w:rPr>
        <w:sectPr>
          <w:headerReference r:id="rId6" w:type="default"/>
          <w:type w:val="continuous"/>
          <w:pgSz w:w="11910" w:h="16840"/>
          <w:pgMar w:top="1600" w:right="820" w:bottom="280" w:left="780" w:header="720" w:footer="720" w:gutter="0"/>
          <w:cols w:equalWidth="0" w:num="2">
            <w:col w:w="2777" w:space="857"/>
            <w:col w:w="6676"/>
          </w:cols>
        </w:sectPr>
      </w:pPr>
    </w:p>
    <w:p>
      <w:pPr>
        <w:spacing w:before="62"/>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Calibri"/>
          <w:b/>
          <w:sz w:val="28"/>
          <w:lang w:val="en-US"/>
        </w:rPr>
        <w:t>3</w:t>
      </w:r>
    </w:p>
    <w:p>
      <w:pPr>
        <w:tabs>
          <w:tab w:val="left" w:pos="1463"/>
          <w:tab w:val="left" w:pos="1989"/>
          <w:tab w:val="left" w:pos="2515"/>
          <w:tab w:val="left" w:pos="3052"/>
        </w:tabs>
        <w:spacing w:before="160" w:line="350" w:lineRule="auto"/>
        <w:ind w:left="624" w:right="6365" w:firstLine="14"/>
        <w:rPr>
          <w:spacing w:val="-15"/>
        </w:rPr>
      </w:pPr>
      <w:r>
        <w:t>项目名称：</w:t>
      </w:r>
      <w:r>
        <w:rPr>
          <w:u w:val="single"/>
        </w:rPr>
        <w:tab/>
      </w:r>
      <w:r>
        <w:rPr>
          <w:u w:val="single"/>
        </w:rPr>
        <w:tab/>
      </w:r>
      <w:r>
        <w:rPr>
          <w:u w:val="single"/>
        </w:rPr>
        <w:tab/>
      </w:r>
      <w:r>
        <w:t>(XX项目</w:t>
      </w:r>
      <w:r>
        <w:rPr>
          <w:spacing w:val="-15"/>
        </w:rPr>
        <w:t>)</w:t>
      </w:r>
    </w:p>
    <w:p>
      <w:pPr>
        <w:tabs>
          <w:tab w:val="left" w:pos="1463"/>
          <w:tab w:val="left" w:pos="1989"/>
          <w:tab w:val="left" w:pos="2515"/>
          <w:tab w:val="left" w:pos="3052"/>
        </w:tabs>
        <w:spacing w:before="160" w:line="350" w:lineRule="auto"/>
        <w:ind w:left="624" w:right="6365" w:firstLine="14"/>
        <w:rPr>
          <w:rFonts w:hint="default" w:eastAsia="宋体"/>
          <w:spacing w:val="-15"/>
          <w:lang w:val="en-US" w:eastAsia="zh-CN"/>
        </w:rPr>
      </w:pPr>
      <w:r>
        <w:rPr>
          <w:rFonts w:hint="eastAsia"/>
          <w:spacing w:val="-15"/>
          <w:lang w:val="en-US" w:eastAsia="zh-CN"/>
        </w:rPr>
        <w:t>一标段：报价表1</w:t>
      </w:r>
    </w:p>
    <w:p>
      <w:pPr>
        <w:tabs>
          <w:tab w:val="left" w:pos="1478"/>
          <w:tab w:val="left" w:pos="2003"/>
          <w:tab w:val="left" w:pos="2527"/>
        </w:tabs>
        <w:spacing w:before="69"/>
        <w:ind w:left="638"/>
      </w:pPr>
      <w:r>
        <w:t>日期：</w:t>
      </w:r>
      <w:r>
        <w:tab/>
      </w:r>
      <w:r>
        <w:t>年</w:t>
      </w:r>
      <w:r>
        <w:tab/>
      </w:r>
      <w:r>
        <w:t>月</w:t>
      </w:r>
      <w:r>
        <w:tab/>
      </w:r>
      <w:r>
        <w:t>日</w:t>
      </w:r>
    </w:p>
    <w:p>
      <w:pPr>
        <w:pStyle w:val="3"/>
        <w:spacing w:before="54"/>
        <w:ind w:left="0"/>
        <w:jc w:val="center"/>
        <w:rPr>
          <w:rFonts w:ascii="宋体" w:eastAsia="宋体"/>
        </w:rPr>
      </w:pPr>
      <w:r>
        <w:rPr>
          <w:rFonts w:hint="eastAsia" w:ascii="宋体" w:eastAsia="宋体"/>
        </w:rPr>
        <w:t>开标一览表（</w:t>
      </w:r>
      <w:r>
        <w:rPr>
          <w:rFonts w:hint="eastAsia" w:ascii="宋体" w:eastAsia="宋体"/>
          <w:lang w:val="en-US"/>
        </w:rPr>
        <w:t>跨区域/区域内调件运输-快递运输</w:t>
      </w:r>
      <w:r>
        <w:rPr>
          <w:rFonts w:hint="eastAsia" w:ascii="宋体" w:eastAsia="宋体"/>
        </w:rPr>
        <w:t>）</w:t>
      </w:r>
    </w:p>
    <w:tbl>
      <w:tblPr>
        <w:tblStyle w:val="23"/>
        <w:tblW w:w="5000" w:type="pct"/>
        <w:jc w:val="center"/>
        <w:tblLayout w:type="fixed"/>
        <w:tblCellMar>
          <w:top w:w="0" w:type="dxa"/>
          <w:left w:w="108" w:type="dxa"/>
          <w:bottom w:w="0" w:type="dxa"/>
          <w:right w:w="108" w:type="dxa"/>
        </w:tblCellMar>
      </w:tblPr>
      <w:tblGrid>
        <w:gridCol w:w="1157"/>
        <w:gridCol w:w="3617"/>
        <w:gridCol w:w="543"/>
        <w:gridCol w:w="715"/>
        <w:gridCol w:w="657"/>
        <w:gridCol w:w="1916"/>
        <w:gridCol w:w="221"/>
        <w:gridCol w:w="1701"/>
      </w:tblGrid>
      <w:tr>
        <w:trPr>
          <w:trHeight w:val="960" w:hRule="atLeast"/>
          <w:jc w:val="center"/>
        </w:trPr>
        <w:tc>
          <w:tcPr>
            <w:tcW w:w="28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项目总报价（人民币，元，不含税）</w:t>
            </w:r>
          </w:p>
        </w:tc>
        <w:tc>
          <w:tcPr>
            <w:tcW w:w="2134"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1331" w:hRule="atLeast"/>
          <w:jc w:val="center"/>
        </w:trPr>
        <w:tc>
          <w:tcPr>
            <w:tcW w:w="28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color w:val="000000"/>
                <w:lang w:val="en-US" w:bidi="ar-SA"/>
              </w:rPr>
            </w:pPr>
            <w:r>
              <w:rPr>
                <w:rFonts w:hint="eastAsia"/>
                <w:color w:val="000000"/>
                <w:lang w:val="en-US" w:bidi="ar-SA"/>
              </w:rPr>
              <w:t>是否响应本招标书的各项条款及要求（如响应，在该栏中填写“是”字；如不响应，在该栏中填写“否”字并在相关条款偏离表中予以具体注明）</w:t>
            </w:r>
          </w:p>
        </w:tc>
        <w:tc>
          <w:tcPr>
            <w:tcW w:w="2134"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90" w:hRule="atLeast"/>
          <w:jc w:val="center"/>
        </w:trPr>
        <w:tc>
          <w:tcPr>
            <w:tcW w:w="549"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起点省份</w:t>
            </w:r>
          </w:p>
        </w:tc>
        <w:tc>
          <w:tcPr>
            <w:tcW w:w="1718"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中心库</w:t>
            </w:r>
          </w:p>
        </w:tc>
        <w:tc>
          <w:tcPr>
            <w:tcW w:w="2732" w:type="pct"/>
            <w:gridSpan w:val="6"/>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快递(20kg以内）</w:t>
            </w:r>
            <w:r>
              <w:rPr>
                <w:rFonts w:hint="eastAsia"/>
                <w:b/>
                <w:bCs/>
                <w:color w:val="000000"/>
                <w:sz w:val="20"/>
                <w:szCs w:val="20"/>
                <w:lang w:val="en-US" w:bidi="ar-SA"/>
              </w:rPr>
              <w:br w:type="textWrapping"/>
            </w:r>
            <w:r>
              <w:rPr>
                <w:rFonts w:hint="eastAsia"/>
                <w:b/>
                <w:bCs/>
                <w:color w:val="000000"/>
                <w:sz w:val="20"/>
                <w:szCs w:val="20"/>
                <w:lang w:val="en-US" w:bidi="ar-SA"/>
              </w:rPr>
              <w:t>（不含税）</w:t>
            </w:r>
          </w:p>
        </w:tc>
      </w:tr>
      <w:tr>
        <w:tblPrEx>
          <w:tblCellMar>
            <w:top w:w="0" w:type="dxa"/>
            <w:left w:w="108" w:type="dxa"/>
            <w:bottom w:w="0" w:type="dxa"/>
            <w:right w:w="108" w:type="dxa"/>
          </w:tblCellMar>
        </w:tblPrEx>
        <w:trPr>
          <w:trHeight w:val="536" w:hRule="atLeast"/>
          <w:jc w:val="center"/>
        </w:trPr>
        <w:tc>
          <w:tcPr>
            <w:tcW w:w="549"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1718"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910" w:type="pct"/>
            <w:gridSpan w:val="3"/>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500克以内</w:t>
            </w:r>
          </w:p>
        </w:tc>
        <w:tc>
          <w:tcPr>
            <w:tcW w:w="910"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首重(1kg)</w:t>
            </w:r>
          </w:p>
        </w:tc>
        <w:tc>
          <w:tcPr>
            <w:tcW w:w="911" w:type="pct"/>
            <w:gridSpan w:val="2"/>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续重(500g)</w:t>
            </w: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西藏</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拉萨隆兴汽车销售有限公司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青海</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青海载琨商贸有限公司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青运集团西宁潍柴技术服务有限公司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90"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甘肃</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甘肃永众汽车销售服务有限公司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甘肃雄亚汽车销售服务有限公司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宁夏</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宁夏和丰汽车贸易有限公司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新疆</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新疆利泉长进汽车科技有限公司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新疆煜唐贸易有限公司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5"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辽宁</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沈阳金鼎实业有限公司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284"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辽宁北方重潍汽车销售有限公司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77"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吉林</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长春华曼贸易有限公司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2"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长春市众和恒生汽车配件销售有限公司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黑龙江</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黑龙江省商汇汽车配件有限公司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河南</w:t>
            </w: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郑州阳杰汽车配件有限公司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郑州亚大汽车配件有限公司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河南海通汽车零部件有限公司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山西</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山西潍通久隆商贸有限公司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58"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山西钰泽盛源商贸有限公司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陕西</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陕西讯桥汽车销售服务有限公司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天津</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天津通兴汽车零部件有限公司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河北</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河北通兴汽车服务有限公司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邯郸市正光物流有限公司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河北瑞湛商贸有限公司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唐山市丰南区汽车修理厂</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内蒙古</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内蒙古中城备件服务有限公司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山东</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山东亲擎汽车零配件有限公司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青岛远通汽车销售服务有限公司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山东远通汽车零部件有限公司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山东广顺资产管理有限公司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福建</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福建运通国联汽车配件有限公司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泉州联昌贸易有限公司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湖南</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长沙腾跃汽车贸易有限公司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湖南潍柴动力备品有限公司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湖北</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湖北省荣鑫宝龙实业有限公司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湖北诚民汽车配件贸易有限公司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江西</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江西驰恒实业有限公司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海南</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海南广锋汽车销售服务有限公司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广州</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运通四方汽配供应链股份有限公司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广西</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广西南宁众合通达汽配有限责任公司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四川</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成都市紫东汽车配件有限公司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成都蓝擎贸易有限公司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重庆</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重庆市新赛利汽车销售有限公司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重庆鸿珅慷商贸有限公司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rPr>
          <w:trHeight w:val="303" w:hRule="atLeast"/>
          <w:jc w:val="center"/>
        </w:trPr>
        <w:tc>
          <w:tcPr>
            <w:tcW w:w="549"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云南</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云南起信汽车销售服务有限公司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云南信大汽车配件有限公司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云南吉如商贸有限公司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重州</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贵阳蓝擎重工贸易有限公司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安徽</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合肥中重联汽车配件有限公司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江苏</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南京德晟兴汽车销售有限公司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浙江</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杭州振杰汽配有限公司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上海</w:t>
            </w:r>
          </w:p>
        </w:tc>
        <w:tc>
          <w:tcPr>
            <w:tcW w:w="171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上海泰冉贸易有限公司</w:t>
            </w:r>
          </w:p>
        </w:tc>
        <w:tc>
          <w:tcPr>
            <w:tcW w:w="91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911"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640"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val="en-US" w:bidi="ar-SA"/>
              </w:rPr>
            </w:pPr>
            <w:r>
              <w:rPr>
                <w:rFonts w:hint="eastAsia"/>
                <w:color w:val="000000"/>
                <w:sz w:val="24"/>
                <w:szCs w:val="24"/>
                <w:lang w:val="en-US" w:bidi="ar-SA"/>
              </w:rPr>
              <w:t>除满足本招标书之基本要求外，可额外提供的其他免费服务项目</w:t>
            </w:r>
          </w:p>
        </w:tc>
      </w:tr>
      <w:tr>
        <w:trPr>
          <w:trHeight w:val="531"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序号</w:t>
            </w:r>
          </w:p>
        </w:tc>
        <w:tc>
          <w:tcPr>
            <w:tcW w:w="1976"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服务名称</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服务内容</w:t>
            </w:r>
          </w:p>
        </w:tc>
        <w:tc>
          <w:tcPr>
            <w:tcW w:w="807"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备注</w:t>
            </w:r>
          </w:p>
        </w:tc>
      </w:tr>
      <w:tr>
        <w:tblPrEx>
          <w:tblCellMar>
            <w:top w:w="0" w:type="dxa"/>
            <w:left w:w="108" w:type="dxa"/>
            <w:bottom w:w="0" w:type="dxa"/>
            <w:right w:w="108" w:type="dxa"/>
          </w:tblCellMar>
        </w:tblPrEx>
        <w:trPr>
          <w:trHeight w:val="507"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6"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07"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469" w:hRule="atLeast"/>
          <w:jc w:val="center"/>
        </w:trPr>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6"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07" w:type="pct"/>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bl>
    <w:p>
      <w:pPr>
        <w:spacing w:before="62"/>
        <w:ind w:left="638"/>
        <w:rPr>
          <w:rFonts w:ascii="黑体" w:eastAsia="黑体"/>
          <w:b/>
          <w:sz w:val="28"/>
        </w:rPr>
      </w:pPr>
    </w:p>
    <w:p>
      <w:pPr>
        <w:pStyle w:val="6"/>
        <w:tabs>
          <w:tab w:val="left" w:pos="4958"/>
        </w:tabs>
        <w:rPr>
          <w:rFonts w:ascii="仿宋" w:eastAsia="仿宋"/>
        </w:rPr>
      </w:pPr>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rPr>
          <w:rFonts w:ascii="仿宋" w:eastAsia="仿宋"/>
        </w:rPr>
      </w:pPr>
    </w:p>
    <w:p>
      <w:pPr>
        <w:spacing w:before="62"/>
        <w:rPr>
          <w:rFonts w:hint="eastAsia"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Calibri"/>
          <w:b/>
          <w:sz w:val="28"/>
          <w:lang w:val="en-US"/>
        </w:rPr>
        <w:t>3</w:t>
      </w:r>
    </w:p>
    <w:p>
      <w:pPr>
        <w:tabs>
          <w:tab w:val="left" w:pos="1463"/>
          <w:tab w:val="left" w:pos="1989"/>
          <w:tab w:val="left" w:pos="2515"/>
          <w:tab w:val="left" w:pos="3052"/>
        </w:tabs>
        <w:spacing w:before="160" w:line="350" w:lineRule="auto"/>
        <w:ind w:left="624" w:right="6365" w:firstLine="14"/>
        <w:rPr>
          <w:spacing w:val="-15"/>
        </w:rPr>
      </w:pPr>
      <w:r>
        <w:t>项目名称：</w:t>
      </w:r>
      <w:r>
        <w:rPr>
          <w:u w:val="single"/>
        </w:rPr>
        <w:tab/>
      </w:r>
      <w:r>
        <w:rPr>
          <w:u w:val="single"/>
        </w:rPr>
        <w:tab/>
      </w:r>
      <w:r>
        <w:rPr>
          <w:u w:val="single"/>
        </w:rPr>
        <w:tab/>
      </w:r>
      <w:r>
        <w:t>(XX项目</w:t>
      </w:r>
      <w:r>
        <w:rPr>
          <w:spacing w:val="-15"/>
        </w:rPr>
        <w:t>)</w:t>
      </w:r>
    </w:p>
    <w:p>
      <w:pPr>
        <w:tabs>
          <w:tab w:val="left" w:pos="1463"/>
          <w:tab w:val="left" w:pos="1989"/>
          <w:tab w:val="left" w:pos="2515"/>
          <w:tab w:val="left" w:pos="3052"/>
        </w:tabs>
        <w:spacing w:before="160" w:line="350" w:lineRule="auto"/>
        <w:ind w:left="624" w:right="6365" w:firstLine="14"/>
        <w:rPr>
          <w:rFonts w:hint="default" w:eastAsia="宋体"/>
          <w:spacing w:val="-15"/>
          <w:lang w:val="en-US" w:eastAsia="zh-CN"/>
        </w:rPr>
      </w:pPr>
      <w:r>
        <w:rPr>
          <w:rFonts w:hint="eastAsia"/>
          <w:spacing w:val="-15"/>
          <w:lang w:val="en-US" w:eastAsia="zh-CN"/>
        </w:rPr>
        <w:t>一标段：报价表2</w:t>
      </w:r>
    </w:p>
    <w:p>
      <w:pPr>
        <w:tabs>
          <w:tab w:val="left" w:pos="1478"/>
          <w:tab w:val="left" w:pos="2003"/>
          <w:tab w:val="left" w:pos="2527"/>
        </w:tabs>
        <w:spacing w:before="69"/>
        <w:ind w:left="638"/>
      </w:pPr>
      <w:r>
        <w:t>日期：</w:t>
      </w:r>
      <w:r>
        <w:tab/>
      </w:r>
      <w:r>
        <w:t>年</w:t>
      </w:r>
      <w:r>
        <w:tab/>
      </w:r>
      <w:r>
        <w:t>月</w:t>
      </w:r>
      <w:r>
        <w:tab/>
      </w:r>
      <w:r>
        <w:t>日</w:t>
      </w:r>
    </w:p>
    <w:p>
      <w:pPr>
        <w:pStyle w:val="3"/>
        <w:spacing w:before="54"/>
        <w:ind w:left="0"/>
        <w:jc w:val="center"/>
        <w:rPr>
          <w:rFonts w:ascii="宋体" w:eastAsia="宋体"/>
        </w:rPr>
      </w:pPr>
      <w:r>
        <w:rPr>
          <w:rFonts w:hint="eastAsia" w:ascii="宋体" w:eastAsia="宋体"/>
        </w:rPr>
        <w:t>开标一览表（</w:t>
      </w:r>
      <w:r>
        <w:rPr>
          <w:rFonts w:hint="eastAsia" w:ascii="宋体" w:eastAsia="宋体"/>
          <w:lang w:val="en-US"/>
        </w:rPr>
        <w:t>跨区域/区域内调件运输-快运</w:t>
      </w:r>
      <w:r>
        <w:rPr>
          <w:rFonts w:hint="eastAsia" w:ascii="宋体" w:eastAsia="宋体"/>
        </w:rPr>
        <w:t>）</w:t>
      </w:r>
    </w:p>
    <w:p>
      <w:pPr>
        <w:spacing w:before="62"/>
        <w:ind w:left="638"/>
        <w:rPr>
          <w:rFonts w:ascii="黑体" w:eastAsia="黑体"/>
          <w:b/>
          <w:sz w:val="28"/>
        </w:rPr>
      </w:pPr>
    </w:p>
    <w:tbl>
      <w:tblPr>
        <w:tblStyle w:val="23"/>
        <w:tblW w:w="5006" w:type="pct"/>
        <w:tblInd w:w="0" w:type="dxa"/>
        <w:tblLayout w:type="fixed"/>
        <w:tblCellMar>
          <w:top w:w="0" w:type="dxa"/>
          <w:left w:w="108" w:type="dxa"/>
          <w:bottom w:w="0" w:type="dxa"/>
          <w:right w:w="108" w:type="dxa"/>
        </w:tblCellMar>
      </w:tblPr>
      <w:tblGrid>
        <w:gridCol w:w="1155"/>
        <w:gridCol w:w="3722"/>
        <w:gridCol w:w="438"/>
        <w:gridCol w:w="714"/>
        <w:gridCol w:w="260"/>
        <w:gridCol w:w="1412"/>
        <w:gridCol w:w="1123"/>
        <w:gridCol w:w="289"/>
        <w:gridCol w:w="1425"/>
      </w:tblGrid>
      <w:tr>
        <w:tblPrEx>
          <w:tblCellMar>
            <w:top w:w="0" w:type="dxa"/>
            <w:left w:w="108" w:type="dxa"/>
            <w:bottom w:w="0" w:type="dxa"/>
            <w:right w:w="108" w:type="dxa"/>
          </w:tblCellMar>
        </w:tblPrEx>
        <w:trPr>
          <w:trHeight w:val="960" w:hRule="atLeast"/>
        </w:trPr>
        <w:tc>
          <w:tcPr>
            <w:tcW w:w="286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项目总报价（人民币，元，不含税）</w:t>
            </w:r>
          </w:p>
        </w:tc>
        <w:tc>
          <w:tcPr>
            <w:tcW w:w="2138"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1331" w:hRule="atLeast"/>
        </w:trPr>
        <w:tc>
          <w:tcPr>
            <w:tcW w:w="286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color w:val="000000"/>
                <w:lang w:val="en-US" w:bidi="ar-SA"/>
              </w:rPr>
            </w:pPr>
            <w:r>
              <w:rPr>
                <w:rFonts w:hint="eastAsia"/>
                <w:color w:val="000000"/>
                <w:lang w:val="en-US" w:bidi="ar-SA"/>
              </w:rPr>
              <w:t>是否响应本招标书的各项条款及要求（如响应，在该栏中填写“是”字；如不响应，在该栏中填写“否”字并在相关条款偏离表中予以具体注明）</w:t>
            </w:r>
          </w:p>
        </w:tc>
        <w:tc>
          <w:tcPr>
            <w:tcW w:w="2138"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556" w:hRule="atLeast"/>
        </w:trPr>
        <w:tc>
          <w:tcPr>
            <w:tcW w:w="548"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起点省份</w:t>
            </w:r>
          </w:p>
        </w:tc>
        <w:tc>
          <w:tcPr>
            <w:tcW w:w="1766"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中心库</w:t>
            </w:r>
          </w:p>
        </w:tc>
        <w:tc>
          <w:tcPr>
            <w:tcW w:w="2684" w:type="pct"/>
            <w:gridSpan w:val="7"/>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快运价格（20-100KG）</w:t>
            </w:r>
            <w:r>
              <w:rPr>
                <w:rFonts w:hint="eastAsia"/>
                <w:b/>
                <w:bCs/>
                <w:color w:val="000000"/>
                <w:sz w:val="20"/>
                <w:szCs w:val="20"/>
                <w:lang w:val="en-US" w:bidi="ar-SA"/>
              </w:rPr>
              <w:br w:type="textWrapping"/>
            </w:r>
            <w:r>
              <w:rPr>
                <w:rFonts w:hint="eastAsia"/>
                <w:b/>
                <w:bCs/>
                <w:color w:val="000000"/>
                <w:sz w:val="20"/>
                <w:szCs w:val="20"/>
                <w:lang w:val="en-US" w:bidi="ar-SA"/>
              </w:rPr>
              <w:t>（不含税）</w:t>
            </w:r>
          </w:p>
        </w:tc>
      </w:tr>
      <w:tr>
        <w:tblPrEx>
          <w:tblCellMar>
            <w:top w:w="0" w:type="dxa"/>
            <w:left w:w="108" w:type="dxa"/>
            <w:bottom w:w="0" w:type="dxa"/>
            <w:right w:w="108" w:type="dxa"/>
          </w:tblCellMar>
        </w:tblPrEx>
        <w:trPr>
          <w:trHeight w:val="549" w:hRule="atLeast"/>
        </w:trPr>
        <w:tc>
          <w:tcPr>
            <w:tcW w:w="548"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1766"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670" w:type="pct"/>
            <w:gridSpan w:val="3"/>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元/公斤</w:t>
            </w:r>
          </w:p>
        </w:tc>
        <w:tc>
          <w:tcPr>
            <w:tcW w:w="670"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元/方</w:t>
            </w:r>
          </w:p>
        </w:tc>
        <w:tc>
          <w:tcPr>
            <w:tcW w:w="670" w:type="pct"/>
            <w:gridSpan w:val="2"/>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起步价</w:t>
            </w:r>
          </w:p>
        </w:tc>
        <w:tc>
          <w:tcPr>
            <w:tcW w:w="672"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标准货物送货报价(起送费)</w:t>
            </w: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西藏</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拉萨隆兴汽车销售有限公司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青海</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青海载琨商贸有限公司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青运集团西宁潍柴技术服务有限公司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90"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甘肃</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甘肃永众汽车销售服务有限公司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甘肃雄亚汽车销售服务有限公司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宁夏</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宁夏和丰汽车贸易有限公司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新疆</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新疆利泉长进汽车科技有限公司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新疆煜唐贸易有限公司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5"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辽宁</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沈阳金鼎实业有限公司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284"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辽宁北方重潍汽车销售有限公司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77"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吉林</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长春华曼贸易有限公司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2"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长春市众和恒生汽车配件销售有限公司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黑龙江</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黑龙江省商汇汽车配件有限公司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河南</w:t>
            </w: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郑州阳杰汽车配件有限公司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郑州亚大汽车配件有限公司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河南海通汽车零部件有限公司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山西</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山西潍通久隆商贸有限公司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58"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山西钰泽盛源商贸有限公司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陕西</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陕西讯桥汽车销售服务有限公司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天津</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天津通兴汽车零部件有限公司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河北</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河北通兴汽车服务有限公司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邯郸市正光物流有限公司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河北瑞湛商贸有限公司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唐山市丰南区汽车修理厂</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内蒙古</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内蒙古中城备件服务有限公司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山东</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山东亲擎汽车零配件有限公司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青岛远通汽车销售服务有限公司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山东远通汽车零部件有限公司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山东广顺资产管理有限公司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福建</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福建运通国联汽车配件有限公司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泉州联昌贸易有限公司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湖南</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长沙腾跃汽车贸易有限公司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湖南潍柴动力备品有限公司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湖北</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湖北省荣鑫宝龙实业有限公司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湖北诚民汽车配件贸易有限公司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江西</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江西驰恒实业有限公司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海南</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海南广锋汽车销售服务有限公司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广州</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运通四方汽配供应链股份有限公司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广西</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广西南宁众合通达汽配有限责任公司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四川</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成都市紫东汽车配件有限公司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成都蓝擎贸易有限公司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重庆</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重庆市新赛利汽车销售有限公司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重庆鸿珅慷商贸有限公司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云南</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云南起信汽车销售服务有限公司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云南信大汽车配件有限公司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云南吉如商贸有限公司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重州</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贵阳蓝擎重工贸易有限公司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安徽</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合肥中重联汽车配件有限公司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江苏</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南京德晟兴汽车销售有限公司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浙江</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杭州振杰汽配有限公司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上海</w:t>
            </w:r>
          </w:p>
        </w:tc>
        <w:tc>
          <w:tcPr>
            <w:tcW w:w="1766"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上海泰冉贸易有限公司</w:t>
            </w:r>
          </w:p>
        </w:tc>
        <w:tc>
          <w:tcPr>
            <w:tcW w:w="67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0"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64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val="en-US" w:bidi="ar-SA"/>
              </w:rPr>
            </w:pPr>
            <w:r>
              <w:rPr>
                <w:rFonts w:hint="eastAsia"/>
                <w:color w:val="000000"/>
                <w:sz w:val="24"/>
                <w:szCs w:val="24"/>
                <w:lang w:val="en-US" w:bidi="ar-SA"/>
              </w:rPr>
              <w:t>除满足本招标书之基本要求外，可额外提供的其他免费服务项目</w:t>
            </w:r>
          </w:p>
        </w:tc>
      </w:tr>
      <w:tr>
        <w:tblPrEx>
          <w:tblCellMar>
            <w:top w:w="0" w:type="dxa"/>
            <w:left w:w="108" w:type="dxa"/>
            <w:bottom w:w="0" w:type="dxa"/>
            <w:right w:w="108" w:type="dxa"/>
          </w:tblCellMar>
        </w:tblPrEx>
        <w:trPr>
          <w:trHeight w:val="531"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序号</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服务名称</w:t>
            </w:r>
          </w:p>
        </w:tc>
        <w:tc>
          <w:tcPr>
            <w:tcW w:w="166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服务内容</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备注</w:t>
            </w:r>
          </w:p>
        </w:tc>
      </w:tr>
      <w:tr>
        <w:tblPrEx>
          <w:tblCellMar>
            <w:top w:w="0" w:type="dxa"/>
            <w:left w:w="108" w:type="dxa"/>
            <w:bottom w:w="0" w:type="dxa"/>
            <w:right w:w="108" w:type="dxa"/>
          </w:tblCellMar>
        </w:tblPrEx>
        <w:trPr>
          <w:trHeight w:val="507"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469"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5"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bl>
    <w:p>
      <w:pPr>
        <w:spacing w:before="62"/>
        <w:ind w:left="638"/>
        <w:rPr>
          <w:rFonts w:ascii="黑体" w:eastAsia="黑体"/>
          <w:b/>
          <w:sz w:val="28"/>
        </w:rPr>
      </w:pPr>
    </w:p>
    <w:p>
      <w:pPr>
        <w:pStyle w:val="6"/>
        <w:tabs>
          <w:tab w:val="left" w:pos="4958"/>
        </w:tabs>
        <w:rPr>
          <w:rFonts w:ascii="仿宋" w:eastAsia="仿宋"/>
        </w:rPr>
      </w:pPr>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Calibri"/>
          <w:b/>
          <w:sz w:val="28"/>
          <w:lang w:val="en-US"/>
        </w:rPr>
        <w:t>3</w:t>
      </w:r>
    </w:p>
    <w:p>
      <w:pPr>
        <w:tabs>
          <w:tab w:val="left" w:pos="1463"/>
          <w:tab w:val="left" w:pos="1989"/>
          <w:tab w:val="left" w:pos="2515"/>
          <w:tab w:val="left" w:pos="3052"/>
        </w:tabs>
        <w:spacing w:before="160" w:line="350" w:lineRule="auto"/>
        <w:ind w:left="624" w:right="6365" w:firstLine="14"/>
        <w:rPr>
          <w:spacing w:val="-15"/>
        </w:rPr>
      </w:pPr>
      <w:r>
        <w:t>项目名称：</w:t>
      </w:r>
      <w:r>
        <w:rPr>
          <w:u w:val="single"/>
        </w:rPr>
        <w:tab/>
      </w:r>
      <w:r>
        <w:rPr>
          <w:u w:val="single"/>
        </w:rPr>
        <w:tab/>
      </w:r>
      <w:r>
        <w:rPr>
          <w:u w:val="single"/>
        </w:rPr>
        <w:tab/>
      </w:r>
      <w:r>
        <w:t>(XX项目</w:t>
      </w:r>
      <w:r>
        <w:rPr>
          <w:spacing w:val="-15"/>
        </w:rPr>
        <w:t>)</w:t>
      </w:r>
    </w:p>
    <w:p>
      <w:pPr>
        <w:tabs>
          <w:tab w:val="left" w:pos="1463"/>
          <w:tab w:val="left" w:pos="1989"/>
          <w:tab w:val="left" w:pos="2515"/>
          <w:tab w:val="left" w:pos="3052"/>
        </w:tabs>
        <w:spacing w:before="160" w:line="350" w:lineRule="auto"/>
        <w:ind w:left="624" w:right="6365" w:firstLine="14"/>
        <w:rPr>
          <w:rFonts w:hint="default" w:eastAsia="宋体"/>
          <w:spacing w:val="-15"/>
          <w:lang w:val="en-US" w:eastAsia="zh-CN"/>
        </w:rPr>
      </w:pPr>
      <w:r>
        <w:rPr>
          <w:rFonts w:hint="eastAsia"/>
          <w:spacing w:val="-15"/>
          <w:lang w:val="en-US" w:eastAsia="zh-CN"/>
        </w:rPr>
        <w:t>一标段：报价表3</w:t>
      </w:r>
    </w:p>
    <w:p>
      <w:pPr>
        <w:tabs>
          <w:tab w:val="left" w:pos="1478"/>
          <w:tab w:val="left" w:pos="2003"/>
          <w:tab w:val="left" w:pos="2527"/>
        </w:tabs>
        <w:spacing w:before="69"/>
        <w:ind w:left="638"/>
      </w:pPr>
      <w:r>
        <w:t>日期：</w:t>
      </w:r>
      <w:r>
        <w:tab/>
      </w:r>
      <w:r>
        <w:t>年</w:t>
      </w:r>
      <w:r>
        <w:tab/>
      </w:r>
      <w:r>
        <w:t>月</w:t>
      </w:r>
      <w:r>
        <w:tab/>
      </w:r>
      <w:r>
        <w:t>日</w:t>
      </w:r>
    </w:p>
    <w:p>
      <w:pPr>
        <w:pStyle w:val="3"/>
        <w:spacing w:before="54"/>
        <w:ind w:left="0"/>
        <w:jc w:val="center"/>
        <w:rPr>
          <w:rFonts w:ascii="宋体" w:eastAsia="宋体"/>
        </w:rPr>
      </w:pPr>
      <w:r>
        <w:rPr>
          <w:rFonts w:hint="eastAsia" w:ascii="宋体" w:eastAsia="宋体"/>
        </w:rPr>
        <w:t>开标一览表（</w:t>
      </w:r>
      <w:r>
        <w:rPr>
          <w:rFonts w:hint="eastAsia" w:ascii="宋体" w:eastAsia="宋体"/>
          <w:lang w:val="en-US"/>
        </w:rPr>
        <w:t>跨区域/区域内调件运输-重货包裹</w:t>
      </w:r>
      <w:r>
        <w:rPr>
          <w:rFonts w:hint="eastAsia" w:ascii="宋体" w:eastAsia="宋体"/>
        </w:rPr>
        <w:t>）</w:t>
      </w:r>
    </w:p>
    <w:tbl>
      <w:tblPr>
        <w:tblStyle w:val="23"/>
        <w:tblW w:w="5006" w:type="pct"/>
        <w:tblInd w:w="0" w:type="dxa"/>
        <w:tblLayout w:type="fixed"/>
        <w:tblCellMar>
          <w:top w:w="0" w:type="dxa"/>
          <w:left w:w="108" w:type="dxa"/>
          <w:bottom w:w="0" w:type="dxa"/>
          <w:right w:w="108" w:type="dxa"/>
        </w:tblCellMar>
      </w:tblPr>
      <w:tblGrid>
        <w:gridCol w:w="1156"/>
        <w:gridCol w:w="3642"/>
        <w:gridCol w:w="518"/>
        <w:gridCol w:w="885"/>
        <w:gridCol w:w="1498"/>
        <w:gridCol w:w="1125"/>
        <w:gridCol w:w="291"/>
        <w:gridCol w:w="1423"/>
      </w:tblGrid>
      <w:tr>
        <w:tblPrEx>
          <w:tblCellMar>
            <w:top w:w="0" w:type="dxa"/>
            <w:left w:w="108" w:type="dxa"/>
            <w:bottom w:w="0" w:type="dxa"/>
            <w:right w:w="108" w:type="dxa"/>
          </w:tblCellMar>
        </w:tblPrEx>
        <w:trPr>
          <w:trHeight w:val="960" w:hRule="atLeast"/>
        </w:trPr>
        <w:tc>
          <w:tcPr>
            <w:tcW w:w="294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项目总报价（人民币，元，不含税）</w:t>
            </w:r>
          </w:p>
        </w:tc>
        <w:tc>
          <w:tcPr>
            <w:tcW w:w="205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1331" w:hRule="atLeast"/>
        </w:trPr>
        <w:tc>
          <w:tcPr>
            <w:tcW w:w="294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color w:val="000000"/>
                <w:lang w:val="en-US" w:bidi="ar-SA"/>
              </w:rPr>
            </w:pPr>
            <w:r>
              <w:rPr>
                <w:rFonts w:hint="eastAsia"/>
                <w:color w:val="000000"/>
                <w:lang w:val="en-US" w:bidi="ar-SA"/>
              </w:rPr>
              <w:t>是否响应本招标书的各项条款及要求（如响应，在该栏中填写“是”字；如不响应，在该栏中填写“否”字并在相关条款偏离表中予以具体注明）</w:t>
            </w:r>
          </w:p>
        </w:tc>
        <w:tc>
          <w:tcPr>
            <w:tcW w:w="2057" w:type="pct"/>
            <w:gridSpan w:val="4"/>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556" w:hRule="atLeast"/>
        </w:trPr>
        <w:tc>
          <w:tcPr>
            <w:tcW w:w="548"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起点省份</w:t>
            </w:r>
          </w:p>
        </w:tc>
        <w:tc>
          <w:tcPr>
            <w:tcW w:w="1728"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中心库</w:t>
            </w:r>
          </w:p>
        </w:tc>
        <w:tc>
          <w:tcPr>
            <w:tcW w:w="2723" w:type="pct"/>
            <w:gridSpan w:val="6"/>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重货包裹(100kg以上）</w:t>
            </w:r>
            <w:r>
              <w:rPr>
                <w:rFonts w:hint="eastAsia"/>
                <w:b/>
                <w:bCs/>
                <w:color w:val="000000"/>
                <w:sz w:val="20"/>
                <w:szCs w:val="20"/>
                <w:lang w:val="en-US" w:bidi="ar-SA"/>
              </w:rPr>
              <w:br w:type="textWrapping"/>
            </w:r>
            <w:r>
              <w:rPr>
                <w:rFonts w:hint="eastAsia"/>
                <w:b/>
                <w:bCs/>
                <w:color w:val="000000"/>
                <w:sz w:val="20"/>
                <w:szCs w:val="20"/>
                <w:lang w:val="en-US" w:bidi="ar-SA"/>
              </w:rPr>
              <w:t>（不含税）</w:t>
            </w:r>
          </w:p>
        </w:tc>
      </w:tr>
      <w:tr>
        <w:tblPrEx>
          <w:tblCellMar>
            <w:top w:w="0" w:type="dxa"/>
            <w:left w:w="108" w:type="dxa"/>
            <w:bottom w:w="0" w:type="dxa"/>
            <w:right w:w="108" w:type="dxa"/>
          </w:tblCellMar>
        </w:tblPrEx>
        <w:trPr>
          <w:trHeight w:val="549" w:hRule="atLeast"/>
        </w:trPr>
        <w:tc>
          <w:tcPr>
            <w:tcW w:w="548"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1728" w:type="pct"/>
            <w:vMerge w:val="continue"/>
            <w:tcBorders>
              <w:top w:val="nil"/>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666" w:type="pct"/>
            <w:gridSpan w:val="2"/>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重量单价/kg</w:t>
            </w:r>
          </w:p>
        </w:tc>
        <w:tc>
          <w:tcPr>
            <w:tcW w:w="711"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体积单价/m³</w:t>
            </w:r>
          </w:p>
        </w:tc>
        <w:tc>
          <w:tcPr>
            <w:tcW w:w="672" w:type="pct"/>
            <w:gridSpan w:val="2"/>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最低消费</w:t>
            </w:r>
          </w:p>
        </w:tc>
        <w:tc>
          <w:tcPr>
            <w:tcW w:w="672"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送货费</w:t>
            </w: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西藏</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拉萨隆兴汽车销售有限公司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青海</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青海载琨商贸有限公司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青运集团西宁潍柴技术服务有限公司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90"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甘肃</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甘肃永众汽车销售服务有限公司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甘肃雄亚汽车销售服务有限公司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宁夏</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宁夏和丰汽车贸易有限公司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新疆</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新疆利泉长进汽车科技有限公司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新疆煜唐贸易有限公司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5"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辽宁</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沈阳金鼎实业有限公司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284"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辽宁北方重潍汽车销售有限公司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77"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吉林</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长春华曼贸易有限公司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62"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长春市众和恒生汽车配件销售有限公司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黑龙江</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黑龙江省商汇汽车配件有限公司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河南</w:t>
            </w: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郑州阳杰汽车配件有限公司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郑州亚大汽车配件有限公司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河南海通汽车零部件有限公司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山西</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山西潍通久隆商贸有限公司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58"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山西钰泽盛源商贸有限公司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陕西</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陕西讯桥汽车销售服务有限公司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天津</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天津通兴汽车零部件有限公司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河北</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河北通兴汽车服务有限公司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邯郸市正光物流有限公司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河北瑞湛商贸有限公司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SA"/>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唐山市丰南区汽车修理厂</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内蒙古</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内蒙古中城备件服务有限公司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山东</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山东亲擎汽车零配件有限公司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青岛远通汽车销售服务有限公司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山东远通汽车零部件有限公司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山东广顺资产管理有限公司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福建</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福建运通国联汽车配件有限公司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泉州联昌贸易有限公司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湖南</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长沙腾跃汽车贸易有限公司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湖南潍柴动力备品有限公司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湖北</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湖北省荣鑫宝龙实业有限公司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湖北诚民汽车配件贸易有限公司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江西</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江西驰恒实业有限公司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海南</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海南广锋汽车销售服务有限公司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广州</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运通四方汽配供应链股份有限公司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广西</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广西南宁众合通达汽配有限责任公司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四川</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成都市紫东汽车配件有限公司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成都蓝擎贸易有限公司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重庆</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重庆市新赛利汽车销售有限公司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重庆鸿珅慷商贸有限公司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云南</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云南起信汽车销售服务有限公司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云南信大汽车配件有限公司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vMerge w:val="continue"/>
            <w:tcBorders>
              <w:left w:val="single" w:color="auto" w:sz="4" w:space="0"/>
              <w:bottom w:val="single" w:color="auto" w:sz="4" w:space="0"/>
              <w:right w:val="single" w:color="auto" w:sz="4" w:space="0"/>
            </w:tcBorders>
            <w:shd w:val="clear" w:color="auto" w:fill="auto"/>
            <w:vAlign w:val="center"/>
          </w:tcPr>
          <w:p>
            <w:pPr>
              <w:jc w:val="center"/>
              <w:rPr>
                <w:color w:val="000000"/>
                <w:sz w:val="20"/>
                <w:szCs w:val="20"/>
                <w:lang w:val="en-US" w:bidi="ar"/>
              </w:rPr>
            </w:pP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云南吉如商贸有限公司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重州</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贵阳蓝擎重工贸易有限公司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安徽</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合肥中重联汽车配件有限公司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江苏</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南京德晟兴汽车销售有限公司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浙江</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杭州振杰汽配有限公司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303"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上海</w:t>
            </w:r>
          </w:p>
        </w:tc>
        <w:tc>
          <w:tcPr>
            <w:tcW w:w="1728"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上海泰冉贸易有限公司</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711"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gridSpan w:val="2"/>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c>
          <w:tcPr>
            <w:tcW w:w="672" w:type="pct"/>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0"/>
                <w:szCs w:val="20"/>
                <w:lang w:val="en-US" w:bidi="ar-SA"/>
              </w:rPr>
            </w:pPr>
          </w:p>
        </w:tc>
      </w:tr>
      <w:tr>
        <w:tblPrEx>
          <w:tblCellMar>
            <w:top w:w="0" w:type="dxa"/>
            <w:left w:w="108" w:type="dxa"/>
            <w:bottom w:w="0" w:type="dxa"/>
            <w:right w:w="108" w:type="dxa"/>
          </w:tblCellMar>
        </w:tblPrEx>
        <w:trPr>
          <w:trHeight w:val="640"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4"/>
                <w:szCs w:val="24"/>
                <w:lang w:val="en-US" w:bidi="ar-SA"/>
              </w:rPr>
            </w:pPr>
            <w:r>
              <w:rPr>
                <w:rFonts w:hint="eastAsia"/>
                <w:color w:val="000000"/>
                <w:sz w:val="24"/>
                <w:szCs w:val="24"/>
                <w:lang w:val="en-US" w:bidi="ar-SA"/>
              </w:rPr>
              <w:t>除满足本招标书之基本要求外，可额外提供的其他免费服务项目</w:t>
            </w:r>
          </w:p>
        </w:tc>
      </w:tr>
      <w:tr>
        <w:tblPrEx>
          <w:tblCellMar>
            <w:top w:w="0" w:type="dxa"/>
            <w:left w:w="108" w:type="dxa"/>
            <w:bottom w:w="0" w:type="dxa"/>
            <w:right w:w="108" w:type="dxa"/>
          </w:tblCellMar>
        </w:tblPrEx>
        <w:trPr>
          <w:trHeight w:val="531"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序号</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1"/>
                <w:szCs w:val="21"/>
                <w:lang w:val="en-US" w:bidi="ar-SA"/>
              </w:rPr>
            </w:pPr>
            <w:r>
              <w:rPr>
                <w:rFonts w:hint="eastAsia"/>
                <w:color w:val="000000"/>
                <w:sz w:val="21"/>
                <w:szCs w:val="21"/>
                <w:lang w:val="en-US" w:bidi="ar-SA"/>
              </w:rPr>
              <w:t>服务名称</w:t>
            </w:r>
          </w:p>
        </w:tc>
        <w:tc>
          <w:tcPr>
            <w:tcW w:w="166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服务内容</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备注</w:t>
            </w:r>
          </w:p>
        </w:tc>
      </w:tr>
      <w:tr>
        <w:tblPrEx>
          <w:tblCellMar>
            <w:top w:w="0" w:type="dxa"/>
            <w:left w:w="108" w:type="dxa"/>
            <w:bottom w:w="0" w:type="dxa"/>
            <w:right w:w="108" w:type="dxa"/>
          </w:tblCellMar>
        </w:tblPrEx>
        <w:trPr>
          <w:trHeight w:val="507"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r>
        <w:tblPrEx>
          <w:tblCellMar>
            <w:top w:w="0" w:type="dxa"/>
            <w:left w:w="108" w:type="dxa"/>
            <w:bottom w:w="0" w:type="dxa"/>
            <w:right w:w="108" w:type="dxa"/>
          </w:tblCellMar>
        </w:tblPrEx>
        <w:trPr>
          <w:trHeight w:val="469" w:hRule="atLeast"/>
        </w:trPr>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974"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lang w:val="en-US" w:bidi="ar-SA"/>
              </w:rPr>
            </w:pPr>
            <w:r>
              <w:rPr>
                <w:rFonts w:hint="eastAsia"/>
                <w:color w:val="000000"/>
                <w:lang w:val="en-US" w:bidi="ar-SA"/>
              </w:rPr>
              <w:t>　</w:t>
            </w:r>
          </w:p>
        </w:tc>
        <w:tc>
          <w:tcPr>
            <w:tcW w:w="1665" w:type="pct"/>
            <w:gridSpan w:val="3"/>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c>
          <w:tcPr>
            <w:tcW w:w="81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lang w:val="en-US" w:bidi="ar-SA"/>
              </w:rPr>
            </w:pPr>
            <w:r>
              <w:rPr>
                <w:rFonts w:hint="eastAsia"/>
                <w:color w:val="000000"/>
                <w:lang w:val="en-US" w:bidi="ar-SA"/>
              </w:rPr>
              <w:t>　</w:t>
            </w:r>
          </w:p>
        </w:tc>
      </w:tr>
    </w:tbl>
    <w:p>
      <w:pPr>
        <w:spacing w:before="62"/>
        <w:ind w:left="638"/>
        <w:rPr>
          <w:rFonts w:ascii="黑体" w:eastAsia="黑体"/>
          <w:b/>
          <w:sz w:val="28"/>
        </w:rPr>
      </w:pPr>
    </w:p>
    <w:p>
      <w:pPr>
        <w:pStyle w:val="6"/>
        <w:tabs>
          <w:tab w:val="left" w:pos="4958"/>
        </w:tabs>
        <w:rPr>
          <w:rFonts w:ascii="仿宋" w:eastAsia="仿宋"/>
        </w:rPr>
      </w:pPr>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hint="eastAsia"/>
        </w:rPr>
      </w:pPr>
      <w:r>
        <w:rPr>
          <w:rFonts w:hint="eastAsia" w:ascii="黑体" w:eastAsia="黑体"/>
          <w:b/>
          <w:sz w:val="28"/>
        </w:rPr>
        <w:t>格式</w:t>
      </w:r>
      <w:r>
        <w:rPr>
          <w:rFonts w:hint="eastAsia" w:ascii="Calibri"/>
          <w:b/>
          <w:sz w:val="28"/>
          <w:lang w:val="en-US"/>
        </w:rPr>
        <w:t>3</w:t>
      </w:r>
    </w:p>
    <w:p>
      <w:pPr>
        <w:tabs>
          <w:tab w:val="left" w:pos="1463"/>
          <w:tab w:val="left" w:pos="1989"/>
          <w:tab w:val="left" w:pos="2515"/>
          <w:tab w:val="left" w:pos="3052"/>
        </w:tabs>
        <w:spacing w:before="160" w:line="350" w:lineRule="auto"/>
        <w:ind w:right="6365" w:firstLine="660" w:firstLineChars="300"/>
        <w:rPr>
          <w:spacing w:val="-15"/>
        </w:rPr>
      </w:pPr>
      <w:r>
        <w:t>名称：</w:t>
      </w:r>
      <w:r>
        <w:rPr>
          <w:u w:val="single"/>
        </w:rPr>
        <w:tab/>
      </w:r>
      <w:r>
        <w:rPr>
          <w:u w:val="single"/>
        </w:rPr>
        <w:tab/>
      </w:r>
      <w:r>
        <w:rPr>
          <w:u w:val="single"/>
        </w:rPr>
        <w:tab/>
      </w:r>
      <w:r>
        <w:t>(XX项目</w:t>
      </w:r>
      <w:r>
        <w:rPr>
          <w:spacing w:val="-15"/>
        </w:rPr>
        <w:t>)</w:t>
      </w:r>
    </w:p>
    <w:p>
      <w:pPr>
        <w:tabs>
          <w:tab w:val="left" w:pos="1463"/>
          <w:tab w:val="left" w:pos="1989"/>
          <w:tab w:val="left" w:pos="2515"/>
          <w:tab w:val="left" w:pos="3052"/>
        </w:tabs>
        <w:spacing w:before="160" w:line="350" w:lineRule="auto"/>
        <w:ind w:left="624" w:right="6365" w:firstLine="14"/>
        <w:rPr>
          <w:rFonts w:hint="default" w:eastAsia="宋体"/>
          <w:spacing w:val="-15"/>
          <w:lang w:val="en-US" w:eastAsia="zh-CN"/>
        </w:rPr>
      </w:pPr>
      <w:r>
        <w:rPr>
          <w:rFonts w:hint="eastAsia"/>
          <w:spacing w:val="-15"/>
          <w:lang w:val="en-US" w:eastAsia="zh-CN"/>
        </w:rPr>
        <w:t>二标段：报价表1</w:t>
      </w:r>
    </w:p>
    <w:p>
      <w:pPr>
        <w:tabs>
          <w:tab w:val="left" w:pos="1463"/>
          <w:tab w:val="left" w:pos="1989"/>
          <w:tab w:val="left" w:pos="2515"/>
          <w:tab w:val="left" w:pos="3052"/>
        </w:tabs>
        <w:spacing w:before="160" w:line="350" w:lineRule="auto"/>
        <w:ind w:left="624" w:right="6365" w:firstLine="14"/>
      </w:pPr>
      <w:r>
        <w:t>日期：</w:t>
      </w:r>
      <w:r>
        <w:tab/>
      </w:r>
      <w:r>
        <w:t>年</w:t>
      </w:r>
      <w:r>
        <w:tab/>
      </w:r>
      <w:r>
        <w:t>月</w:t>
      </w:r>
      <w:r>
        <w:tab/>
      </w:r>
      <w:r>
        <w:rPr>
          <w:rFonts w:hint="eastAsia"/>
          <w:lang w:val="en-US" w:eastAsia="zh-CN"/>
        </w:rPr>
        <w:t xml:space="preserve"> </w:t>
      </w:r>
      <w:r>
        <w:t>日</w:t>
      </w:r>
    </w:p>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left="624" w:right="0" w:firstLine="11"/>
        <w:jc w:val="center"/>
        <w:textAlignment w:val="auto"/>
        <w:rPr>
          <w:rFonts w:hint="eastAsia" w:eastAsia="宋体"/>
          <w:b/>
          <w:bCs/>
          <w:sz w:val="28"/>
          <w:szCs w:val="28"/>
          <w:lang w:val="en-US" w:eastAsia="zh-CN"/>
        </w:rPr>
      </w:pPr>
      <w:r>
        <w:rPr>
          <w:rFonts w:hint="eastAsia"/>
          <w:b/>
          <w:bCs/>
          <w:sz w:val="28"/>
          <w:szCs w:val="28"/>
          <w:lang w:val="en-US" w:eastAsia="zh-CN"/>
        </w:rPr>
        <w:t>开标一览表</w:t>
      </w:r>
    </w:p>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right="0"/>
        <w:jc w:val="center"/>
        <w:textAlignment w:val="auto"/>
        <w:rPr>
          <w:rFonts w:hint="eastAsia" w:ascii="宋体" w:hAnsi="宋体" w:eastAsia="宋体"/>
          <w:b/>
          <w:bCs/>
          <w:sz w:val="28"/>
          <w:szCs w:val="28"/>
          <w:lang w:eastAsia="zh-CN"/>
        </w:rPr>
      </w:pPr>
      <w:r>
        <w:rPr>
          <w:rFonts w:hint="eastAsia"/>
          <w:b/>
          <w:bCs/>
          <w:sz w:val="28"/>
          <w:szCs w:val="28"/>
          <w:lang w:eastAsia="zh-CN"/>
        </w:rPr>
        <w:t>（</w:t>
      </w:r>
      <w:r>
        <w:rPr>
          <w:rFonts w:hint="eastAsia"/>
          <w:b/>
          <w:bCs/>
          <w:sz w:val="28"/>
          <w:szCs w:val="28"/>
          <w:lang w:val="en-US" w:eastAsia="zh-CN"/>
        </w:rPr>
        <w:t>潍柴项目--</w:t>
      </w:r>
      <w:r>
        <w:rPr>
          <w:rFonts w:hint="eastAsia" w:ascii="宋体" w:hAnsi="宋体"/>
          <w:b/>
          <w:bCs/>
          <w:sz w:val="28"/>
          <w:szCs w:val="28"/>
        </w:rPr>
        <w:t>扬州三包</w:t>
      </w:r>
      <w:r>
        <w:rPr>
          <w:rFonts w:ascii="宋体" w:hAnsi="宋体"/>
          <w:b/>
          <w:bCs/>
          <w:sz w:val="28"/>
          <w:szCs w:val="28"/>
        </w:rPr>
        <w:t>、加急订单</w:t>
      </w:r>
      <w:r>
        <w:rPr>
          <w:rFonts w:hint="eastAsia" w:ascii="宋体" w:hAnsi="宋体"/>
          <w:b/>
          <w:bCs/>
          <w:sz w:val="28"/>
          <w:szCs w:val="28"/>
        </w:rPr>
        <w:t>配件运输</w:t>
      </w:r>
      <w:r>
        <w:rPr>
          <w:rFonts w:hint="eastAsia"/>
          <w:b/>
          <w:bCs/>
          <w:sz w:val="28"/>
          <w:szCs w:val="28"/>
          <w:lang w:eastAsia="zh-CN"/>
        </w:rPr>
        <w:t>）</w:t>
      </w:r>
    </w:p>
    <w:tbl>
      <w:tblPr>
        <w:tblStyle w:val="23"/>
        <w:tblW w:w="10830" w:type="dxa"/>
        <w:tblInd w:w="0" w:type="dxa"/>
        <w:shd w:val="clear" w:color="auto" w:fill="auto"/>
        <w:tblLayout w:type="autofit"/>
        <w:tblCellMar>
          <w:top w:w="0" w:type="dxa"/>
          <w:left w:w="0" w:type="dxa"/>
          <w:bottom w:w="0" w:type="dxa"/>
          <w:right w:w="0" w:type="dxa"/>
        </w:tblCellMar>
      </w:tblPr>
      <w:tblGrid>
        <w:gridCol w:w="375"/>
        <w:gridCol w:w="585"/>
        <w:gridCol w:w="795"/>
        <w:gridCol w:w="825"/>
        <w:gridCol w:w="825"/>
        <w:gridCol w:w="825"/>
        <w:gridCol w:w="825"/>
        <w:gridCol w:w="825"/>
        <w:gridCol w:w="825"/>
        <w:gridCol w:w="825"/>
        <w:gridCol w:w="825"/>
        <w:gridCol w:w="825"/>
        <w:gridCol w:w="825"/>
        <w:gridCol w:w="825"/>
      </w:tblGrid>
      <w:tr>
        <w:tblPrEx>
          <w:tblCellMar>
            <w:top w:w="0" w:type="dxa"/>
            <w:left w:w="0" w:type="dxa"/>
            <w:bottom w:w="0" w:type="dxa"/>
            <w:right w:w="0" w:type="dxa"/>
          </w:tblCellMar>
        </w:tblPrEx>
        <w:trPr>
          <w:trHeight w:val="300" w:hRule="atLeast"/>
        </w:trPr>
        <w:tc>
          <w:tcPr>
            <w:tcW w:w="83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项目总报价（人民币，元，不含税）</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835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是否响应本招标书的各项条款及要求（如响应，在该栏中填写“是”字；如不响应，在该栏中填写“否”字并在相关条款偏离表中予以具体注明）</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90" w:hRule="atLeast"/>
        </w:trPr>
        <w:tc>
          <w:tcPr>
            <w:tcW w:w="37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1"/>
                <w:szCs w:val="21"/>
                <w:u w:val="none"/>
              </w:rPr>
            </w:pP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1"/>
                <w:szCs w:val="21"/>
                <w:u w:val="none"/>
              </w:rPr>
            </w:pPr>
          </w:p>
        </w:tc>
        <w:tc>
          <w:tcPr>
            <w:tcW w:w="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500克以内</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首重(1kg)</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续重(500g)</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元/公斤</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元/方</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起步价</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标准货物送货报价(起送费)</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重量单价/kg</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体积单价/m³</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最低消费</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报价</w:t>
            </w: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江苏</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安徽</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福建</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甘肃</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广东</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广西</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贵州</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河南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黑龙江</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湖南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吉林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江西</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辽宁</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内蒙</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宁夏</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青海</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山西</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陕西</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上海</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四川</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天津</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西藏</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新疆</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云南</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浙江</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扬州</w:t>
            </w: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重庆</w:t>
            </w: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 w:hRule="atLeast"/>
        </w:trPr>
        <w:tc>
          <w:tcPr>
            <w:tcW w:w="1083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除满足本招标书之基本要求外，可额外提供的其他免费服务项目</w:t>
            </w:r>
          </w:p>
        </w:tc>
      </w:tr>
      <w:tr>
        <w:tblPrEx>
          <w:shd w:val="clear" w:color="auto" w:fill="auto"/>
          <w:tblCellMar>
            <w:top w:w="0" w:type="dxa"/>
            <w:left w:w="0" w:type="dxa"/>
            <w:bottom w:w="0" w:type="dxa"/>
            <w:right w:w="0" w:type="dxa"/>
          </w:tblCellMar>
        </w:tblPrEx>
        <w:trPr>
          <w:trHeight w:val="270" w:hRule="atLeast"/>
        </w:trPr>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服务内容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trPr>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17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left="635" w:right="0" w:firstLine="11"/>
        <w:textAlignment w:val="auto"/>
        <w:rPr>
          <w:rFonts w:hint="default" w:ascii="宋体" w:hAnsi="宋体"/>
          <w:sz w:val="24"/>
          <w:szCs w:val="24"/>
          <w:lang w:val="en-US" w:eastAsia="zh-CN"/>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Calibri"/>
          <w:b/>
          <w:sz w:val="28"/>
          <w:lang w:val="en-US"/>
        </w:rPr>
        <w:t>3</w:t>
      </w:r>
    </w:p>
    <w:p>
      <w:pPr>
        <w:tabs>
          <w:tab w:val="left" w:pos="1463"/>
          <w:tab w:val="left" w:pos="1989"/>
          <w:tab w:val="left" w:pos="2515"/>
          <w:tab w:val="left" w:pos="3052"/>
        </w:tabs>
        <w:spacing w:before="160" w:line="350" w:lineRule="auto"/>
        <w:ind w:left="624" w:right="6365" w:firstLine="14"/>
        <w:rPr>
          <w:spacing w:val="-15"/>
        </w:rPr>
      </w:pPr>
      <w:r>
        <w:t>项目名称：</w:t>
      </w:r>
      <w:r>
        <w:rPr>
          <w:u w:val="single"/>
        </w:rPr>
        <w:tab/>
      </w:r>
      <w:r>
        <w:rPr>
          <w:u w:val="single"/>
        </w:rPr>
        <w:tab/>
      </w:r>
      <w:r>
        <w:rPr>
          <w:u w:val="single"/>
        </w:rPr>
        <w:tab/>
      </w:r>
      <w:r>
        <w:t>(XX项目</w:t>
      </w:r>
      <w:r>
        <w:rPr>
          <w:spacing w:val="-15"/>
        </w:rPr>
        <w:t>)</w:t>
      </w:r>
    </w:p>
    <w:p>
      <w:pPr>
        <w:tabs>
          <w:tab w:val="left" w:pos="1463"/>
          <w:tab w:val="left" w:pos="1989"/>
          <w:tab w:val="left" w:pos="2515"/>
          <w:tab w:val="left" w:pos="3052"/>
        </w:tabs>
        <w:spacing w:before="160" w:line="350" w:lineRule="auto"/>
        <w:ind w:left="624" w:right="6365" w:firstLine="14"/>
        <w:rPr>
          <w:rFonts w:hint="default" w:eastAsia="宋体"/>
          <w:spacing w:val="-15"/>
          <w:lang w:val="en-US" w:eastAsia="zh-CN"/>
        </w:rPr>
      </w:pPr>
      <w:r>
        <w:rPr>
          <w:rFonts w:hint="eastAsia"/>
          <w:spacing w:val="-15"/>
          <w:lang w:val="en-US" w:eastAsia="zh-CN"/>
        </w:rPr>
        <w:t>二标段：报价表2</w:t>
      </w:r>
    </w:p>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left="624" w:right="0" w:firstLine="11"/>
        <w:textAlignment w:val="auto"/>
      </w:pPr>
      <w:r>
        <w:t>日期：</w:t>
      </w:r>
      <w:r>
        <w:tab/>
      </w:r>
      <w:r>
        <w:rPr>
          <w:rFonts w:hint="eastAsia"/>
          <w:lang w:val="en-US" w:eastAsia="zh-CN"/>
        </w:rPr>
        <w:t xml:space="preserve">       </w:t>
      </w:r>
      <w:r>
        <w:t>年</w:t>
      </w:r>
      <w:r>
        <w:rPr>
          <w:rFonts w:hint="eastAsia"/>
          <w:lang w:val="en-US" w:eastAsia="zh-CN"/>
        </w:rPr>
        <w:t xml:space="preserve">    </w:t>
      </w:r>
      <w:r>
        <w:tab/>
      </w:r>
      <w:r>
        <w:t>月</w:t>
      </w:r>
      <w:r>
        <w:rPr>
          <w:rFonts w:hint="eastAsia"/>
          <w:lang w:val="en-US" w:eastAsia="zh-CN"/>
        </w:rPr>
        <w:t xml:space="preserve">    </w:t>
      </w:r>
      <w:r>
        <w:t>日</w:t>
      </w:r>
    </w:p>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left="624" w:right="0" w:firstLine="11"/>
        <w:jc w:val="center"/>
        <w:textAlignment w:val="auto"/>
        <w:rPr>
          <w:rFonts w:hint="eastAsia"/>
          <w:b/>
          <w:bCs/>
          <w:sz w:val="24"/>
          <w:szCs w:val="24"/>
          <w:lang w:val="en-US" w:eastAsia="zh-CN"/>
        </w:rPr>
      </w:pPr>
      <w:r>
        <w:rPr>
          <w:rFonts w:hint="eastAsia"/>
          <w:b/>
          <w:bCs/>
          <w:sz w:val="24"/>
          <w:szCs w:val="24"/>
          <w:lang w:val="en-US" w:eastAsia="zh-CN"/>
        </w:rPr>
        <w:t>开标一览表</w:t>
      </w:r>
    </w:p>
    <w:p>
      <w:pPr>
        <w:keepNext w:val="0"/>
        <w:keepLines w:val="0"/>
        <w:pageBreakBefore w:val="0"/>
        <w:widowControl w:val="0"/>
        <w:tabs>
          <w:tab w:val="left" w:pos="1463"/>
          <w:tab w:val="left" w:pos="1989"/>
          <w:tab w:val="left" w:pos="2515"/>
          <w:tab w:val="left" w:pos="3052"/>
        </w:tabs>
        <w:kinsoku/>
        <w:wordWrap/>
        <w:overflowPunct/>
        <w:topLinePunct w:val="0"/>
        <w:autoSpaceDE w:val="0"/>
        <w:autoSpaceDN w:val="0"/>
        <w:bidi w:val="0"/>
        <w:adjustRightInd/>
        <w:snapToGrid/>
        <w:spacing w:before="160" w:line="351" w:lineRule="auto"/>
        <w:ind w:left="624" w:right="0" w:firstLine="11"/>
        <w:jc w:val="center"/>
        <w:textAlignment w:val="auto"/>
        <w:rPr>
          <w:rFonts w:hint="eastAsia" w:eastAsia="宋体"/>
          <w:b/>
          <w:bCs/>
          <w:sz w:val="24"/>
          <w:szCs w:val="24"/>
          <w:lang w:val="en-US" w:eastAsia="zh-CN"/>
        </w:rPr>
      </w:pPr>
      <w:r>
        <w:rPr>
          <w:rFonts w:hint="eastAsia"/>
          <w:b/>
          <w:bCs/>
          <w:sz w:val="24"/>
          <w:szCs w:val="24"/>
          <w:lang w:val="en-US" w:eastAsia="zh-CN"/>
        </w:rPr>
        <w:t>（潍柴项目--</w:t>
      </w:r>
      <w:r>
        <w:rPr>
          <w:rFonts w:hint="eastAsia" w:ascii="宋体" w:hAnsi="宋体"/>
          <w:b/>
          <w:bCs/>
          <w:sz w:val="24"/>
          <w:szCs w:val="24"/>
        </w:rPr>
        <w:t>中心库</w:t>
      </w:r>
      <w:r>
        <w:rPr>
          <w:rFonts w:ascii="宋体" w:hAnsi="宋体"/>
          <w:b/>
          <w:bCs/>
          <w:sz w:val="24"/>
          <w:szCs w:val="24"/>
        </w:rPr>
        <w:t>发往所辖服务站</w:t>
      </w:r>
      <w:r>
        <w:rPr>
          <w:rFonts w:hint="eastAsia" w:ascii="宋体" w:hAnsi="宋体"/>
          <w:b/>
          <w:bCs/>
          <w:sz w:val="24"/>
          <w:szCs w:val="24"/>
        </w:rPr>
        <w:t>、</w:t>
      </w:r>
      <w:r>
        <w:rPr>
          <w:rFonts w:ascii="宋体" w:hAnsi="宋体"/>
          <w:b/>
          <w:bCs/>
          <w:sz w:val="24"/>
          <w:szCs w:val="24"/>
        </w:rPr>
        <w:t>销售</w:t>
      </w:r>
      <w:r>
        <w:rPr>
          <w:rFonts w:hint="eastAsia" w:ascii="宋体" w:hAnsi="宋体"/>
          <w:b/>
          <w:bCs/>
          <w:sz w:val="24"/>
          <w:szCs w:val="24"/>
        </w:rPr>
        <w:t>门店</w:t>
      </w:r>
      <w:r>
        <w:rPr>
          <w:rFonts w:ascii="宋体" w:hAnsi="宋体"/>
          <w:b/>
          <w:bCs/>
          <w:sz w:val="24"/>
          <w:szCs w:val="24"/>
        </w:rPr>
        <w:t>等调件快递配送</w:t>
      </w:r>
      <w:r>
        <w:rPr>
          <w:rFonts w:hint="eastAsia" w:ascii="宋体" w:hAnsi="宋体"/>
          <w:b/>
          <w:bCs/>
          <w:sz w:val="24"/>
          <w:szCs w:val="24"/>
        </w:rPr>
        <w:t>业务</w:t>
      </w:r>
      <w:r>
        <w:rPr>
          <w:rFonts w:hint="eastAsia"/>
          <w:b/>
          <w:bCs/>
          <w:sz w:val="24"/>
          <w:szCs w:val="24"/>
          <w:lang w:eastAsia="zh-CN"/>
        </w:rPr>
        <w:t>）</w:t>
      </w:r>
    </w:p>
    <w:tbl>
      <w:tblPr>
        <w:tblStyle w:val="23"/>
        <w:tblpPr w:leftFromText="180" w:rightFromText="180" w:vertAnchor="text" w:horzAnchor="page" w:tblpX="479" w:tblpY="451"/>
        <w:tblOverlap w:val="never"/>
        <w:tblW w:w="11095" w:type="dxa"/>
        <w:tblInd w:w="0" w:type="dxa"/>
        <w:shd w:val="clear" w:color="auto" w:fill="auto"/>
        <w:tblLayout w:type="autofit"/>
        <w:tblCellMar>
          <w:top w:w="0" w:type="dxa"/>
          <w:left w:w="0" w:type="dxa"/>
          <w:bottom w:w="0" w:type="dxa"/>
          <w:right w:w="0" w:type="dxa"/>
        </w:tblCellMar>
      </w:tblPr>
      <w:tblGrid>
        <w:gridCol w:w="475"/>
        <w:gridCol w:w="699"/>
        <w:gridCol w:w="977"/>
        <w:gridCol w:w="855"/>
        <w:gridCol w:w="1052"/>
        <w:gridCol w:w="722"/>
        <w:gridCol w:w="787"/>
        <w:gridCol w:w="583"/>
        <w:gridCol w:w="679"/>
        <w:gridCol w:w="900"/>
        <w:gridCol w:w="888"/>
        <w:gridCol w:w="882"/>
        <w:gridCol w:w="882"/>
        <w:gridCol w:w="714"/>
      </w:tblGrid>
      <w:tr>
        <w:tblPrEx>
          <w:shd w:val="clear" w:color="auto" w:fill="auto"/>
          <w:tblCellMar>
            <w:top w:w="0" w:type="dxa"/>
            <w:left w:w="0" w:type="dxa"/>
            <w:bottom w:w="0" w:type="dxa"/>
            <w:right w:w="0" w:type="dxa"/>
          </w:tblCellMar>
        </w:tblPrEx>
        <w:trPr>
          <w:trHeight w:val="316" w:hRule="atLeast"/>
        </w:trPr>
        <w:tc>
          <w:tcPr>
            <w:tcW w:w="861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项目总报价（人民币，元，不含税）</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06" w:hRule="atLeast"/>
        </w:trPr>
        <w:tc>
          <w:tcPr>
            <w:tcW w:w="8617"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是否响应本招标书的各项条款及要求（如响应，在该栏中填写“是”字；如不响应，在该栏中填写“否”字并在相关条款偏离表中予以具体注明）</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02" w:hRule="atLeast"/>
        </w:trPr>
        <w:tc>
          <w:tcPr>
            <w:tcW w:w="4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中心库发出地</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所辖范围</w:t>
            </w: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快递</w:t>
            </w:r>
            <w:r>
              <w:rPr>
                <w:rFonts w:hint="default" w:ascii="Times New Roman" w:hAnsi="Times New Roman" w:eastAsia="宋体" w:cs="Times New Roman"/>
                <w:b/>
                <w:i w:val="0"/>
                <w:color w:val="000000"/>
                <w:kern w:val="0"/>
                <w:sz w:val="21"/>
                <w:szCs w:val="21"/>
                <w:u w:val="none"/>
                <w:lang w:val="en-US" w:eastAsia="zh-CN" w:bidi="ar"/>
              </w:rPr>
              <w:t>(20kg</w:t>
            </w:r>
            <w:r>
              <w:rPr>
                <w:rFonts w:hint="eastAsia" w:ascii="宋体" w:hAnsi="宋体" w:eastAsia="宋体" w:cs="宋体"/>
                <w:b/>
                <w:i w:val="0"/>
                <w:color w:val="000000"/>
                <w:kern w:val="0"/>
                <w:sz w:val="21"/>
                <w:szCs w:val="21"/>
                <w:u w:val="none"/>
                <w:lang w:val="en-US" w:eastAsia="zh-CN" w:bidi="ar"/>
              </w:rPr>
              <w:t>以内）</w:t>
            </w:r>
          </w:p>
        </w:tc>
        <w:tc>
          <w:tcPr>
            <w:tcW w:w="29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快运价格（</w:t>
            </w:r>
            <w:r>
              <w:rPr>
                <w:rFonts w:hint="default" w:ascii="Times New Roman" w:hAnsi="Times New Roman" w:eastAsia="宋体" w:cs="Times New Roman"/>
                <w:b/>
                <w:i w:val="0"/>
                <w:color w:val="000000"/>
                <w:kern w:val="0"/>
                <w:sz w:val="21"/>
                <w:szCs w:val="21"/>
                <w:u w:val="none"/>
                <w:lang w:val="en-US" w:eastAsia="zh-CN" w:bidi="ar"/>
              </w:rPr>
              <w:t>20-100KG</w:t>
            </w:r>
            <w:r>
              <w:rPr>
                <w:rFonts w:hint="eastAsia" w:ascii="宋体" w:hAnsi="宋体" w:eastAsia="宋体" w:cs="宋体"/>
                <w:b/>
                <w:i w:val="0"/>
                <w:color w:val="000000"/>
                <w:kern w:val="0"/>
                <w:sz w:val="21"/>
                <w:szCs w:val="21"/>
                <w:u w:val="none"/>
                <w:lang w:val="en-US" w:eastAsia="zh-CN" w:bidi="ar"/>
              </w:rPr>
              <w:t>）</w:t>
            </w:r>
          </w:p>
        </w:tc>
        <w:tc>
          <w:tcPr>
            <w:tcW w:w="33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 xml:space="preserve">  </w:t>
            </w:r>
            <w:r>
              <w:rPr>
                <w:rFonts w:hint="eastAsia" w:ascii="宋体" w:hAnsi="宋体" w:eastAsia="宋体" w:cs="宋体"/>
                <w:b/>
                <w:i w:val="0"/>
                <w:color w:val="000000"/>
                <w:kern w:val="0"/>
                <w:sz w:val="21"/>
                <w:szCs w:val="21"/>
                <w:u w:val="none"/>
                <w:lang w:val="en-US" w:eastAsia="zh-CN" w:bidi="ar"/>
              </w:rPr>
              <w:t>重货包裹</w:t>
            </w:r>
            <w:r>
              <w:rPr>
                <w:rFonts w:hint="default" w:ascii="Times New Roman" w:hAnsi="Times New Roman" w:eastAsia="宋体" w:cs="Times New Roman"/>
                <w:b/>
                <w:i w:val="0"/>
                <w:color w:val="000000"/>
                <w:kern w:val="0"/>
                <w:sz w:val="21"/>
                <w:szCs w:val="21"/>
                <w:u w:val="none"/>
                <w:lang w:val="en-US" w:eastAsia="zh-CN" w:bidi="ar"/>
              </w:rPr>
              <w:t>(100kg</w:t>
            </w:r>
            <w:r>
              <w:rPr>
                <w:rFonts w:hint="eastAsia" w:ascii="宋体" w:hAnsi="宋体" w:eastAsia="宋体" w:cs="宋体"/>
                <w:b/>
                <w:i w:val="0"/>
                <w:color w:val="000000"/>
                <w:kern w:val="0"/>
                <w:sz w:val="21"/>
                <w:szCs w:val="21"/>
                <w:u w:val="none"/>
                <w:lang w:val="en-US" w:eastAsia="zh-CN" w:bidi="ar"/>
              </w:rPr>
              <w:t>以上）</w:t>
            </w:r>
          </w:p>
        </w:tc>
      </w:tr>
      <w:tr>
        <w:tblPrEx>
          <w:tblCellMar>
            <w:top w:w="0" w:type="dxa"/>
            <w:left w:w="0" w:type="dxa"/>
            <w:bottom w:w="0" w:type="dxa"/>
            <w:right w:w="0" w:type="dxa"/>
          </w:tblCellMar>
        </w:tblPrEx>
        <w:trPr>
          <w:trHeight w:val="302"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000000"/>
                <w:sz w:val="21"/>
                <w:szCs w:val="21"/>
                <w:u w:val="none"/>
              </w:rPr>
            </w:pPr>
          </w:p>
        </w:tc>
        <w:tc>
          <w:tcPr>
            <w:tcW w:w="2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（不含税）</w:t>
            </w:r>
          </w:p>
        </w:tc>
        <w:tc>
          <w:tcPr>
            <w:tcW w:w="29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（不含税）</w:t>
            </w:r>
          </w:p>
        </w:tc>
        <w:tc>
          <w:tcPr>
            <w:tcW w:w="336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（不含税）</w:t>
            </w:r>
          </w:p>
        </w:tc>
      </w:tr>
      <w:tr>
        <w:tblPrEx>
          <w:tblCellMar>
            <w:top w:w="0" w:type="dxa"/>
            <w:left w:w="0" w:type="dxa"/>
            <w:bottom w:w="0" w:type="dxa"/>
            <w:right w:w="0" w:type="dxa"/>
          </w:tblCellMar>
        </w:tblPrEx>
        <w:trPr>
          <w:trHeight w:val="858" w:hRule="atLeast"/>
        </w:trPr>
        <w:tc>
          <w:tcPr>
            <w:tcW w:w="4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rPr>
                <w:rFonts w:hint="eastAsia" w:ascii="宋体" w:hAnsi="宋体" w:eastAsia="宋体" w:cs="宋体"/>
                <w:b/>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500克以内</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首重(1kg)</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续重(500g)</w:t>
            </w: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元/公斤</w:t>
            </w: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元/方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起步价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标准货物送货报价(起送费)</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重量单价/kg</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体积单价/m³</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最低消费</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报价</w:t>
            </w:r>
          </w:p>
        </w:tc>
      </w:tr>
      <w:tr>
        <w:tblPrEx>
          <w:tblCellMar>
            <w:top w:w="0" w:type="dxa"/>
            <w:left w:w="0" w:type="dxa"/>
            <w:bottom w:w="0" w:type="dxa"/>
            <w:right w:w="0" w:type="dxa"/>
          </w:tblCellMar>
        </w:tblPrEx>
        <w:trPr>
          <w:trHeight w:val="121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北京市、河北省廊坊市、承德市、张家口市、承德市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成都</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广东省、海南省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贵阳</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贵州省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贵州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3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哈尔滨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黑龙江省、内蒙古呼伦贝尔</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4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邯郸</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河北省石家庄市、邯郸市、保定市、沧州市、邢台市、衡水市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杭州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合肥</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21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济南</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济南市、滨州市、潍坊市、东营市、淄博市、泰安市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济宁</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山东省济宁市、菏泽市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金华</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浙江省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晋中</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昆明</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3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甘肃省、青海省、西藏自治区</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聊城</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山东省德州市、聊城市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临汾</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4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临沂</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山东省烟台市、青岛市、威海市、临沂市、日照市、枣庄市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南安</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南昌</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30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南京</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江苏省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南宁</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广西壮族自治区</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92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包头</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内蒙古自治区呼和浩特市、包头市、鄂尔多斯市、巴彦淖尔市、乌兰察布市、锡林郭勒盟</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92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呼和浩特</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内蒙古自治区呼和浩特市、包头市、鄂尔多斯市、巴彦淖尔市、乌兰察布市、锡林郭勒盟</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青岛</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山东省烟台市、青岛市、威海市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泉州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上海</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上海市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3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沈阳</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辽宁省、内蒙古赤峰、通辽市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452"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石家庄</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河北省石家庄市、邯郸市、保定市、沧州市、邢台市、衡水市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朔州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再制造业务无区域限制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太原</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唐山</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河北省唐山市、秦皇岛市、遵化市、天津市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7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天津</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河北省唐山市、秦皇岛市、遵化市、天津市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乌鲁木齐</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新疆维吾尔族自治区</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武汉</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西安</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陕西省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西宁</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青海省、西藏自治区</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咸阳</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陕西省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江苏省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宜昌</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691"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银川</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甘肃省、宁夏回族自治区、青海省、西藏自治区、内蒙古自治区乌海市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张家口</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河北省张家口市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漳州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福建省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9"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长春</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吉林省、内蒙古乌兰浩特</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湖南省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郑州</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00"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中山</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广东省、海南省</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6"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重庆</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重庆市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42" w:hRule="atLeast"/>
        </w:trPr>
        <w:tc>
          <w:tcPr>
            <w:tcW w:w="1109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除满足本招标书之基本要求外，可额外提供的其他免费服务项目</w:t>
            </w:r>
          </w:p>
        </w:tc>
      </w:tr>
      <w:tr>
        <w:tblPrEx>
          <w:tblCellMar>
            <w:top w:w="0" w:type="dxa"/>
            <w:left w:w="0" w:type="dxa"/>
            <w:bottom w:w="0" w:type="dxa"/>
            <w:right w:w="0" w:type="dxa"/>
          </w:tblCellMar>
        </w:tblPrEx>
        <w:trPr>
          <w:trHeight w:val="316" w:hRule="atLeast"/>
        </w:trPr>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39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服务名称</w:t>
            </w: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服务内容</w:t>
            </w: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16" w:hRule="atLeast"/>
        </w:trPr>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6" w:hRule="atLeast"/>
        </w:trPr>
        <w:tc>
          <w:tcPr>
            <w:tcW w:w="21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99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7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spacing w:before="62"/>
        <w:ind w:left="638"/>
        <w:rPr>
          <w:rFonts w:ascii="黑体" w:eastAsia="黑体"/>
          <w:b/>
          <w:sz w:val="28"/>
        </w:rPr>
      </w:pPr>
    </w:p>
    <w:p>
      <w:pPr>
        <w:spacing w:before="62"/>
        <w:ind w:left="638"/>
        <w:rPr>
          <w:rFonts w:ascii="黑体" w:eastAsia="黑体"/>
          <w:b/>
          <w:sz w:val="28"/>
        </w:rPr>
      </w:pPr>
    </w:p>
    <w:p>
      <w:pPr>
        <w:spacing w:before="62"/>
        <w:ind w:left="638"/>
        <w:rPr>
          <w:rFonts w:ascii="黑体" w:eastAsia="黑体"/>
          <w:b/>
          <w:sz w:val="28"/>
        </w:rPr>
      </w:pPr>
    </w:p>
    <w:p>
      <w:pPr>
        <w:spacing w:before="62"/>
        <w:ind w:left="638"/>
        <w:rPr>
          <w:rFonts w:hint="eastAsia" w:ascii="黑体" w:eastAsia="黑体"/>
          <w:b/>
          <w:sz w:val="28"/>
        </w:rPr>
      </w:pPr>
    </w:p>
    <w:p>
      <w:pPr>
        <w:spacing w:before="62"/>
        <w:ind w:left="638"/>
        <w:rPr>
          <w:rFonts w:hint="eastAsia" w:ascii="黑体" w:eastAsia="黑体"/>
          <w:b/>
          <w:sz w:val="28"/>
        </w:rPr>
      </w:pPr>
    </w:p>
    <w:p>
      <w:pPr>
        <w:spacing w:before="62"/>
        <w:ind w:left="638"/>
        <w:rPr>
          <w:rFonts w:hint="eastAsia" w:ascii="黑体" w:eastAsia="黑体"/>
          <w:b/>
          <w:sz w:val="28"/>
        </w:rPr>
      </w:pPr>
    </w:p>
    <w:p>
      <w:pPr>
        <w:spacing w:before="62"/>
        <w:ind w:left="638"/>
        <w:rPr>
          <w:rFonts w:hint="eastAsia"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4</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p>
    <w:p>
      <w:pPr>
        <w:pStyle w:val="10"/>
        <w:tabs>
          <w:tab w:val="left" w:pos="1478"/>
          <w:tab w:val="left" w:pos="2003"/>
          <w:tab w:val="left" w:pos="2527"/>
        </w:tabs>
        <w:spacing w:before="69"/>
        <w:ind w:left="638"/>
      </w:pPr>
      <w:r>
        <w:t>日期：</w:t>
      </w:r>
      <w:r>
        <w:tab/>
      </w:r>
      <w:r>
        <w:t>年</w:t>
      </w:r>
      <w:r>
        <w:tab/>
      </w:r>
      <w:r>
        <w:t>月</w:t>
      </w:r>
      <w:r>
        <w:tab/>
      </w:r>
      <w:r>
        <w:t>日</w:t>
      </w:r>
    </w:p>
    <w:p>
      <w:pPr>
        <w:pStyle w:val="10"/>
        <w:rPr>
          <w:rFonts w:ascii="仿宋"/>
          <w:sz w:val="24"/>
        </w:rPr>
      </w:pPr>
    </w:p>
    <w:p>
      <w:pPr>
        <w:pStyle w:val="10"/>
        <w:rPr>
          <w:sz w:val="20"/>
        </w:rPr>
      </w:pPr>
    </w:p>
    <w:p>
      <w:pPr>
        <w:pStyle w:val="10"/>
        <w:spacing w:before="7"/>
        <w:rPr>
          <w:sz w:val="27"/>
        </w:rPr>
      </w:pPr>
      <w:r>
        <w:rPr>
          <w:lang w:val="en-US" w:bidi="ar-SA"/>
        </w:rPr>
        <mc:AlternateContent>
          <mc:Choice Requires="wpg">
            <w:drawing>
              <wp:anchor distT="0" distB="0" distL="0" distR="0" simplePos="0" relativeHeight="251677696" behindDoc="1" locked="0" layoutInCell="1" allowOverlap="1">
                <wp:simplePos x="0" y="0"/>
                <wp:positionH relativeFrom="page">
                  <wp:posOffset>827405</wp:posOffset>
                </wp:positionH>
                <wp:positionV relativeFrom="paragraph">
                  <wp:posOffset>248920</wp:posOffset>
                </wp:positionV>
                <wp:extent cx="5904230" cy="2667000"/>
                <wp:effectExtent l="0" t="635" r="1270" b="0"/>
                <wp:wrapTopAndBottom/>
                <wp:docPr id="27" name="组合 5"/>
                <wp:cNvGraphicFramePr/>
                <a:graphic xmlns:a="http://schemas.openxmlformats.org/drawingml/2006/main">
                  <a:graphicData uri="http://schemas.microsoft.com/office/word/2010/wordprocessingGroup">
                    <wpg:wgp>
                      <wpg:cNvGrpSpPr/>
                      <wpg:grpSpPr>
                        <a:xfrm>
                          <a:off x="0" y="0"/>
                          <a:ext cx="5904230" cy="2667000"/>
                          <a:chOff x="1304" y="393"/>
                          <a:chExt cx="9298" cy="4200"/>
                        </a:xfrm>
                      </wpg:grpSpPr>
                      <wps:wsp>
                        <wps:cNvPr id="8" name="任意多边形 6"/>
                        <wps:cNvSpPr/>
                        <wps:spPr>
                          <a:xfrm>
                            <a:off x="1304" y="392"/>
                            <a:ext cx="9298" cy="4200"/>
                          </a:xfrm>
                          <a:custGeom>
                            <a:avLst/>
                            <a:gdLst/>
                            <a:ahLst/>
                            <a:cxnLst/>
                            <a:rect l="0" t="0" r="0" b="0"/>
                            <a:pathLst>
                              <a:path w="9298" h="4200">
                                <a:moveTo>
                                  <a:pt x="9298" y="4200"/>
                                </a:moveTo>
                                <a:lnTo>
                                  <a:pt x="0" y="4200"/>
                                </a:lnTo>
                                <a:lnTo>
                                  <a:pt x="0" y="0"/>
                                </a:lnTo>
                                <a:lnTo>
                                  <a:pt x="9298" y="0"/>
                                </a:lnTo>
                                <a:lnTo>
                                  <a:pt x="9298" y="6"/>
                                </a:lnTo>
                                <a:lnTo>
                                  <a:pt x="12" y="6"/>
                                </a:lnTo>
                                <a:lnTo>
                                  <a:pt x="6" y="12"/>
                                </a:lnTo>
                                <a:lnTo>
                                  <a:pt x="12" y="12"/>
                                </a:lnTo>
                                <a:lnTo>
                                  <a:pt x="12" y="4188"/>
                                </a:lnTo>
                                <a:lnTo>
                                  <a:pt x="6" y="4188"/>
                                </a:lnTo>
                                <a:lnTo>
                                  <a:pt x="12" y="4194"/>
                                </a:lnTo>
                                <a:lnTo>
                                  <a:pt x="9298" y="4194"/>
                                </a:lnTo>
                                <a:lnTo>
                                  <a:pt x="9298" y="4200"/>
                                </a:lnTo>
                                <a:close/>
                                <a:moveTo>
                                  <a:pt x="12" y="12"/>
                                </a:moveTo>
                                <a:lnTo>
                                  <a:pt x="6" y="12"/>
                                </a:lnTo>
                                <a:lnTo>
                                  <a:pt x="12" y="6"/>
                                </a:lnTo>
                                <a:lnTo>
                                  <a:pt x="12" y="12"/>
                                </a:lnTo>
                                <a:close/>
                                <a:moveTo>
                                  <a:pt x="9286" y="12"/>
                                </a:moveTo>
                                <a:lnTo>
                                  <a:pt x="12" y="12"/>
                                </a:lnTo>
                                <a:lnTo>
                                  <a:pt x="12" y="6"/>
                                </a:lnTo>
                                <a:lnTo>
                                  <a:pt x="9286" y="6"/>
                                </a:lnTo>
                                <a:lnTo>
                                  <a:pt x="9286" y="12"/>
                                </a:lnTo>
                                <a:close/>
                                <a:moveTo>
                                  <a:pt x="9286" y="4194"/>
                                </a:moveTo>
                                <a:lnTo>
                                  <a:pt x="9286" y="6"/>
                                </a:lnTo>
                                <a:lnTo>
                                  <a:pt x="9292" y="12"/>
                                </a:lnTo>
                                <a:lnTo>
                                  <a:pt x="9298" y="12"/>
                                </a:lnTo>
                                <a:lnTo>
                                  <a:pt x="9298" y="4188"/>
                                </a:lnTo>
                                <a:lnTo>
                                  <a:pt x="9292" y="4188"/>
                                </a:lnTo>
                                <a:lnTo>
                                  <a:pt x="9286" y="4194"/>
                                </a:lnTo>
                                <a:close/>
                                <a:moveTo>
                                  <a:pt x="9298" y="12"/>
                                </a:moveTo>
                                <a:lnTo>
                                  <a:pt x="9292" y="12"/>
                                </a:lnTo>
                                <a:lnTo>
                                  <a:pt x="9286" y="6"/>
                                </a:lnTo>
                                <a:lnTo>
                                  <a:pt x="9298" y="6"/>
                                </a:lnTo>
                                <a:lnTo>
                                  <a:pt x="9298" y="12"/>
                                </a:lnTo>
                                <a:close/>
                                <a:moveTo>
                                  <a:pt x="12" y="4194"/>
                                </a:moveTo>
                                <a:lnTo>
                                  <a:pt x="6" y="4188"/>
                                </a:lnTo>
                                <a:lnTo>
                                  <a:pt x="12" y="4188"/>
                                </a:lnTo>
                                <a:lnTo>
                                  <a:pt x="12" y="4194"/>
                                </a:lnTo>
                                <a:close/>
                                <a:moveTo>
                                  <a:pt x="9286" y="4194"/>
                                </a:moveTo>
                                <a:lnTo>
                                  <a:pt x="12" y="4194"/>
                                </a:lnTo>
                                <a:lnTo>
                                  <a:pt x="12" y="4188"/>
                                </a:lnTo>
                                <a:lnTo>
                                  <a:pt x="9286" y="4188"/>
                                </a:lnTo>
                                <a:lnTo>
                                  <a:pt x="9286" y="4194"/>
                                </a:lnTo>
                                <a:close/>
                                <a:moveTo>
                                  <a:pt x="9298" y="4194"/>
                                </a:moveTo>
                                <a:lnTo>
                                  <a:pt x="9286" y="4194"/>
                                </a:lnTo>
                                <a:lnTo>
                                  <a:pt x="9292" y="4188"/>
                                </a:lnTo>
                                <a:lnTo>
                                  <a:pt x="9298" y="4188"/>
                                </a:lnTo>
                                <a:lnTo>
                                  <a:pt x="9298" y="4194"/>
                                </a:lnTo>
                                <a:close/>
                              </a:path>
                            </a:pathLst>
                          </a:custGeom>
                          <a:solidFill>
                            <a:srgbClr val="000000"/>
                          </a:solidFill>
                          <a:ln>
                            <a:noFill/>
                          </a:ln>
                        </wps:spPr>
                        <wps:bodyPr upright="1"/>
                      </wps:wsp>
                      <wps:wsp>
                        <wps:cNvPr id="10" name="文本框 7"/>
                        <wps:cNvSpPr txBox="1"/>
                        <wps:spPr>
                          <a:xfrm>
                            <a:off x="1304" y="392"/>
                            <a:ext cx="9298" cy="4200"/>
                          </a:xfrm>
                          <a:prstGeom prst="rect">
                            <a:avLst/>
                          </a:prstGeom>
                          <a:noFill/>
                          <a:ln>
                            <a:noFill/>
                          </a:ln>
                        </wps:spPr>
                        <wps:txbx>
                          <w:txbxContent>
                            <w:p>
                              <w:pPr>
                                <w:spacing w:before="16"/>
                                <w:ind w:left="114"/>
                                <w:rPr>
                                  <w:rFonts w:ascii="仿宋" w:eastAsia="仿宋"/>
                                  <w:sz w:val="24"/>
                                </w:rPr>
                              </w:pPr>
                              <w:r>
                                <w:rPr>
                                  <w:rFonts w:hint="eastAsia" w:ascii="仿宋" w:eastAsia="仿宋"/>
                                  <w:sz w:val="24"/>
                                </w:rPr>
                                <w:t>投标人承诺：</w:t>
                              </w:r>
                            </w:p>
                            <w:p>
                              <w:pPr>
                                <w:spacing w:before="84" w:line="369" w:lineRule="auto"/>
                                <w:ind w:left="114" w:right="301" w:firstLine="480"/>
                                <w:rPr>
                                  <w:rFonts w:ascii="仿宋" w:eastAsia="仿宋"/>
                                  <w:sz w:val="24"/>
                                </w:rPr>
                              </w:pPr>
                              <w:r>
                                <w:rPr>
                                  <w:rFonts w:hint="eastAsia" w:ascii="仿宋" w:eastAsia="仿宋"/>
                                  <w:sz w:val="24"/>
                                </w:rPr>
                                <w:t>我公司承诺遵守贵公司由于招标人公司政策变化引起的随时终止项目的要求并承担由此带来的一切损失。</w:t>
                              </w:r>
                            </w:p>
                          </w:txbxContent>
                        </wps:txbx>
                        <wps:bodyPr lIns="0" tIns="0" rIns="0" bIns="0" upright="1"/>
                      </wps:wsp>
                    </wpg:wgp>
                  </a:graphicData>
                </a:graphic>
              </wp:anchor>
            </w:drawing>
          </mc:Choice>
          <mc:Fallback>
            <w:pict>
              <v:group id="组合 5" o:spid="_x0000_s1026" o:spt="203" style="position:absolute;left:0pt;margin-left:65.15pt;margin-top:19.6pt;height:210pt;width:464.9pt;mso-position-horizontal-relative:page;mso-wrap-distance-bottom:0pt;mso-wrap-distance-top:0pt;z-index:-251638784;mso-width-relative:page;mso-height-relative:page;" coordorigin="1304,393" coordsize="9298,4200" o:gfxdata="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">
                <o:lock v:ext="edit" aspectratio="f"/>
                <v:shape id="任意多边形 6" o:spid="_x0000_s1026" o:spt="100" style="position:absolute;left:1304;top:392;height:4200;width:9298;" fillcolor="#000000" filled="t" stroked="f" coordsize="9298,4200" o:gfxdata="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UT5GbgAAADaAAAA&#10;DwAAAAAAAAABACAAAAAiAAAAZHJzL2Rvd25yZXYueG1sUEsBAhQAFAAAAAgAh07iQDMvBZ47AAAA&#10;OQAAABAAAAAAAAAAAQAgAAAABwEAAGRycy9zaGFwZXhtbC54bWxQSwUGAAAAAAYABgBbAQAAsQMA&#10;AAAA&#10;" path="m9298,4200l0,4200,0,0,9298,0,9298,6,12,6,6,12,12,12,12,4188,6,4188,12,4194,9298,4194,9298,4200xm12,12l6,12,12,6,12,12xm9286,12l12,12,12,6,9286,6,9286,12xm9286,4194l9286,6,9292,12,9298,12,9298,4188,9292,4188,9286,4194xm9298,12l9292,12,9286,6,9298,6,9298,12xm12,4194l6,4188,12,4188,12,4194xm9286,4194l12,4194,12,4188,9286,4188,9286,4194xm9298,4194l9286,4194,9292,4188,9298,4188,9298,4194xe">
                  <v:fill on="t" focussize="0,0"/>
                  <v:stroke on="f"/>
                  <v:imagedata o:title=""/>
                  <o:lock v:ext="edit" aspectratio="f"/>
                </v:shape>
                <v:shape id="文本框 7" o:spid="_x0000_s1026" o:spt="202" type="#_x0000_t202" style="position:absolute;left:1304;top:392;height:4200;width:9298;"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
                          <w:ind w:left="114"/>
                          <w:rPr>
                            <w:rFonts w:ascii="仿宋" w:eastAsia="仿宋"/>
                            <w:sz w:val="24"/>
                          </w:rPr>
                        </w:pPr>
                        <w:r>
                          <w:rPr>
                            <w:rFonts w:hint="eastAsia" w:ascii="仿宋" w:eastAsia="仿宋"/>
                            <w:sz w:val="24"/>
                          </w:rPr>
                          <w:t>投标人承诺：</w:t>
                        </w:r>
                      </w:p>
                      <w:p>
                        <w:pPr>
                          <w:spacing w:before="84" w:line="369" w:lineRule="auto"/>
                          <w:ind w:left="114" w:right="301" w:firstLine="480"/>
                          <w:rPr>
                            <w:rFonts w:ascii="仿宋" w:eastAsia="仿宋"/>
                            <w:sz w:val="24"/>
                          </w:rPr>
                        </w:pPr>
                        <w:r>
                          <w:rPr>
                            <w:rFonts w:hint="eastAsia" w:ascii="仿宋" w:eastAsia="仿宋"/>
                            <w:sz w:val="24"/>
                          </w:rPr>
                          <w:t>我公司承诺遵守贵公司由于招标人公司政策变化引起的随时终止项目的要求并承担由此带来的一切损失。</w:t>
                        </w:r>
                      </w:p>
                    </w:txbxContent>
                  </v:textbox>
                </v:shape>
                <w10:wrap type="topAndBottom"/>
              </v:group>
            </w:pict>
          </mc:Fallback>
        </mc:AlternateConten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6"/>
        <w:tabs>
          <w:tab w:val="left" w:pos="4598"/>
        </w:tabs>
        <w:spacing w:before="170"/>
        <w:rPr>
          <w:rFonts w:ascii="仿宋" w:eastAsia="仿宋"/>
        </w:rPr>
      </w:pPr>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pStyle w:val="10"/>
        <w:rPr>
          <w:rFonts w:ascii="仿宋"/>
          <w:sz w:val="24"/>
        </w:rPr>
      </w:pPr>
    </w:p>
    <w:p>
      <w:pPr>
        <w:pStyle w:val="10"/>
        <w:spacing w:before="10"/>
        <w:rPr>
          <w:rFonts w:ascii="仿宋"/>
          <w:sz w:val="25"/>
        </w:rPr>
      </w:pPr>
    </w:p>
    <w:p>
      <w:pPr>
        <w:spacing w:line="244" w:lineRule="auto"/>
        <w:ind w:left="638" w:right="801"/>
        <w:rPr>
          <w:sz w:val="24"/>
        </w:rPr>
      </w:pPr>
      <w:r>
        <w:rPr>
          <w:b/>
          <w:spacing w:val="-4"/>
          <w:sz w:val="24"/>
        </w:rPr>
        <w:t>注：</w:t>
      </w:r>
      <w:r>
        <w:rPr>
          <w:spacing w:val="-8"/>
          <w:sz w:val="24"/>
        </w:rPr>
        <w:t>为避免歧义，无偏离也应要提报该表，并注明“无”字。如无该表则即使在其它部</w:t>
      </w:r>
      <w:r>
        <w:rPr>
          <w:spacing w:val="-10"/>
          <w:sz w:val="24"/>
        </w:rPr>
        <w:t>分已反映，将也被视为“无偏离”。</w:t>
      </w:r>
    </w:p>
    <w:p>
      <w:pPr>
        <w:pStyle w:val="10"/>
        <w:rPr>
          <w:rFonts w:ascii="仿宋"/>
          <w:sz w:val="24"/>
        </w:rPr>
      </w:pPr>
    </w:p>
    <w:p>
      <w:pPr>
        <w:rPr>
          <w:rFonts w:ascii="仿宋"/>
          <w:sz w:val="25"/>
        </w:rPr>
      </w:pPr>
      <w:r>
        <w:rPr>
          <w:rFonts w:ascii="仿宋"/>
          <w:sz w:val="25"/>
        </w:rPr>
        <w:br w:type="page"/>
      </w:r>
    </w:p>
    <w:p>
      <w:pPr>
        <w:spacing w:before="62" w:line="60" w:lineRule="auto"/>
        <w:ind w:left="641"/>
        <w:rPr>
          <w:rFonts w:ascii="黑体" w:eastAsia="黑体"/>
          <w:b/>
          <w:sz w:val="28"/>
        </w:rPr>
      </w:pPr>
    </w:p>
    <w:p>
      <w:pPr>
        <w:spacing w:before="62"/>
        <w:ind w:left="638"/>
        <w:rPr>
          <w:rFonts w:ascii="Calibri" w:eastAsia="黑体"/>
          <w:b/>
          <w:sz w:val="28"/>
          <w:lang w:val="en-US"/>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5</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p>
    <w:p>
      <w:pPr>
        <w:pStyle w:val="10"/>
        <w:tabs>
          <w:tab w:val="left" w:pos="1478"/>
          <w:tab w:val="left" w:pos="2003"/>
          <w:tab w:val="left" w:pos="2527"/>
        </w:tabs>
        <w:spacing w:before="69"/>
        <w:ind w:left="638"/>
      </w:pPr>
      <w:r>
        <w:t>日期：</w:t>
      </w:r>
      <w:r>
        <w:tab/>
      </w:r>
      <w:r>
        <w:t>年</w:t>
      </w:r>
      <w:r>
        <w:tab/>
      </w:r>
      <w:r>
        <w:t>月</w:t>
      </w:r>
      <w:r>
        <w:tab/>
      </w:r>
      <w:r>
        <w:t>日</w:t>
      </w:r>
    </w:p>
    <w:p>
      <w:pPr>
        <w:pStyle w:val="10"/>
        <w:rPr>
          <w:sz w:val="20"/>
        </w:rPr>
      </w:pPr>
    </w:p>
    <w:p>
      <w:pPr>
        <w:pStyle w:val="10"/>
        <w:rPr>
          <w:sz w:val="20"/>
        </w:rPr>
      </w:pPr>
    </w:p>
    <w:p>
      <w:pPr>
        <w:pStyle w:val="10"/>
        <w:spacing w:before="9"/>
      </w:pPr>
    </w:p>
    <w:p>
      <w:pPr>
        <w:ind w:left="46"/>
        <w:jc w:val="center"/>
        <w:rPr>
          <w:rFonts w:ascii="黑体" w:eastAsia="黑体"/>
          <w:b/>
          <w:sz w:val="28"/>
        </w:rPr>
      </w:pPr>
      <w:r>
        <w:rPr>
          <w:rFonts w:hint="eastAsia" w:ascii="黑体" w:eastAsia="黑体"/>
          <w:b/>
          <w:sz w:val="28"/>
        </w:rPr>
        <w:t>相关条款偏离表（含商务偏离及技术偏离）</w:t>
      </w:r>
    </w:p>
    <w:p>
      <w:pPr>
        <w:pStyle w:val="10"/>
        <w:spacing w:before="10"/>
        <w:rPr>
          <w:rFonts w:ascii="黑体"/>
          <w:b/>
          <w:sz w:val="10"/>
        </w:rPr>
      </w:pPr>
    </w:p>
    <w:tbl>
      <w:tblPr>
        <w:tblStyle w:val="23"/>
        <w:tblW w:w="0" w:type="auto"/>
        <w:tblInd w:w="9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080"/>
        <w:gridCol w:w="3060"/>
        <w:gridCol w:w="3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vMerge w:val="restart"/>
          </w:tcPr>
          <w:p>
            <w:pPr>
              <w:pStyle w:val="34"/>
              <w:rPr>
                <w:rFonts w:ascii="黑体"/>
                <w:b/>
                <w:sz w:val="24"/>
              </w:rPr>
            </w:pPr>
          </w:p>
          <w:p>
            <w:pPr>
              <w:pStyle w:val="34"/>
              <w:rPr>
                <w:rFonts w:ascii="黑体"/>
                <w:b/>
                <w:sz w:val="18"/>
              </w:rPr>
            </w:pPr>
          </w:p>
          <w:p>
            <w:pPr>
              <w:pStyle w:val="34"/>
              <w:spacing w:before="1"/>
              <w:ind w:left="177"/>
              <w:rPr>
                <w:sz w:val="24"/>
              </w:rPr>
            </w:pPr>
            <w:r>
              <w:rPr>
                <w:sz w:val="24"/>
              </w:rPr>
              <w:t>序号</w:t>
            </w:r>
          </w:p>
        </w:tc>
        <w:tc>
          <w:tcPr>
            <w:tcW w:w="4140" w:type="dxa"/>
            <w:gridSpan w:val="2"/>
          </w:tcPr>
          <w:p>
            <w:pPr>
              <w:pStyle w:val="34"/>
              <w:spacing w:before="186"/>
              <w:ind w:left="1353"/>
              <w:rPr>
                <w:sz w:val="24"/>
              </w:rPr>
            </w:pPr>
            <w:r>
              <w:rPr>
                <w:sz w:val="24"/>
              </w:rPr>
              <w:t>招标文件条款</w:t>
            </w:r>
          </w:p>
        </w:tc>
        <w:tc>
          <w:tcPr>
            <w:tcW w:w="3554" w:type="dxa"/>
            <w:vMerge w:val="restart"/>
          </w:tcPr>
          <w:p>
            <w:pPr>
              <w:pStyle w:val="34"/>
              <w:rPr>
                <w:rFonts w:ascii="黑体"/>
                <w:b/>
                <w:sz w:val="24"/>
              </w:rPr>
            </w:pPr>
          </w:p>
          <w:p>
            <w:pPr>
              <w:pStyle w:val="34"/>
              <w:rPr>
                <w:rFonts w:ascii="黑体"/>
                <w:b/>
                <w:sz w:val="18"/>
              </w:rPr>
            </w:pPr>
          </w:p>
          <w:p>
            <w:pPr>
              <w:pStyle w:val="34"/>
              <w:spacing w:before="1"/>
              <w:ind w:left="1280" w:right="1264"/>
              <w:jc w:val="center"/>
              <w:rPr>
                <w:sz w:val="24"/>
              </w:rPr>
            </w:pPr>
            <w:r>
              <w:rPr>
                <w:sz w:val="24"/>
              </w:rPr>
              <w:t>偏离内容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vMerge w:val="continue"/>
            <w:tcBorders>
              <w:top w:val="nil"/>
            </w:tcBorders>
          </w:tcPr>
          <w:p>
            <w:pPr>
              <w:rPr>
                <w:sz w:val="2"/>
                <w:szCs w:val="2"/>
              </w:rPr>
            </w:pPr>
          </w:p>
        </w:tc>
        <w:tc>
          <w:tcPr>
            <w:tcW w:w="1080" w:type="dxa"/>
          </w:tcPr>
          <w:p>
            <w:pPr>
              <w:pStyle w:val="34"/>
              <w:spacing w:before="187"/>
              <w:ind w:left="184"/>
              <w:rPr>
                <w:sz w:val="24"/>
              </w:rPr>
            </w:pPr>
            <w:r>
              <w:rPr>
                <w:sz w:val="24"/>
              </w:rPr>
              <w:t>条款号</w:t>
            </w:r>
          </w:p>
        </w:tc>
        <w:tc>
          <w:tcPr>
            <w:tcW w:w="3060" w:type="dxa"/>
          </w:tcPr>
          <w:p>
            <w:pPr>
              <w:pStyle w:val="34"/>
              <w:spacing w:before="187"/>
              <w:ind w:left="1033" w:right="1017"/>
              <w:jc w:val="center"/>
              <w:rPr>
                <w:sz w:val="24"/>
              </w:rPr>
            </w:pPr>
            <w:r>
              <w:rPr>
                <w:sz w:val="24"/>
              </w:rPr>
              <w:t>条款要求</w:t>
            </w:r>
          </w:p>
        </w:tc>
        <w:tc>
          <w:tcPr>
            <w:tcW w:w="355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6"/>
              <w:ind w:right="336"/>
              <w:jc w:val="right"/>
              <w:rPr>
                <w:sz w:val="24"/>
              </w:rPr>
            </w:pPr>
            <w:r>
              <w:rPr>
                <w:sz w:val="24"/>
              </w:rPr>
              <w:t>1</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7"/>
              <w:ind w:right="336"/>
              <w:jc w:val="right"/>
              <w:rPr>
                <w:sz w:val="24"/>
              </w:rPr>
            </w:pPr>
            <w:r>
              <w:rPr>
                <w:sz w:val="24"/>
              </w:rPr>
              <w:t>2</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6"/>
              <w:ind w:right="336"/>
              <w:jc w:val="right"/>
              <w:rPr>
                <w:sz w:val="24"/>
              </w:rPr>
            </w:pPr>
            <w:r>
              <w:rPr>
                <w:sz w:val="24"/>
              </w:rPr>
              <w:t>3</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7"/>
              <w:ind w:right="336"/>
              <w:jc w:val="right"/>
              <w:rPr>
                <w:sz w:val="24"/>
              </w:rPr>
            </w:pPr>
            <w:r>
              <w:rPr>
                <w:sz w:val="24"/>
              </w:rPr>
              <w:t>4</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6"/>
              <w:ind w:right="336"/>
              <w:jc w:val="right"/>
              <w:rPr>
                <w:sz w:val="24"/>
              </w:rPr>
            </w:pPr>
            <w:r>
              <w:rPr>
                <w:sz w:val="24"/>
              </w:rPr>
              <w:t>5</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7"/>
              <w:ind w:right="336"/>
              <w:jc w:val="right"/>
              <w:rPr>
                <w:sz w:val="24"/>
              </w:rPr>
            </w:pPr>
            <w:r>
              <w:rPr>
                <w:sz w:val="24"/>
              </w:rPr>
              <w:t>6</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6"/>
              <w:ind w:right="336"/>
              <w:jc w:val="right"/>
              <w:rPr>
                <w:sz w:val="24"/>
              </w:rPr>
            </w:pPr>
            <w:r>
              <w:rPr>
                <w:sz w:val="24"/>
              </w:rPr>
              <w:t>7</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7"/>
              <w:ind w:right="336"/>
              <w:jc w:val="right"/>
              <w:rPr>
                <w:sz w:val="24"/>
              </w:rPr>
            </w:pPr>
            <w:r>
              <w:rPr>
                <w:sz w:val="24"/>
              </w:rPr>
              <w:t>8</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6"/>
              <w:ind w:right="336"/>
              <w:jc w:val="right"/>
              <w:rPr>
                <w:sz w:val="24"/>
              </w:rPr>
            </w:pPr>
            <w:r>
              <w:rPr>
                <w:sz w:val="24"/>
              </w:rPr>
              <w:t>9</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28" w:type="dxa"/>
          </w:tcPr>
          <w:p>
            <w:pPr>
              <w:pStyle w:val="34"/>
              <w:spacing w:before="187"/>
              <w:ind w:right="276"/>
              <w:jc w:val="right"/>
              <w:rPr>
                <w:sz w:val="24"/>
              </w:rPr>
            </w:pPr>
            <w:r>
              <w:rPr>
                <w:sz w:val="24"/>
              </w:rPr>
              <w:t>10</w:t>
            </w:r>
          </w:p>
        </w:tc>
        <w:tc>
          <w:tcPr>
            <w:tcW w:w="1080" w:type="dxa"/>
          </w:tcPr>
          <w:p>
            <w:pPr>
              <w:pStyle w:val="34"/>
              <w:rPr>
                <w:rFonts w:ascii="Times New Roman"/>
                <w:sz w:val="24"/>
              </w:rPr>
            </w:pPr>
          </w:p>
        </w:tc>
        <w:tc>
          <w:tcPr>
            <w:tcW w:w="3060" w:type="dxa"/>
          </w:tcPr>
          <w:p>
            <w:pPr>
              <w:pStyle w:val="34"/>
              <w:rPr>
                <w:rFonts w:ascii="Times New Roman"/>
                <w:sz w:val="24"/>
              </w:rPr>
            </w:pPr>
          </w:p>
        </w:tc>
        <w:tc>
          <w:tcPr>
            <w:tcW w:w="3554" w:type="dxa"/>
          </w:tcPr>
          <w:p>
            <w:pPr>
              <w:pStyle w:val="34"/>
              <w:rPr>
                <w:rFonts w:ascii="Times New Roman"/>
                <w:sz w:val="24"/>
              </w:rPr>
            </w:pPr>
          </w:p>
        </w:tc>
      </w:tr>
    </w:tbl>
    <w:p>
      <w:pPr>
        <w:pStyle w:val="10"/>
        <w:rPr>
          <w:rFonts w:ascii="黑体"/>
          <w:b/>
          <w:sz w:val="25"/>
        </w:rPr>
      </w:pPr>
    </w:p>
    <w:p>
      <w:pPr>
        <w:pStyle w:val="6"/>
        <w:tabs>
          <w:tab w:val="left" w:pos="4598"/>
        </w:tabs>
        <w:rPr>
          <w:rFonts w:ascii="仿宋" w:eastAsia="仿宋"/>
        </w:rPr>
      </w:pPr>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pStyle w:val="6"/>
        <w:tabs>
          <w:tab w:val="left" w:pos="4598"/>
        </w:tabs>
        <w:rPr>
          <w:rFonts w:ascii="仿宋" w:eastAsia="仿宋"/>
        </w:rPr>
      </w:pPr>
    </w:p>
    <w:p>
      <w:pPr>
        <w:pStyle w:val="6"/>
        <w:tabs>
          <w:tab w:val="left" w:pos="4598"/>
        </w:tabs>
        <w:rPr>
          <w:rFonts w:ascii="仿宋" w:eastAsia="仿宋"/>
        </w:rPr>
      </w:pPr>
    </w:p>
    <w:p>
      <w:pPr>
        <w:pStyle w:val="6"/>
        <w:tabs>
          <w:tab w:val="left" w:pos="4598"/>
        </w:tabs>
        <w:rPr>
          <w:rFonts w:ascii="黑体" w:eastAsia="黑体"/>
          <w:b/>
          <w:sz w:val="28"/>
        </w:rPr>
      </w:pPr>
      <w:r>
        <w:rPr>
          <w:b/>
          <w:spacing w:val="-4"/>
        </w:rPr>
        <w:t>注：</w:t>
      </w:r>
      <w:r>
        <w:rPr>
          <w:spacing w:val="-8"/>
        </w:rPr>
        <w:t>为避免歧义，无偏离也应要提报该表，并注明“无”字。如无该表则即使在其它部</w:t>
      </w:r>
      <w:r>
        <w:rPr>
          <w:spacing w:val="-10"/>
        </w:rPr>
        <w:t>分已反映，将也被视为“无偏离”</w:t>
      </w:r>
      <w:r>
        <w:rPr>
          <w:rFonts w:hint="eastAsia"/>
          <w:spacing w:val="-10"/>
        </w:rPr>
        <w:t>。</w:t>
      </w:r>
      <w:r>
        <w:br w:type="page"/>
      </w:r>
    </w:p>
    <w:p>
      <w:pPr>
        <w:spacing w:before="62" w:line="60" w:lineRule="auto"/>
        <w:ind w:left="641"/>
        <w:rPr>
          <w:rFonts w:ascii="黑体" w:eastAsia="黑体"/>
          <w:b/>
          <w:sz w:val="28"/>
        </w:rPr>
      </w:pPr>
    </w:p>
    <w:p>
      <w:pPr>
        <w:spacing w:before="62"/>
        <w:ind w:left="638"/>
        <w:rPr>
          <w:rFonts w:ascii="Calibri" w:eastAsia="Calibri"/>
          <w:b/>
          <w:sz w:val="28"/>
        </w:rPr>
      </w:pPr>
      <w:r>
        <w:rPr>
          <w:rFonts w:hint="eastAsia" w:ascii="黑体" w:eastAsia="黑体"/>
          <w:b/>
          <w:sz w:val="28"/>
        </w:rPr>
        <w:t>格式</w:t>
      </w:r>
      <w:r>
        <w:rPr>
          <w:rFonts w:hint="eastAsia" w:ascii="黑体" w:eastAsia="黑体"/>
          <w:b/>
          <w:sz w:val="28"/>
          <w:lang w:val="en-US"/>
        </w:rPr>
        <w:t xml:space="preserve"> </w:t>
      </w:r>
      <w:r>
        <w:rPr>
          <w:rFonts w:ascii="Calibri" w:eastAsia="Calibri"/>
          <w:b/>
          <w:sz w:val="28"/>
        </w:rPr>
        <w:t>6</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r>
        <w:t>日期：</w:t>
      </w:r>
      <w:r>
        <w:tab/>
      </w:r>
      <w:r>
        <w:t>年</w:t>
      </w:r>
      <w:r>
        <w:tab/>
      </w:r>
      <w:r>
        <w:t>月</w:t>
      </w:r>
      <w:r>
        <w:tab/>
      </w:r>
      <w:r>
        <w:t>日</w:t>
      </w:r>
    </w:p>
    <w:p>
      <w:pPr>
        <w:pStyle w:val="5"/>
        <w:spacing w:before="114"/>
        <w:ind w:left="46"/>
        <w:jc w:val="center"/>
        <w:rPr>
          <w:rFonts w:ascii="黑体" w:eastAsia="黑体"/>
        </w:rPr>
      </w:pPr>
      <w:bookmarkStart w:id="27" w:name="企业情况、从业经历、服务承诺一览表"/>
      <w:bookmarkEnd w:id="27"/>
      <w:r>
        <w:rPr>
          <w:rFonts w:hint="eastAsia" w:ascii="黑体" w:eastAsia="黑体"/>
        </w:rPr>
        <w:t>企业情况、从业经历、服务承诺一览表</w:t>
      </w:r>
    </w:p>
    <w:p>
      <w:pPr>
        <w:pStyle w:val="10"/>
        <w:spacing w:before="10"/>
        <w:rPr>
          <w:rFonts w:ascii="黑体"/>
          <w:b/>
          <w:sz w:val="10"/>
        </w:rPr>
      </w:pPr>
    </w:p>
    <w:tbl>
      <w:tblPr>
        <w:tblStyle w:val="23"/>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5"/>
        <w:gridCol w:w="566"/>
        <w:gridCol w:w="434"/>
        <w:gridCol w:w="1282"/>
        <w:gridCol w:w="695"/>
        <w:gridCol w:w="568"/>
        <w:gridCol w:w="1400"/>
        <w:gridCol w:w="1293"/>
        <w:gridCol w:w="709"/>
        <w:gridCol w:w="1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916" w:type="dxa"/>
            <w:gridSpan w:val="10"/>
          </w:tcPr>
          <w:p>
            <w:pPr>
              <w:pStyle w:val="34"/>
              <w:spacing w:before="18" w:line="301" w:lineRule="exact"/>
              <w:ind w:left="3501" w:right="3485"/>
              <w:jc w:val="center"/>
              <w:rPr>
                <w:sz w:val="24"/>
              </w:rPr>
            </w:pPr>
            <w:r>
              <w:rPr>
                <w:sz w:val="24"/>
              </w:rPr>
              <w:t>企业情况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415" w:type="dxa"/>
          </w:tcPr>
          <w:p>
            <w:pPr>
              <w:pStyle w:val="34"/>
              <w:spacing w:before="19" w:line="299" w:lineRule="exact"/>
              <w:ind w:left="230"/>
              <w:rPr>
                <w:sz w:val="24"/>
              </w:rPr>
            </w:pPr>
            <w:r>
              <w:rPr>
                <w:sz w:val="24"/>
              </w:rPr>
              <w:t>公司名称</w:t>
            </w:r>
          </w:p>
        </w:tc>
        <w:tc>
          <w:tcPr>
            <w:tcW w:w="2282" w:type="dxa"/>
            <w:gridSpan w:val="3"/>
          </w:tcPr>
          <w:p>
            <w:pPr>
              <w:pStyle w:val="34"/>
              <w:rPr>
                <w:rFonts w:ascii="Times New Roman"/>
              </w:rPr>
            </w:pPr>
          </w:p>
        </w:tc>
        <w:tc>
          <w:tcPr>
            <w:tcW w:w="1263" w:type="dxa"/>
            <w:gridSpan w:val="2"/>
          </w:tcPr>
          <w:p>
            <w:pPr>
              <w:pStyle w:val="34"/>
              <w:spacing w:before="19" w:line="299" w:lineRule="exact"/>
              <w:ind w:left="100"/>
              <w:rPr>
                <w:sz w:val="24"/>
              </w:rPr>
            </w:pPr>
            <w:r>
              <w:rPr>
                <w:sz w:val="24"/>
              </w:rPr>
              <w:t>成立时间</w:t>
            </w:r>
          </w:p>
        </w:tc>
        <w:tc>
          <w:tcPr>
            <w:tcW w:w="1400" w:type="dxa"/>
          </w:tcPr>
          <w:p>
            <w:pPr>
              <w:pStyle w:val="34"/>
              <w:rPr>
                <w:rFonts w:ascii="Times New Roman"/>
              </w:rPr>
            </w:pPr>
          </w:p>
        </w:tc>
        <w:tc>
          <w:tcPr>
            <w:tcW w:w="1293" w:type="dxa"/>
          </w:tcPr>
          <w:p>
            <w:pPr>
              <w:pStyle w:val="34"/>
              <w:spacing w:before="19" w:line="299" w:lineRule="exact"/>
              <w:ind w:left="113"/>
              <w:rPr>
                <w:sz w:val="24"/>
              </w:rPr>
            </w:pPr>
            <w:r>
              <w:rPr>
                <w:sz w:val="24"/>
              </w:rPr>
              <w:t>注册资本</w:t>
            </w:r>
          </w:p>
        </w:tc>
        <w:tc>
          <w:tcPr>
            <w:tcW w:w="2263" w:type="dxa"/>
            <w:gridSpan w:val="2"/>
          </w:tcPr>
          <w:p>
            <w:pPr>
              <w:pStyle w:val="34"/>
              <w:spacing w:before="19" w:line="299" w:lineRule="exact"/>
              <w:ind w:right="89"/>
              <w:jc w:val="right"/>
              <w:rPr>
                <w:sz w:val="24"/>
              </w:rPr>
            </w:pPr>
            <w:r>
              <w:rPr>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415" w:type="dxa"/>
            <w:gridSpan w:val="3"/>
          </w:tcPr>
          <w:p>
            <w:pPr>
              <w:pStyle w:val="34"/>
              <w:spacing w:before="19" w:line="300" w:lineRule="exact"/>
              <w:ind w:left="113"/>
              <w:rPr>
                <w:sz w:val="24"/>
              </w:rPr>
            </w:pPr>
            <w:r>
              <w:rPr>
                <w:sz w:val="24"/>
              </w:rPr>
              <w:t>公司在册员工人数</w:t>
            </w:r>
          </w:p>
        </w:tc>
        <w:tc>
          <w:tcPr>
            <w:tcW w:w="1977" w:type="dxa"/>
            <w:gridSpan w:val="2"/>
          </w:tcPr>
          <w:p>
            <w:pPr>
              <w:pStyle w:val="34"/>
              <w:spacing w:before="19" w:line="300" w:lineRule="exact"/>
              <w:ind w:right="88"/>
              <w:jc w:val="right"/>
              <w:rPr>
                <w:sz w:val="24"/>
              </w:rPr>
            </w:pPr>
            <w:r>
              <w:rPr>
                <w:sz w:val="24"/>
              </w:rPr>
              <w:t>人</w:t>
            </w:r>
          </w:p>
        </w:tc>
        <w:tc>
          <w:tcPr>
            <w:tcW w:w="3970" w:type="dxa"/>
            <w:gridSpan w:val="4"/>
          </w:tcPr>
          <w:p>
            <w:pPr>
              <w:pStyle w:val="34"/>
              <w:spacing w:before="19" w:line="300" w:lineRule="exact"/>
              <w:ind w:left="113"/>
              <w:rPr>
                <w:sz w:val="24"/>
              </w:rPr>
            </w:pPr>
            <w:r>
              <w:rPr>
                <w:sz w:val="24"/>
              </w:rPr>
              <w:t>专业从事产品研发、生产的员工人数</w:t>
            </w:r>
          </w:p>
        </w:tc>
        <w:tc>
          <w:tcPr>
            <w:tcW w:w="1554" w:type="dxa"/>
          </w:tcPr>
          <w:p>
            <w:pPr>
              <w:pStyle w:val="34"/>
              <w:spacing w:before="19" w:line="300" w:lineRule="exact"/>
              <w:ind w:right="89"/>
              <w:jc w:val="right"/>
              <w:rPr>
                <w:sz w:val="24"/>
              </w:rPr>
            </w:pPr>
            <w:r>
              <w:rPr>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97" w:type="dxa"/>
            <w:gridSpan w:val="4"/>
          </w:tcPr>
          <w:p>
            <w:pPr>
              <w:pStyle w:val="34"/>
              <w:spacing w:before="18" w:line="301" w:lineRule="exact"/>
              <w:ind w:left="113"/>
              <w:rPr>
                <w:sz w:val="24"/>
              </w:rPr>
            </w:pPr>
            <w:r>
              <w:rPr>
                <w:sz w:val="24"/>
              </w:rPr>
              <w:t>企业所通过的体系认证情况</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15" w:type="dxa"/>
            <w:gridSpan w:val="3"/>
          </w:tcPr>
          <w:p>
            <w:pPr>
              <w:pStyle w:val="34"/>
              <w:spacing w:before="3" w:line="307" w:lineRule="exact"/>
              <w:ind w:left="114" w:right="90"/>
              <w:jc w:val="center"/>
              <w:rPr>
                <w:sz w:val="24"/>
              </w:rPr>
            </w:pPr>
            <w:r>
              <w:rPr>
                <w:sz w:val="24"/>
              </w:rPr>
              <w:t>公司现有主要研发、</w:t>
            </w:r>
          </w:p>
          <w:p>
            <w:pPr>
              <w:pStyle w:val="34"/>
              <w:spacing w:line="294" w:lineRule="exact"/>
              <w:ind w:left="114" w:right="90"/>
              <w:jc w:val="center"/>
              <w:rPr>
                <w:sz w:val="24"/>
              </w:rPr>
            </w:pPr>
            <w:r>
              <w:rPr>
                <w:sz w:val="24"/>
              </w:rPr>
              <w:t>实验、生产设备</w:t>
            </w:r>
          </w:p>
        </w:tc>
        <w:tc>
          <w:tcPr>
            <w:tcW w:w="7501" w:type="dxa"/>
            <w:gridSpan w:val="7"/>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9916" w:type="dxa"/>
            <w:gridSpan w:val="10"/>
          </w:tcPr>
          <w:p>
            <w:pPr>
              <w:pStyle w:val="34"/>
              <w:spacing w:before="19" w:line="299" w:lineRule="exact"/>
              <w:ind w:left="3501" w:right="3485"/>
              <w:jc w:val="center"/>
              <w:rPr>
                <w:sz w:val="24"/>
              </w:rPr>
            </w:pPr>
            <w:r>
              <w:rPr>
                <w:sz w:val="24"/>
              </w:rPr>
              <w:t>从业经历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697" w:type="dxa"/>
            <w:gridSpan w:val="4"/>
          </w:tcPr>
          <w:p>
            <w:pPr>
              <w:pStyle w:val="34"/>
              <w:spacing w:before="32"/>
              <w:ind w:left="494"/>
              <w:rPr>
                <w:sz w:val="21"/>
              </w:rPr>
            </w:pPr>
            <w:r>
              <w:rPr>
                <w:sz w:val="21"/>
              </w:rPr>
              <w:t>正在或曾经从事过的项目名称</w:t>
            </w:r>
          </w:p>
        </w:tc>
        <w:tc>
          <w:tcPr>
            <w:tcW w:w="2663" w:type="dxa"/>
            <w:gridSpan w:val="3"/>
          </w:tcPr>
          <w:p>
            <w:pPr>
              <w:pStyle w:val="34"/>
              <w:spacing w:before="19" w:line="299" w:lineRule="exact"/>
              <w:ind w:left="621"/>
              <w:rPr>
                <w:sz w:val="24"/>
              </w:rPr>
            </w:pPr>
            <w:r>
              <w:rPr>
                <w:sz w:val="24"/>
              </w:rPr>
              <w:t>项目起止时间</w:t>
            </w:r>
          </w:p>
        </w:tc>
        <w:tc>
          <w:tcPr>
            <w:tcW w:w="3556" w:type="dxa"/>
            <w:gridSpan w:val="3"/>
          </w:tcPr>
          <w:p>
            <w:pPr>
              <w:pStyle w:val="34"/>
              <w:spacing w:before="19" w:line="299" w:lineRule="exact"/>
              <w:ind w:left="221"/>
              <w:rPr>
                <w:sz w:val="24"/>
              </w:rPr>
            </w:pPr>
            <w:r>
              <w:rPr>
                <w:sz w:val="24"/>
              </w:rPr>
              <w:t>与投标人签订合同的单位名称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97" w:type="dxa"/>
            <w:gridSpan w:val="4"/>
          </w:tcPr>
          <w:p>
            <w:pPr>
              <w:pStyle w:val="34"/>
              <w:rPr>
                <w:rFonts w:ascii="Times New Roman"/>
              </w:rPr>
            </w:pPr>
          </w:p>
        </w:tc>
        <w:tc>
          <w:tcPr>
            <w:tcW w:w="2663" w:type="dxa"/>
            <w:gridSpan w:val="3"/>
          </w:tcPr>
          <w:p>
            <w:pPr>
              <w:pStyle w:val="34"/>
              <w:rPr>
                <w:rFonts w:ascii="Times New Roman"/>
              </w:rPr>
            </w:pPr>
          </w:p>
        </w:tc>
        <w:tc>
          <w:tcPr>
            <w:tcW w:w="3556"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697" w:type="dxa"/>
            <w:gridSpan w:val="4"/>
          </w:tcPr>
          <w:p>
            <w:pPr>
              <w:pStyle w:val="34"/>
              <w:rPr>
                <w:rFonts w:ascii="Times New Roman"/>
              </w:rPr>
            </w:pPr>
          </w:p>
        </w:tc>
        <w:tc>
          <w:tcPr>
            <w:tcW w:w="2663" w:type="dxa"/>
            <w:gridSpan w:val="3"/>
          </w:tcPr>
          <w:p>
            <w:pPr>
              <w:pStyle w:val="34"/>
              <w:rPr>
                <w:rFonts w:ascii="Times New Roman"/>
              </w:rPr>
            </w:pPr>
          </w:p>
        </w:tc>
        <w:tc>
          <w:tcPr>
            <w:tcW w:w="3556"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97" w:type="dxa"/>
            <w:gridSpan w:val="4"/>
          </w:tcPr>
          <w:p>
            <w:pPr>
              <w:pStyle w:val="34"/>
              <w:rPr>
                <w:rFonts w:ascii="Times New Roman"/>
              </w:rPr>
            </w:pPr>
          </w:p>
        </w:tc>
        <w:tc>
          <w:tcPr>
            <w:tcW w:w="2663" w:type="dxa"/>
            <w:gridSpan w:val="3"/>
          </w:tcPr>
          <w:p>
            <w:pPr>
              <w:pStyle w:val="34"/>
              <w:rPr>
                <w:rFonts w:ascii="Times New Roman"/>
              </w:rPr>
            </w:pPr>
          </w:p>
        </w:tc>
        <w:tc>
          <w:tcPr>
            <w:tcW w:w="3556"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697" w:type="dxa"/>
            <w:gridSpan w:val="4"/>
          </w:tcPr>
          <w:p>
            <w:pPr>
              <w:pStyle w:val="34"/>
              <w:rPr>
                <w:rFonts w:ascii="Times New Roman"/>
              </w:rPr>
            </w:pPr>
          </w:p>
        </w:tc>
        <w:tc>
          <w:tcPr>
            <w:tcW w:w="2663" w:type="dxa"/>
            <w:gridSpan w:val="3"/>
          </w:tcPr>
          <w:p>
            <w:pPr>
              <w:pStyle w:val="34"/>
              <w:rPr>
                <w:rFonts w:ascii="Times New Roman"/>
              </w:rPr>
            </w:pPr>
          </w:p>
        </w:tc>
        <w:tc>
          <w:tcPr>
            <w:tcW w:w="3556"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9916" w:type="dxa"/>
            <w:gridSpan w:val="10"/>
          </w:tcPr>
          <w:p>
            <w:pPr>
              <w:pStyle w:val="34"/>
              <w:spacing w:before="18" w:line="300" w:lineRule="exact"/>
              <w:ind w:left="3501" w:right="3485"/>
              <w:jc w:val="center"/>
              <w:rPr>
                <w:sz w:val="24"/>
              </w:rPr>
            </w:pPr>
            <w:r>
              <w:rPr>
                <w:sz w:val="24"/>
              </w:rPr>
              <w:t>针对本招标项目的服务承诺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1" w:type="dxa"/>
            <w:gridSpan w:val="2"/>
            <w:vMerge w:val="restart"/>
          </w:tcPr>
          <w:p>
            <w:pPr>
              <w:pStyle w:val="34"/>
              <w:rPr>
                <w:rFonts w:ascii="黑体"/>
                <w:b/>
                <w:sz w:val="24"/>
              </w:rPr>
            </w:pPr>
          </w:p>
          <w:p>
            <w:pPr>
              <w:pStyle w:val="34"/>
              <w:rPr>
                <w:rFonts w:ascii="黑体"/>
                <w:b/>
                <w:sz w:val="24"/>
              </w:rPr>
            </w:pPr>
          </w:p>
          <w:p>
            <w:pPr>
              <w:pStyle w:val="34"/>
              <w:spacing w:before="2"/>
              <w:rPr>
                <w:rFonts w:ascii="黑体"/>
                <w:b/>
                <w:sz w:val="31"/>
              </w:rPr>
            </w:pPr>
          </w:p>
          <w:p>
            <w:pPr>
              <w:pStyle w:val="34"/>
              <w:spacing w:line="244" w:lineRule="auto"/>
              <w:ind w:left="154" w:right="134"/>
              <w:jc w:val="center"/>
              <w:rPr>
                <w:sz w:val="24"/>
              </w:rPr>
            </w:pPr>
            <w:r>
              <w:rPr>
                <w:sz w:val="24"/>
              </w:rPr>
              <w:t>可为该项目配备人员、相关设备情况</w:t>
            </w:r>
          </w:p>
        </w:tc>
        <w:tc>
          <w:tcPr>
            <w:tcW w:w="1716" w:type="dxa"/>
            <w:gridSpan w:val="2"/>
          </w:tcPr>
          <w:p>
            <w:pPr>
              <w:pStyle w:val="34"/>
              <w:spacing w:before="18" w:line="302" w:lineRule="exact"/>
              <w:ind w:left="112" w:right="-44"/>
              <w:rPr>
                <w:sz w:val="24"/>
              </w:rPr>
            </w:pPr>
            <w:r>
              <w:rPr>
                <w:spacing w:val="-12"/>
                <w:sz w:val="24"/>
              </w:rPr>
              <w:t>设计人员</w:t>
            </w:r>
            <w:r>
              <w:rPr>
                <w:sz w:val="24"/>
              </w:rPr>
              <w:t>（名</w:t>
            </w:r>
            <w:r>
              <w:rPr>
                <w:spacing w:val="-14"/>
                <w:sz w:val="24"/>
              </w:rPr>
              <w:t>）</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81" w:type="dxa"/>
            <w:gridSpan w:val="2"/>
            <w:vMerge w:val="continue"/>
            <w:tcBorders>
              <w:top w:val="nil"/>
            </w:tcBorders>
          </w:tcPr>
          <w:p>
            <w:pPr>
              <w:rPr>
                <w:sz w:val="2"/>
                <w:szCs w:val="2"/>
              </w:rPr>
            </w:pPr>
          </w:p>
        </w:tc>
        <w:tc>
          <w:tcPr>
            <w:tcW w:w="1716" w:type="dxa"/>
            <w:gridSpan w:val="2"/>
          </w:tcPr>
          <w:p>
            <w:pPr>
              <w:pStyle w:val="34"/>
              <w:spacing w:before="4" w:line="242" w:lineRule="auto"/>
              <w:ind w:left="148" w:right="130"/>
              <w:rPr>
                <w:sz w:val="24"/>
              </w:rPr>
            </w:pPr>
            <w:r>
              <w:rPr>
                <w:spacing w:val="-6"/>
                <w:sz w:val="24"/>
              </w:rPr>
              <w:t>研发、实验设</w:t>
            </w:r>
            <w:r>
              <w:rPr>
                <w:sz w:val="24"/>
              </w:rPr>
              <w:t>备（</w:t>
            </w:r>
            <w:r>
              <w:rPr>
                <w:spacing w:val="-8"/>
                <w:sz w:val="24"/>
              </w:rPr>
              <w:t>功能、型</w:t>
            </w:r>
          </w:p>
          <w:p>
            <w:pPr>
              <w:pStyle w:val="34"/>
              <w:spacing w:line="291" w:lineRule="exact"/>
              <w:ind w:left="268"/>
              <w:rPr>
                <w:sz w:val="24"/>
              </w:rPr>
            </w:pPr>
            <w:r>
              <w:rPr>
                <w:sz w:val="24"/>
              </w:rPr>
              <w:t>号、数量）</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81" w:type="dxa"/>
            <w:gridSpan w:val="2"/>
            <w:vMerge w:val="continue"/>
            <w:tcBorders>
              <w:top w:val="nil"/>
            </w:tcBorders>
          </w:tcPr>
          <w:p>
            <w:pPr>
              <w:rPr>
                <w:sz w:val="2"/>
                <w:szCs w:val="2"/>
              </w:rPr>
            </w:pPr>
          </w:p>
        </w:tc>
        <w:tc>
          <w:tcPr>
            <w:tcW w:w="1716" w:type="dxa"/>
            <w:gridSpan w:val="2"/>
          </w:tcPr>
          <w:p>
            <w:pPr>
              <w:pStyle w:val="34"/>
              <w:spacing w:before="3" w:line="242" w:lineRule="auto"/>
              <w:ind w:left="148" w:right="115"/>
              <w:jc w:val="center"/>
              <w:rPr>
                <w:sz w:val="24"/>
              </w:rPr>
            </w:pPr>
            <w:r>
              <w:rPr>
                <w:sz w:val="24"/>
              </w:rPr>
              <w:t>生产设备（功能、型号、数</w:t>
            </w:r>
          </w:p>
          <w:p>
            <w:pPr>
              <w:pStyle w:val="34"/>
              <w:spacing w:line="290" w:lineRule="exact"/>
              <w:ind w:left="145" w:right="115"/>
              <w:jc w:val="center"/>
              <w:rPr>
                <w:sz w:val="24"/>
              </w:rPr>
            </w:pPr>
            <w:r>
              <w:rPr>
                <w:sz w:val="24"/>
              </w:rPr>
              <w:t>量）</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1" w:type="dxa"/>
            <w:gridSpan w:val="2"/>
            <w:vMerge w:val="continue"/>
            <w:tcBorders>
              <w:top w:val="nil"/>
            </w:tcBorders>
          </w:tcPr>
          <w:p>
            <w:pPr>
              <w:rPr>
                <w:sz w:val="2"/>
                <w:szCs w:val="2"/>
              </w:rPr>
            </w:pPr>
          </w:p>
        </w:tc>
        <w:tc>
          <w:tcPr>
            <w:tcW w:w="1716" w:type="dxa"/>
            <w:gridSpan w:val="2"/>
          </w:tcPr>
          <w:p>
            <w:pPr>
              <w:pStyle w:val="34"/>
              <w:spacing w:before="18" w:line="301" w:lineRule="exact"/>
              <w:ind w:left="145" w:right="115"/>
              <w:jc w:val="center"/>
              <w:rPr>
                <w:sz w:val="24"/>
              </w:rPr>
            </w:pPr>
            <w:r>
              <w:rPr>
                <w:sz w:val="24"/>
              </w:rPr>
              <w:t>……</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1" w:type="dxa"/>
            <w:gridSpan w:val="2"/>
            <w:vMerge w:val="continue"/>
            <w:tcBorders>
              <w:top w:val="nil"/>
            </w:tcBorders>
          </w:tcPr>
          <w:p>
            <w:pPr>
              <w:rPr>
                <w:sz w:val="2"/>
                <w:szCs w:val="2"/>
              </w:rPr>
            </w:pPr>
          </w:p>
        </w:tc>
        <w:tc>
          <w:tcPr>
            <w:tcW w:w="1716" w:type="dxa"/>
            <w:gridSpan w:val="2"/>
          </w:tcPr>
          <w:p>
            <w:pPr>
              <w:pStyle w:val="34"/>
              <w:spacing w:before="19" w:line="301" w:lineRule="exact"/>
              <w:ind w:left="145" w:right="115"/>
              <w:jc w:val="center"/>
              <w:rPr>
                <w:sz w:val="24"/>
              </w:rPr>
            </w:pPr>
            <w:r>
              <w:rPr>
                <w:sz w:val="24"/>
              </w:rPr>
              <w:t>……</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1" w:type="dxa"/>
            <w:gridSpan w:val="2"/>
            <w:vMerge w:val="restart"/>
          </w:tcPr>
          <w:p>
            <w:pPr>
              <w:pStyle w:val="34"/>
              <w:spacing w:before="192"/>
              <w:ind w:left="151" w:right="134"/>
              <w:jc w:val="center"/>
              <w:rPr>
                <w:sz w:val="24"/>
              </w:rPr>
            </w:pPr>
            <w:r>
              <w:rPr>
                <w:sz w:val="24"/>
              </w:rPr>
              <w:t>其他</w:t>
            </w:r>
          </w:p>
        </w:tc>
        <w:tc>
          <w:tcPr>
            <w:tcW w:w="1716" w:type="dxa"/>
            <w:gridSpan w:val="2"/>
          </w:tcPr>
          <w:p>
            <w:pPr>
              <w:pStyle w:val="34"/>
              <w:spacing w:before="17" w:line="303" w:lineRule="exact"/>
              <w:ind w:left="145" w:right="115"/>
              <w:jc w:val="center"/>
              <w:rPr>
                <w:sz w:val="24"/>
              </w:rPr>
            </w:pPr>
            <w:r>
              <w:rPr>
                <w:sz w:val="24"/>
              </w:rPr>
              <w:t>……</w:t>
            </w:r>
          </w:p>
        </w:tc>
        <w:tc>
          <w:tcPr>
            <w:tcW w:w="6219" w:type="dxa"/>
            <w:gridSpan w:val="6"/>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81" w:type="dxa"/>
            <w:gridSpan w:val="2"/>
            <w:vMerge w:val="continue"/>
            <w:tcBorders>
              <w:top w:val="nil"/>
            </w:tcBorders>
          </w:tcPr>
          <w:p>
            <w:pPr>
              <w:rPr>
                <w:sz w:val="2"/>
                <w:szCs w:val="2"/>
              </w:rPr>
            </w:pPr>
          </w:p>
        </w:tc>
        <w:tc>
          <w:tcPr>
            <w:tcW w:w="1716" w:type="dxa"/>
            <w:gridSpan w:val="2"/>
          </w:tcPr>
          <w:p>
            <w:pPr>
              <w:pStyle w:val="34"/>
              <w:spacing w:before="20" w:line="300" w:lineRule="exact"/>
              <w:ind w:left="145" w:right="115"/>
              <w:jc w:val="center"/>
              <w:rPr>
                <w:sz w:val="24"/>
              </w:rPr>
            </w:pPr>
            <w:r>
              <w:rPr>
                <w:sz w:val="24"/>
              </w:rPr>
              <w:t>……</w:t>
            </w:r>
          </w:p>
        </w:tc>
        <w:tc>
          <w:tcPr>
            <w:tcW w:w="6219" w:type="dxa"/>
            <w:gridSpan w:val="6"/>
          </w:tcPr>
          <w:p>
            <w:pPr>
              <w:pStyle w:val="34"/>
              <w:rPr>
                <w:rFonts w:ascii="Times New Roman"/>
              </w:rPr>
            </w:pPr>
          </w:p>
        </w:tc>
      </w:tr>
    </w:tbl>
    <w:p>
      <w:pPr>
        <w:pStyle w:val="6"/>
        <w:tabs>
          <w:tab w:val="left" w:pos="4838"/>
        </w:tabs>
        <w:spacing w:before="80"/>
        <w:ind w:left="878"/>
        <w:rPr>
          <w:rFonts w:ascii="仿宋" w:eastAsia="仿宋"/>
        </w:rPr>
      </w:pPr>
      <w:bookmarkStart w:id="28" w:name="投标人名称（盖章）：法定代表人或授权代表签字："/>
      <w:bookmarkEnd w:id="28"/>
      <w:r>
        <w:rPr>
          <w:rFonts w:hint="eastAsia" w:ascii="仿宋" w:eastAsia="仿宋"/>
        </w:rPr>
        <w:t>投标人名称（盖章</w:t>
      </w:r>
      <w:r>
        <w:rPr>
          <w:rFonts w:hint="eastAsia" w:ascii="仿宋" w:eastAsia="仿宋"/>
          <w:spacing w:val="-120"/>
        </w:rPr>
        <w:t>）</w:t>
      </w:r>
      <w:r>
        <w:rPr>
          <w:rFonts w:hint="eastAsia" w:ascii="仿宋" w:eastAsia="仿宋"/>
        </w:rPr>
        <w:t>：</w:t>
      </w:r>
      <w:r>
        <w:rPr>
          <w:rFonts w:hint="eastAsia" w:ascii="仿宋" w:eastAsia="仿宋"/>
        </w:rPr>
        <w:tab/>
      </w:r>
      <w:r>
        <w:rPr>
          <w:rFonts w:hint="eastAsia" w:ascii="仿宋" w:eastAsia="仿宋"/>
        </w:rPr>
        <w:t>法定代表人或授权代表签字：</w:t>
      </w:r>
    </w:p>
    <w:p>
      <w:pPr>
        <w:spacing w:before="166" w:line="369" w:lineRule="auto"/>
        <w:ind w:left="1346" w:right="696" w:hanging="466"/>
        <w:rPr>
          <w:sz w:val="24"/>
        </w:rPr>
      </w:pPr>
      <w:r>
        <w:rPr>
          <w:b/>
          <w:spacing w:val="-5"/>
          <w:sz w:val="24"/>
        </w:rPr>
        <w:t>注：</w:t>
      </w:r>
      <w:r>
        <w:rPr>
          <w:spacing w:val="-6"/>
          <w:sz w:val="24"/>
        </w:rPr>
        <w:t>1</w:t>
      </w:r>
      <w:r>
        <w:rPr>
          <w:spacing w:val="-5"/>
          <w:sz w:val="24"/>
        </w:rPr>
        <w:t>.投标人为满足本招标项目之需，需实际配置的包含但不限于上述设备、人员及其他条目；</w:t>
      </w:r>
    </w:p>
    <w:p>
      <w:pPr>
        <w:spacing w:line="369" w:lineRule="auto"/>
        <w:ind w:left="1300" w:right="585"/>
        <w:rPr>
          <w:sz w:val="24"/>
        </w:rPr>
      </w:pPr>
      <w:r>
        <w:rPr>
          <w:sz w:val="24"/>
        </w:rPr>
        <w:t>2.投标人可在上表内容基础上，酌情自行增加相关条目，以便更好的满足项目开展之需要。</w:t>
      </w:r>
    </w:p>
    <w:p>
      <w:pPr>
        <w:rPr>
          <w:sz w:val="24"/>
        </w:rPr>
      </w:pPr>
      <w:r>
        <w:rPr>
          <w:sz w:val="24"/>
        </w:rPr>
        <w:br w:type="page"/>
      </w:r>
    </w:p>
    <w:p>
      <w:pPr>
        <w:spacing w:before="62" w:line="60" w:lineRule="auto"/>
        <w:ind w:left="641"/>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7</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r>
        <w:t>日期：</w:t>
      </w:r>
      <w:r>
        <w:tab/>
      </w:r>
      <w:r>
        <w:t>年</w:t>
      </w:r>
      <w:r>
        <w:tab/>
      </w:r>
      <w:r>
        <w:t>月</w:t>
      </w:r>
      <w:r>
        <w:tab/>
      </w:r>
      <w:r>
        <w:t>日</w:t>
      </w:r>
    </w:p>
    <w:p>
      <w:pPr>
        <w:spacing w:before="62"/>
        <w:ind w:left="43"/>
        <w:jc w:val="center"/>
        <w:rPr>
          <w:rFonts w:ascii="黑体" w:eastAsia="黑体"/>
          <w:b/>
          <w:sz w:val="28"/>
        </w:rPr>
      </w:pPr>
      <w:r>
        <w:rPr>
          <w:rFonts w:hint="eastAsia" w:ascii="黑体" w:eastAsia="黑体"/>
          <w:b/>
          <w:sz w:val="28"/>
        </w:rPr>
        <w:t>法人授权委托书</w:t>
      </w:r>
    </w:p>
    <w:p>
      <w:pPr>
        <w:pStyle w:val="10"/>
        <w:tabs>
          <w:tab w:val="left" w:pos="5258"/>
        </w:tabs>
        <w:spacing w:before="160"/>
        <w:ind w:left="638"/>
        <w:jc w:val="both"/>
      </w:pPr>
      <w:r>
        <w:t>致</w:t>
      </w:r>
      <w:r>
        <w:rPr>
          <w:u w:val="single"/>
        </w:rPr>
        <w:t>（招标人名称）</w:t>
      </w:r>
      <w:r>
        <w:rPr>
          <w:u w:val="single"/>
        </w:rPr>
        <w:tab/>
      </w:r>
      <w:r>
        <w:t>：</w:t>
      </w:r>
    </w:p>
    <w:p>
      <w:pPr>
        <w:pStyle w:val="10"/>
        <w:tabs>
          <w:tab w:val="left" w:pos="5845"/>
          <w:tab w:val="left" w:pos="8862"/>
        </w:tabs>
        <w:spacing w:before="122" w:line="422" w:lineRule="auto"/>
        <w:ind w:left="638" w:right="584" w:firstLine="420"/>
        <w:jc w:val="both"/>
      </w:pPr>
      <w:r>
        <w:t>本授权委托书声明：我</w:t>
      </w:r>
      <w:r>
        <w:rPr>
          <w:u w:val="single"/>
        </w:rPr>
        <w:t>（法人姓名）</w:t>
      </w:r>
      <w:r>
        <w:t>系</w:t>
      </w:r>
      <w:r>
        <w:rPr>
          <w:u w:val="single"/>
        </w:rPr>
        <w:t>（投标人名称）</w:t>
      </w:r>
      <w:r>
        <w:rPr>
          <w:u w:val="single"/>
        </w:rPr>
        <w:tab/>
      </w:r>
      <w:r>
        <w:rPr>
          <w:spacing w:val="9"/>
        </w:rPr>
        <w:t>的</w:t>
      </w:r>
      <w:r>
        <w:rPr>
          <w:spacing w:val="7"/>
        </w:rPr>
        <w:t>法</w:t>
      </w:r>
      <w:r>
        <w:rPr>
          <w:spacing w:val="9"/>
        </w:rPr>
        <w:t>定</w:t>
      </w:r>
      <w:r>
        <w:rPr>
          <w:spacing w:val="-17"/>
        </w:rPr>
        <w:t>代</w:t>
      </w:r>
      <w:r>
        <w:t>表人</w:t>
      </w:r>
      <w:r>
        <w:rPr>
          <w:spacing w:val="-13"/>
        </w:rPr>
        <w:t>，</w:t>
      </w:r>
      <w:r>
        <w:t>现授权委</w:t>
      </w:r>
      <w:r>
        <w:rPr>
          <w:spacing w:val="-13"/>
        </w:rPr>
        <w:t>托</w:t>
      </w:r>
      <w:r>
        <w:rPr>
          <w:u w:val="single"/>
        </w:rPr>
        <w:t>（投标人名称）</w:t>
      </w:r>
      <w:r>
        <w:rPr>
          <w:u w:val="single"/>
        </w:rPr>
        <w:tab/>
      </w:r>
      <w:r>
        <w:rPr>
          <w:spacing w:val="6"/>
        </w:rPr>
        <w:t>的</w:t>
      </w:r>
      <w:r>
        <w:rPr>
          <w:spacing w:val="7"/>
          <w:u w:val="single"/>
        </w:rPr>
        <w:t>（授权委托代</w:t>
      </w:r>
      <w:r>
        <w:rPr>
          <w:spacing w:val="9"/>
          <w:u w:val="single"/>
        </w:rPr>
        <w:t>理</w:t>
      </w:r>
      <w:r>
        <w:rPr>
          <w:spacing w:val="7"/>
          <w:u w:val="single"/>
        </w:rPr>
        <w:t>人姓名</w:t>
      </w:r>
      <w:r>
        <w:rPr>
          <w:u w:val="single"/>
        </w:rPr>
        <w:t>）</w:t>
      </w:r>
      <w:r>
        <w:rPr>
          <w:spacing w:val="7"/>
        </w:rPr>
        <w:t>为</w:t>
      </w:r>
      <w:r>
        <w:t>我公司参加贵方组织的</w:t>
      </w:r>
      <w:r>
        <w:rPr>
          <w:rFonts w:ascii="Calibri" w:eastAsia="Calibri"/>
          <w:u w:val="single"/>
        </w:rPr>
        <w:t>XX</w:t>
      </w:r>
      <w:r>
        <w:rPr>
          <w:u w:val="single"/>
        </w:rPr>
        <w:t>项目</w:t>
      </w:r>
      <w:r>
        <w:t>的法定代表人授权委托代理人</w:t>
      </w:r>
      <w:r>
        <w:rPr>
          <w:spacing w:val="-17"/>
        </w:rPr>
        <w:t>，</w:t>
      </w:r>
      <w:r>
        <w:t>全权代表本公司处理投标过程的一切事宜，包括：投标、参与开标、谈判、签约等。投标人授权代表在投标过程中所签署的一切文件和处理与之有关的一切事务，我公司均予认可并对此承担全部责任。</w:t>
      </w:r>
    </w:p>
    <w:p>
      <w:pPr>
        <w:pStyle w:val="10"/>
        <w:tabs>
          <w:tab w:val="left" w:pos="2738"/>
          <w:tab w:val="left" w:pos="4888"/>
        </w:tabs>
        <w:spacing w:before="1"/>
        <w:ind w:left="1058"/>
      </w:pPr>
      <w:r>
        <w:t>委托期限：</w:t>
      </w:r>
      <w:r>
        <w:rPr>
          <w:u w:val="single"/>
        </w:rPr>
        <w:t>20XX</w:t>
      </w:r>
      <w:r>
        <w:rPr>
          <w:u w:val="single"/>
        </w:rPr>
        <w:tab/>
      </w:r>
      <w:r>
        <w:rPr>
          <w:u w:val="single"/>
        </w:rPr>
        <w:t>年X月X日至20XX</w:t>
      </w:r>
      <w:r>
        <w:rPr>
          <w:u w:val="single"/>
        </w:rPr>
        <w:tab/>
      </w:r>
      <w:r>
        <w:rPr>
          <w:u w:val="single"/>
        </w:rPr>
        <w:t>年X月X日</w:t>
      </w:r>
    </w:p>
    <w:p>
      <w:pPr>
        <w:pStyle w:val="10"/>
        <w:spacing w:before="12"/>
        <w:rPr>
          <w:sz w:val="9"/>
        </w:rPr>
      </w:pPr>
    </w:p>
    <w:p>
      <w:pPr>
        <w:pStyle w:val="10"/>
        <w:spacing w:before="70"/>
        <w:ind w:left="1058"/>
      </w:pPr>
      <w:r>
        <w:t>代理人无转委托权，特此委托。</w:t>
      </w:r>
    </w:p>
    <w:p>
      <w:pPr>
        <w:pStyle w:val="10"/>
        <w:spacing w:before="11"/>
        <w:rPr>
          <w:sz w:val="15"/>
        </w:rPr>
      </w:pPr>
    </w:p>
    <w:p>
      <w:pPr>
        <w:pStyle w:val="10"/>
        <w:tabs>
          <w:tab w:val="left" w:pos="3154"/>
          <w:tab w:val="left" w:pos="3367"/>
          <w:tab w:val="left" w:pos="4834"/>
          <w:tab w:val="left" w:pos="5152"/>
          <w:tab w:val="left" w:pos="6616"/>
        </w:tabs>
        <w:ind w:left="1058"/>
        <w:rPr>
          <w:rFonts w:ascii="Times New Roman" w:eastAsia="Times New Roman"/>
        </w:rPr>
      </w:pPr>
      <w:r>
        <w:t>代理人姓名：</w:t>
      </w:r>
      <w:r>
        <w:rPr>
          <w:u w:val="single"/>
        </w:rPr>
        <w:tab/>
      </w:r>
      <w:r>
        <w:tab/>
      </w:r>
      <w:r>
        <w:t>性别：</w:t>
      </w:r>
      <w:r>
        <w:rPr>
          <w:u w:val="single"/>
        </w:rPr>
        <w:tab/>
      </w:r>
      <w:r>
        <w:tab/>
      </w:r>
      <w:r>
        <w:rPr>
          <w:w w:val="90"/>
        </w:rPr>
        <w:t>年龄：</w:t>
      </w:r>
      <w:r>
        <w:rPr>
          <w:rFonts w:ascii="Times New Roman" w:eastAsia="Times New Roman"/>
          <w:u w:val="single"/>
        </w:rPr>
        <w:tab/>
      </w:r>
    </w:p>
    <w:p>
      <w:pPr>
        <w:pStyle w:val="10"/>
        <w:spacing w:before="1"/>
        <w:rPr>
          <w:rFonts w:ascii="Times New Roman"/>
          <w:sz w:val="11"/>
        </w:rPr>
      </w:pPr>
    </w:p>
    <w:p>
      <w:pPr>
        <w:pStyle w:val="10"/>
        <w:tabs>
          <w:tab w:val="left" w:pos="4468"/>
          <w:tab w:val="left" w:pos="6196"/>
        </w:tabs>
        <w:spacing w:before="76"/>
        <w:ind w:left="1058"/>
        <w:rPr>
          <w:rFonts w:ascii="Times New Roman" w:eastAsia="Times New Roman"/>
        </w:rPr>
      </w:pPr>
      <w:r>
        <w:t>身份证号码：</w:t>
      </w:r>
      <w:r>
        <w:rPr>
          <w:u w:val="single"/>
        </w:rPr>
        <w:tab/>
      </w:r>
      <w:r>
        <w:rPr>
          <w:w w:val="90"/>
        </w:rPr>
        <w:t>职务：</w:t>
      </w:r>
      <w:r>
        <w:rPr>
          <w:rFonts w:ascii="Times New Roman" w:eastAsia="Times New Roman"/>
          <w:u w:val="single"/>
        </w:rPr>
        <w:tab/>
      </w:r>
    </w:p>
    <w:p>
      <w:pPr>
        <w:pStyle w:val="10"/>
        <w:spacing w:before="5"/>
        <w:rPr>
          <w:rFonts w:ascii="Times New Roman"/>
          <w:sz w:val="11"/>
        </w:rPr>
      </w:pPr>
    </w:p>
    <w:p>
      <w:pPr>
        <w:pStyle w:val="10"/>
        <w:spacing w:before="70" w:line="422" w:lineRule="auto"/>
        <w:ind w:left="1058" w:right="6520"/>
      </w:pPr>
      <w:r>
        <w:t>投标人名称：（盖单位公章）法定代表人：（签字）</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0"/>
        <w:rPr>
          <w:sz w:val="16"/>
        </w:rPr>
      </w:pPr>
    </w:p>
    <w:p>
      <w:pPr>
        <w:pStyle w:val="7"/>
        <w:ind w:left="638" w:firstLine="0"/>
      </w:pPr>
      <w:bookmarkStart w:id="29" w:name="附被授权人有效的身份证正反两面复印件"/>
      <w:bookmarkEnd w:id="29"/>
      <w:r>
        <w:t>附被授权人有效的身份证正反两面复印件</w:t>
      </w:r>
      <w:r>
        <w:rPr>
          <w:rFonts w:hint="eastAsia"/>
        </w:rPr>
        <w:t>并加盖公章</w:t>
      </w:r>
    </w:p>
    <w:p>
      <w:pPr>
        <w:pStyle w:val="10"/>
        <w:rPr>
          <w:rFonts w:ascii="Calibri"/>
          <w:b/>
          <w:sz w:val="20"/>
        </w:rPr>
      </w:pPr>
    </w:p>
    <w:p>
      <w:pPr>
        <w:rPr>
          <w:rFonts w:ascii="Calibri"/>
          <w:b/>
          <w:sz w:val="18"/>
        </w:rPr>
      </w:pPr>
      <w:r>
        <w:rPr>
          <w:rFonts w:ascii="Calibri"/>
          <w:b/>
          <w:sz w:val="18"/>
        </w:rPr>
        <w:br w:type="page"/>
      </w:r>
    </w:p>
    <w:p>
      <w:pPr>
        <w:spacing w:before="62" w:line="60" w:lineRule="auto"/>
        <w:ind w:left="641"/>
        <w:rPr>
          <w:rFonts w:ascii="黑体" w:eastAsia="黑体"/>
          <w:b/>
          <w:sz w:val="28"/>
        </w:rPr>
      </w:pPr>
    </w:p>
    <w:p>
      <w:pPr>
        <w:spacing w:before="62"/>
        <w:ind w:left="638"/>
        <w:rPr>
          <w:rFonts w:ascii="Calibri" w:eastAsia="黑体"/>
          <w:b/>
          <w:sz w:val="28"/>
        </w:rPr>
      </w:pPr>
      <w:r>
        <w:rPr>
          <w:rFonts w:hint="eastAsia" w:ascii="黑体" w:eastAsia="黑体"/>
          <w:b/>
          <w:sz w:val="28"/>
        </w:rPr>
        <w:t>格式</w:t>
      </w:r>
      <w:r>
        <w:rPr>
          <w:rFonts w:hint="eastAsia" w:ascii="黑体" w:eastAsia="黑体"/>
          <w:b/>
          <w:sz w:val="28"/>
          <w:lang w:val="en-US"/>
        </w:rPr>
        <w:t xml:space="preserve"> </w:t>
      </w:r>
      <w:r>
        <w:rPr>
          <w:rFonts w:hint="eastAsia" w:ascii="Calibri"/>
          <w:b/>
          <w:sz w:val="28"/>
          <w:lang w:val="en-US"/>
        </w:rPr>
        <w:t>8</w:t>
      </w:r>
    </w:p>
    <w:p>
      <w:pPr>
        <w:pStyle w:val="10"/>
        <w:tabs>
          <w:tab w:val="left" w:pos="1463"/>
          <w:tab w:val="left" w:pos="1989"/>
          <w:tab w:val="left" w:pos="2515"/>
          <w:tab w:val="left" w:pos="3052"/>
        </w:tabs>
        <w:spacing w:before="160" w:line="350" w:lineRule="auto"/>
        <w:ind w:left="624" w:right="6365" w:firstLine="14"/>
      </w:pPr>
      <w:r>
        <w:t>项目名称：</w:t>
      </w:r>
      <w:r>
        <w:rPr>
          <w:u w:val="single"/>
        </w:rPr>
        <w:tab/>
      </w:r>
      <w:r>
        <w:rPr>
          <w:u w:val="single"/>
        </w:rPr>
        <w:tab/>
      </w:r>
      <w:r>
        <w:rPr>
          <w:u w:val="single"/>
        </w:rPr>
        <w:tab/>
      </w:r>
      <w:r>
        <w:t>(XX项目</w:t>
      </w:r>
      <w:r>
        <w:rPr>
          <w:spacing w:val="-15"/>
        </w:rPr>
        <w:t>)</w:t>
      </w:r>
      <w:r>
        <w:t>日期：</w:t>
      </w:r>
      <w:r>
        <w:tab/>
      </w:r>
      <w:r>
        <w:t>年</w:t>
      </w:r>
      <w:r>
        <w:tab/>
      </w:r>
      <w:r>
        <w:t>月</w:t>
      </w:r>
      <w:r>
        <w:tab/>
      </w:r>
      <w:r>
        <w:t>日</w:t>
      </w:r>
    </w:p>
    <w:p>
      <w:pPr>
        <w:spacing w:before="62"/>
        <w:ind w:left="41"/>
        <w:jc w:val="center"/>
        <w:rPr>
          <w:rFonts w:ascii="黑体" w:eastAsia="黑体"/>
          <w:b/>
          <w:sz w:val="28"/>
        </w:rPr>
      </w:pPr>
      <w:r>
        <w:rPr>
          <w:rFonts w:hint="eastAsia" w:ascii="黑体" w:eastAsia="黑体"/>
          <w:b/>
          <w:sz w:val="28"/>
        </w:rPr>
        <w:t>投标保证金退付表</w:t>
      </w:r>
    </w:p>
    <w:p>
      <w:pPr>
        <w:pStyle w:val="10"/>
        <w:spacing w:before="9"/>
        <w:rPr>
          <w:rFonts w:ascii="黑体"/>
          <w:b/>
          <w:sz w:val="10"/>
        </w:rPr>
      </w:pPr>
    </w:p>
    <w:tbl>
      <w:tblPr>
        <w:tblStyle w:val="23"/>
        <w:tblW w:w="0" w:type="auto"/>
        <w:tblInd w:w="10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7" w:type="dxa"/>
          </w:tcPr>
          <w:p>
            <w:pPr>
              <w:pStyle w:val="34"/>
              <w:spacing w:before="150"/>
              <w:ind w:left="112"/>
              <w:rPr>
                <w:sz w:val="21"/>
              </w:rPr>
            </w:pPr>
            <w:r>
              <w:rPr>
                <w:sz w:val="21"/>
              </w:rPr>
              <w:t>投标人单位名称：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7" w:type="dxa"/>
          </w:tcPr>
          <w:p>
            <w:pPr>
              <w:pStyle w:val="34"/>
              <w:spacing w:before="149"/>
              <w:ind w:left="112"/>
              <w:rPr>
                <w:sz w:val="21"/>
              </w:rPr>
            </w:pPr>
            <w:r>
              <w:rPr>
                <w:sz w:val="21"/>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287" w:type="dxa"/>
          </w:tcPr>
          <w:p>
            <w:pPr>
              <w:pStyle w:val="34"/>
              <w:spacing w:before="148"/>
              <w:ind w:left="112"/>
              <w:rPr>
                <w:sz w:val="21"/>
              </w:rPr>
            </w:pPr>
            <w:r>
              <w:rPr>
                <w:sz w:val="21"/>
              </w:rPr>
              <w:t>户名：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287" w:type="dxa"/>
          </w:tcPr>
          <w:p>
            <w:pPr>
              <w:pStyle w:val="34"/>
              <w:spacing w:before="149"/>
              <w:ind w:left="112"/>
              <w:rPr>
                <w:sz w:val="21"/>
              </w:rPr>
            </w:pPr>
            <w:r>
              <w:rPr>
                <w:sz w:val="21"/>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287" w:type="dxa"/>
          </w:tcPr>
          <w:p>
            <w:pPr>
              <w:pStyle w:val="34"/>
              <w:spacing w:before="148"/>
              <w:ind w:left="112"/>
              <w:rPr>
                <w:sz w:val="21"/>
              </w:rPr>
            </w:pPr>
            <w:r>
              <w:rPr>
                <w:sz w:val="21"/>
              </w:rPr>
              <w:t>纳税人识别号：</w:t>
            </w:r>
          </w:p>
        </w:tc>
      </w:tr>
    </w:tbl>
    <w:p>
      <w:pPr>
        <w:pStyle w:val="10"/>
        <w:rPr>
          <w:rFonts w:ascii="黑体"/>
          <w:b/>
          <w:sz w:val="28"/>
        </w:rPr>
      </w:pPr>
    </w:p>
    <w:p>
      <w:pPr>
        <w:tabs>
          <w:tab w:val="left" w:pos="4838"/>
        </w:tabs>
        <w:spacing w:before="196"/>
        <w:ind w:left="878"/>
        <w:rPr>
          <w:rFonts w:ascii="仿宋" w:eastAsia="仿宋"/>
          <w:sz w:val="24"/>
        </w:rPr>
      </w:pPr>
      <w:r>
        <w:rPr>
          <w:rFonts w:hint="eastAsia" w:ascii="仿宋" w:eastAsia="仿宋"/>
          <w:sz w:val="24"/>
        </w:rPr>
        <w:t>投标人名称（盖章</w:t>
      </w:r>
      <w:r>
        <w:rPr>
          <w:rFonts w:hint="eastAsia" w:ascii="仿宋" w:eastAsia="仿宋"/>
          <w:spacing w:val="-120"/>
          <w:sz w:val="24"/>
        </w:rPr>
        <w:t>）</w:t>
      </w:r>
      <w:r>
        <w:rPr>
          <w:rFonts w:hint="eastAsia" w:ascii="仿宋" w:eastAsia="仿宋"/>
          <w:sz w:val="24"/>
        </w:rPr>
        <w:t>：</w:t>
      </w:r>
      <w:r>
        <w:rPr>
          <w:rFonts w:hint="eastAsia" w:ascii="仿宋" w:eastAsia="仿宋"/>
          <w:sz w:val="24"/>
        </w:rPr>
        <w:tab/>
      </w:r>
      <w:r>
        <w:rPr>
          <w:rFonts w:hint="eastAsia" w:ascii="仿宋" w:eastAsia="仿宋"/>
          <w:sz w:val="24"/>
        </w:rPr>
        <w:t>法定代表人或授权代表签字：</w:t>
      </w: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rPr>
          <w:rFonts w:ascii="仿宋"/>
          <w:sz w:val="24"/>
        </w:rPr>
      </w:pPr>
    </w:p>
    <w:p>
      <w:pPr>
        <w:pStyle w:val="10"/>
        <w:tabs>
          <w:tab w:val="left" w:pos="1463"/>
          <w:tab w:val="left" w:pos="1989"/>
          <w:tab w:val="left" w:pos="2515"/>
          <w:tab w:val="left" w:pos="3052"/>
        </w:tabs>
        <w:spacing w:before="160" w:line="350" w:lineRule="auto"/>
        <w:ind w:left="624" w:right="6365" w:firstLine="14"/>
      </w:pPr>
    </w:p>
    <w:p>
      <w:pPr>
        <w:pStyle w:val="10"/>
        <w:tabs>
          <w:tab w:val="left" w:pos="1463"/>
          <w:tab w:val="left" w:pos="1989"/>
          <w:tab w:val="left" w:pos="2515"/>
          <w:tab w:val="left" w:pos="3052"/>
        </w:tabs>
        <w:spacing w:before="160" w:line="350" w:lineRule="auto"/>
        <w:ind w:left="624" w:right="6365" w:firstLine="14"/>
      </w:pPr>
    </w:p>
    <w:p>
      <w:r>
        <w:br w:type="page"/>
      </w:r>
    </w:p>
    <w:p>
      <w:pPr>
        <w:pStyle w:val="10"/>
        <w:tabs>
          <w:tab w:val="left" w:pos="1463"/>
          <w:tab w:val="left" w:pos="1989"/>
          <w:tab w:val="left" w:pos="2515"/>
          <w:tab w:val="left" w:pos="3052"/>
        </w:tabs>
        <w:spacing w:before="160" w:line="350" w:lineRule="auto"/>
        <w:ind w:left="624" w:right="6365" w:firstLine="14"/>
      </w:pPr>
    </w:p>
    <w:p>
      <w:pPr>
        <w:spacing w:before="1"/>
        <w:ind w:left="638"/>
        <w:rPr>
          <w:rFonts w:ascii="Calibri" w:eastAsiaTheme="minorEastAsia"/>
          <w:b/>
          <w:sz w:val="28"/>
        </w:rPr>
      </w:pPr>
      <w:r>
        <w:rPr>
          <w:rFonts w:hint="eastAsia" w:ascii="黑体" w:eastAsia="黑体"/>
          <w:b/>
          <w:sz w:val="28"/>
        </w:rPr>
        <w:t>格式</w:t>
      </w:r>
      <w:r>
        <w:rPr>
          <w:rFonts w:ascii="Calibri" w:eastAsia="Calibri"/>
          <w:b/>
          <w:sz w:val="28"/>
        </w:rPr>
        <w:t>9</w:t>
      </w:r>
    </w:p>
    <w:p>
      <w:pPr>
        <w:pStyle w:val="10"/>
        <w:tabs>
          <w:tab w:val="left" w:pos="1463"/>
          <w:tab w:val="left" w:pos="1989"/>
          <w:tab w:val="left" w:pos="2515"/>
          <w:tab w:val="left" w:pos="3052"/>
        </w:tabs>
        <w:spacing w:line="352" w:lineRule="auto"/>
        <w:ind w:left="624" w:right="6365" w:firstLine="14"/>
      </w:pPr>
    </w:p>
    <w:p>
      <w:pPr>
        <w:pStyle w:val="10"/>
        <w:tabs>
          <w:tab w:val="left" w:pos="1463"/>
          <w:tab w:val="left" w:pos="1989"/>
          <w:tab w:val="left" w:pos="2515"/>
          <w:tab w:val="left" w:pos="3052"/>
        </w:tabs>
        <w:spacing w:line="352" w:lineRule="auto"/>
        <w:ind w:left="624" w:right="6365" w:firstLine="14"/>
      </w:pPr>
      <w:r>
        <w:t>项目名称：</w:t>
      </w:r>
      <w:r>
        <w:rPr>
          <w:u w:val="single"/>
        </w:rPr>
        <w:tab/>
      </w:r>
      <w:r>
        <w:rPr>
          <w:u w:val="single"/>
        </w:rPr>
        <w:tab/>
      </w:r>
      <w:r>
        <w:rPr>
          <w:u w:val="single"/>
        </w:rPr>
        <w:tab/>
      </w:r>
      <w:r>
        <w:t>(XX项目</w:t>
      </w:r>
      <w:r>
        <w:rPr>
          <w:spacing w:val="-15"/>
        </w:rPr>
        <w:t>)</w:t>
      </w:r>
      <w:r>
        <w:t>日期：</w:t>
      </w:r>
      <w:r>
        <w:tab/>
      </w:r>
      <w:r>
        <w:t>年</w:t>
      </w:r>
      <w:r>
        <w:tab/>
      </w:r>
      <w:r>
        <w:t>月</w:t>
      </w:r>
      <w:r>
        <w:tab/>
      </w:r>
      <w:r>
        <w:t>日</w:t>
      </w:r>
    </w:p>
    <w:p>
      <w:pPr>
        <w:spacing w:line="352" w:lineRule="auto"/>
        <w:sectPr>
          <w:headerReference r:id="rId7" w:type="default"/>
          <w:footerReference r:id="rId8" w:type="default"/>
          <w:pgSz w:w="11910" w:h="16840"/>
          <w:pgMar w:top="1240" w:right="820" w:bottom="1180" w:left="780" w:header="506" w:footer="990" w:gutter="0"/>
          <w:cols w:space="720" w:num="1"/>
        </w:sectPr>
      </w:pPr>
    </w:p>
    <w:p>
      <w:pPr>
        <w:pStyle w:val="10"/>
        <w:rPr>
          <w:sz w:val="24"/>
        </w:rPr>
      </w:pPr>
    </w:p>
    <w:p>
      <w:pPr>
        <w:pStyle w:val="10"/>
        <w:spacing w:before="12"/>
        <w:rPr>
          <w:sz w:val="23"/>
        </w:rPr>
      </w:pPr>
    </w:p>
    <w:p>
      <w:pPr>
        <w:pStyle w:val="6"/>
        <w:ind w:left="758"/>
      </w:pPr>
      <w:bookmarkStart w:id="30" w:name="公章："/>
      <w:bookmarkEnd w:id="30"/>
      <w:r>
        <w:t>公章：</w:t>
      </w:r>
    </w:p>
    <w:p>
      <w:pPr>
        <w:spacing w:before="113"/>
        <w:ind w:left="758"/>
        <w:rPr>
          <w:rFonts w:ascii="黑体" w:eastAsia="黑体"/>
          <w:b/>
          <w:sz w:val="28"/>
        </w:rPr>
      </w:pPr>
      <w:r>
        <w:br w:type="column"/>
      </w:r>
      <w:r>
        <w:rPr>
          <w:rFonts w:hint="eastAsia" w:ascii="黑体" w:eastAsia="黑体"/>
          <w:b/>
          <w:sz w:val="28"/>
        </w:rPr>
        <w:t>投标报名表</w:t>
      </w:r>
    </w:p>
    <w:p>
      <w:pPr>
        <w:rPr>
          <w:rFonts w:ascii="黑体" w:eastAsia="黑体"/>
          <w:sz w:val="28"/>
        </w:rPr>
        <w:sectPr>
          <w:type w:val="continuous"/>
          <w:pgSz w:w="11910" w:h="16840"/>
          <w:pgMar w:top="1600" w:right="820" w:bottom="280" w:left="780" w:header="720" w:footer="720" w:gutter="0"/>
          <w:cols w:equalWidth="0" w:num="2">
            <w:col w:w="1519" w:space="2191"/>
            <w:col w:w="6600"/>
          </w:cols>
        </w:sectPr>
      </w:pPr>
    </w:p>
    <w:tbl>
      <w:tblPr>
        <w:tblStyle w:val="23"/>
        <w:tblW w:w="0" w:type="auto"/>
        <w:tblInd w:w="7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1"/>
        <w:gridCol w:w="2526"/>
        <w:gridCol w:w="2272"/>
        <w:gridCol w:w="2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1801" w:type="dxa"/>
          </w:tcPr>
          <w:p>
            <w:pPr>
              <w:pStyle w:val="34"/>
              <w:spacing w:before="12"/>
              <w:rPr>
                <w:rFonts w:ascii="黑体"/>
                <w:b/>
                <w:sz w:val="29"/>
              </w:rPr>
            </w:pPr>
          </w:p>
          <w:p>
            <w:pPr>
              <w:pStyle w:val="34"/>
              <w:ind w:left="283" w:right="267"/>
              <w:jc w:val="center"/>
              <w:rPr>
                <w:sz w:val="24"/>
              </w:rPr>
            </w:pPr>
            <w:r>
              <w:rPr>
                <w:sz w:val="24"/>
              </w:rPr>
              <w:t>项目名称</w:t>
            </w:r>
          </w:p>
        </w:tc>
        <w:tc>
          <w:tcPr>
            <w:tcW w:w="7123"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801" w:type="dxa"/>
          </w:tcPr>
          <w:p>
            <w:pPr>
              <w:pStyle w:val="34"/>
              <w:spacing w:before="6"/>
              <w:rPr>
                <w:rFonts w:ascii="黑体"/>
                <w:b/>
                <w:sz w:val="25"/>
              </w:rPr>
            </w:pPr>
          </w:p>
          <w:p>
            <w:pPr>
              <w:pStyle w:val="34"/>
              <w:spacing w:before="1"/>
              <w:ind w:left="423"/>
              <w:rPr>
                <w:sz w:val="24"/>
              </w:rPr>
            </w:pPr>
            <w:r>
              <w:rPr>
                <w:sz w:val="24"/>
              </w:rPr>
              <w:t>投标单位</w:t>
            </w:r>
          </w:p>
          <w:p>
            <w:pPr>
              <w:pStyle w:val="34"/>
              <w:spacing w:before="6"/>
              <w:ind w:left="423"/>
              <w:rPr>
                <w:sz w:val="24"/>
              </w:rPr>
            </w:pPr>
            <w:r>
              <w:rPr>
                <w:sz w:val="24"/>
              </w:rPr>
              <w:t>（全称）</w:t>
            </w:r>
          </w:p>
        </w:tc>
        <w:tc>
          <w:tcPr>
            <w:tcW w:w="7123"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1801" w:type="dxa"/>
          </w:tcPr>
          <w:p>
            <w:pPr>
              <w:pStyle w:val="34"/>
              <w:rPr>
                <w:rFonts w:ascii="黑体"/>
                <w:b/>
                <w:sz w:val="24"/>
              </w:rPr>
            </w:pPr>
          </w:p>
          <w:p>
            <w:pPr>
              <w:pStyle w:val="34"/>
              <w:spacing w:before="177"/>
              <w:ind w:left="283" w:right="267"/>
              <w:jc w:val="center"/>
              <w:rPr>
                <w:sz w:val="24"/>
              </w:rPr>
            </w:pPr>
            <w:r>
              <w:rPr>
                <w:sz w:val="24"/>
              </w:rPr>
              <w:t>所投包次</w:t>
            </w:r>
          </w:p>
        </w:tc>
        <w:tc>
          <w:tcPr>
            <w:tcW w:w="7123"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801" w:type="dxa"/>
          </w:tcPr>
          <w:p>
            <w:pPr>
              <w:pStyle w:val="34"/>
              <w:spacing w:before="1"/>
              <w:rPr>
                <w:rFonts w:ascii="黑体"/>
                <w:b/>
                <w:sz w:val="19"/>
              </w:rPr>
            </w:pPr>
          </w:p>
          <w:p>
            <w:pPr>
              <w:pStyle w:val="34"/>
              <w:spacing w:line="242" w:lineRule="auto"/>
              <w:ind w:left="663" w:right="405" w:hanging="240"/>
              <w:rPr>
                <w:sz w:val="24"/>
              </w:rPr>
            </w:pPr>
            <w:r>
              <w:rPr>
                <w:sz w:val="24"/>
              </w:rPr>
              <w:t>投标单位简介</w:t>
            </w:r>
          </w:p>
        </w:tc>
        <w:tc>
          <w:tcPr>
            <w:tcW w:w="7123"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801" w:type="dxa"/>
          </w:tcPr>
          <w:p>
            <w:pPr>
              <w:pStyle w:val="34"/>
              <w:spacing w:before="7"/>
              <w:rPr>
                <w:rFonts w:ascii="黑体"/>
                <w:b/>
                <w:sz w:val="32"/>
              </w:rPr>
            </w:pPr>
          </w:p>
          <w:p>
            <w:pPr>
              <w:pStyle w:val="34"/>
              <w:ind w:left="283" w:right="267"/>
              <w:jc w:val="center"/>
              <w:rPr>
                <w:sz w:val="24"/>
              </w:rPr>
            </w:pPr>
            <w:r>
              <w:rPr>
                <w:sz w:val="24"/>
              </w:rPr>
              <w:t>项目负责人</w:t>
            </w:r>
          </w:p>
        </w:tc>
        <w:tc>
          <w:tcPr>
            <w:tcW w:w="2526" w:type="dxa"/>
          </w:tcPr>
          <w:p>
            <w:pPr>
              <w:pStyle w:val="34"/>
              <w:rPr>
                <w:rFonts w:ascii="Times New Roman"/>
              </w:rPr>
            </w:pPr>
          </w:p>
        </w:tc>
        <w:tc>
          <w:tcPr>
            <w:tcW w:w="2272" w:type="dxa"/>
          </w:tcPr>
          <w:p>
            <w:pPr>
              <w:pStyle w:val="34"/>
              <w:spacing w:before="7"/>
              <w:rPr>
                <w:rFonts w:ascii="黑体"/>
                <w:b/>
                <w:sz w:val="32"/>
              </w:rPr>
            </w:pPr>
          </w:p>
          <w:p>
            <w:pPr>
              <w:pStyle w:val="34"/>
              <w:ind w:left="639" w:right="623"/>
              <w:jc w:val="center"/>
              <w:rPr>
                <w:sz w:val="24"/>
              </w:rPr>
            </w:pPr>
            <w:r>
              <w:rPr>
                <w:sz w:val="24"/>
              </w:rPr>
              <w:t>联系电话</w:t>
            </w:r>
          </w:p>
        </w:tc>
        <w:tc>
          <w:tcPr>
            <w:tcW w:w="2325" w:type="dxa"/>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801" w:type="dxa"/>
          </w:tcPr>
          <w:p>
            <w:pPr>
              <w:pStyle w:val="34"/>
              <w:spacing w:before="1"/>
              <w:rPr>
                <w:rFonts w:ascii="黑体"/>
                <w:b/>
                <w:sz w:val="27"/>
              </w:rPr>
            </w:pPr>
          </w:p>
          <w:p>
            <w:pPr>
              <w:pStyle w:val="34"/>
              <w:ind w:left="283" w:right="267"/>
              <w:jc w:val="center"/>
              <w:rPr>
                <w:sz w:val="24"/>
              </w:rPr>
            </w:pPr>
            <w:r>
              <w:rPr>
                <w:sz w:val="24"/>
              </w:rPr>
              <w:t>公司电话</w:t>
            </w:r>
          </w:p>
        </w:tc>
        <w:tc>
          <w:tcPr>
            <w:tcW w:w="2526" w:type="dxa"/>
          </w:tcPr>
          <w:p>
            <w:pPr>
              <w:pStyle w:val="34"/>
              <w:rPr>
                <w:rFonts w:ascii="Times New Roman"/>
              </w:rPr>
            </w:pPr>
          </w:p>
        </w:tc>
        <w:tc>
          <w:tcPr>
            <w:tcW w:w="2272" w:type="dxa"/>
          </w:tcPr>
          <w:p>
            <w:pPr>
              <w:pStyle w:val="34"/>
              <w:spacing w:before="1"/>
              <w:rPr>
                <w:rFonts w:ascii="黑体"/>
                <w:b/>
                <w:sz w:val="27"/>
              </w:rPr>
            </w:pPr>
          </w:p>
          <w:p>
            <w:pPr>
              <w:pStyle w:val="34"/>
              <w:ind w:left="639" w:right="623"/>
              <w:jc w:val="center"/>
              <w:rPr>
                <w:sz w:val="24"/>
              </w:rPr>
            </w:pPr>
            <w:r>
              <w:rPr>
                <w:sz w:val="24"/>
              </w:rPr>
              <w:t>传真</w:t>
            </w:r>
          </w:p>
        </w:tc>
        <w:tc>
          <w:tcPr>
            <w:tcW w:w="2325" w:type="dxa"/>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801" w:type="dxa"/>
          </w:tcPr>
          <w:p>
            <w:pPr>
              <w:pStyle w:val="34"/>
              <w:spacing w:before="2"/>
              <w:rPr>
                <w:rFonts w:ascii="黑体"/>
                <w:b/>
                <w:sz w:val="32"/>
              </w:rPr>
            </w:pPr>
          </w:p>
          <w:p>
            <w:pPr>
              <w:pStyle w:val="34"/>
              <w:ind w:left="283" w:right="257"/>
              <w:jc w:val="center"/>
              <w:rPr>
                <w:rFonts w:ascii="Calibri"/>
                <w:sz w:val="24"/>
              </w:rPr>
            </w:pPr>
            <w:r>
              <w:rPr>
                <w:rFonts w:ascii="Calibri"/>
                <w:sz w:val="24"/>
              </w:rPr>
              <w:t>E-mail</w:t>
            </w:r>
          </w:p>
        </w:tc>
        <w:tc>
          <w:tcPr>
            <w:tcW w:w="7123" w:type="dxa"/>
            <w:gridSpan w:val="3"/>
          </w:tcPr>
          <w:p>
            <w:pPr>
              <w:pStyle w:val="34"/>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1801" w:type="dxa"/>
          </w:tcPr>
          <w:p>
            <w:pPr>
              <w:pStyle w:val="34"/>
              <w:rPr>
                <w:rFonts w:ascii="黑体"/>
                <w:b/>
                <w:sz w:val="24"/>
              </w:rPr>
            </w:pPr>
          </w:p>
          <w:p>
            <w:pPr>
              <w:pStyle w:val="34"/>
              <w:spacing w:before="6"/>
              <w:rPr>
                <w:rFonts w:ascii="黑体"/>
                <w:b/>
                <w:sz w:val="25"/>
              </w:rPr>
            </w:pPr>
          </w:p>
          <w:p>
            <w:pPr>
              <w:pStyle w:val="34"/>
              <w:spacing w:before="1"/>
              <w:ind w:left="283" w:right="267"/>
              <w:jc w:val="center"/>
              <w:rPr>
                <w:sz w:val="24"/>
              </w:rPr>
            </w:pPr>
            <w:r>
              <w:rPr>
                <w:sz w:val="24"/>
              </w:rPr>
              <w:t>报名时间</w:t>
            </w:r>
          </w:p>
        </w:tc>
        <w:tc>
          <w:tcPr>
            <w:tcW w:w="7123" w:type="dxa"/>
            <w:gridSpan w:val="3"/>
          </w:tcPr>
          <w:p>
            <w:pPr>
              <w:pStyle w:val="34"/>
              <w:rPr>
                <w:rFonts w:ascii="黑体"/>
                <w:b/>
                <w:sz w:val="24"/>
              </w:rPr>
            </w:pPr>
          </w:p>
          <w:p>
            <w:pPr>
              <w:pStyle w:val="34"/>
              <w:spacing w:before="6"/>
              <w:rPr>
                <w:rFonts w:ascii="黑体"/>
                <w:b/>
                <w:sz w:val="25"/>
              </w:rPr>
            </w:pPr>
          </w:p>
          <w:p>
            <w:pPr>
              <w:pStyle w:val="34"/>
              <w:tabs>
                <w:tab w:val="left" w:pos="735"/>
                <w:tab w:val="left" w:pos="1455"/>
              </w:tabs>
              <w:spacing w:before="1"/>
              <w:ind w:left="15"/>
              <w:jc w:val="center"/>
              <w:rPr>
                <w:sz w:val="24"/>
              </w:rPr>
            </w:pPr>
            <w:r>
              <w:rPr>
                <w:sz w:val="24"/>
              </w:rPr>
              <w:t>年</w:t>
            </w:r>
            <w:r>
              <w:rPr>
                <w:sz w:val="24"/>
              </w:rPr>
              <w:tab/>
            </w:r>
            <w:r>
              <w:rPr>
                <w:sz w:val="24"/>
              </w:rPr>
              <w:t>月</w:t>
            </w:r>
            <w:r>
              <w:rPr>
                <w:sz w:val="24"/>
              </w:rPr>
              <w:tab/>
            </w:r>
            <w:r>
              <w:rPr>
                <w:sz w:val="24"/>
              </w:rPr>
              <w:t>日</w:t>
            </w:r>
          </w:p>
        </w:tc>
      </w:tr>
    </w:tbl>
    <w:p>
      <w:pPr>
        <w:spacing w:before="7" w:line="244" w:lineRule="auto"/>
        <w:ind w:left="1108" w:right="789" w:hanging="473"/>
        <w:rPr>
          <w:sz w:val="24"/>
        </w:rPr>
      </w:pPr>
      <w:r>
        <w:rPr>
          <w:b/>
          <w:sz w:val="24"/>
        </w:rPr>
        <w:t>注：</w:t>
      </w:r>
      <w:r>
        <w:rPr>
          <w:sz w:val="24"/>
        </w:rPr>
        <w:t>请投标单位认真填写并加盖公章，并于规定时间前回传。缺项及不按要求时间回复均视为自动放弃本次投标资格。</w:t>
      </w:r>
    </w:p>
    <w:p>
      <w:pPr>
        <w:pStyle w:val="10"/>
        <w:rPr>
          <w:sz w:val="24"/>
        </w:rPr>
      </w:pPr>
    </w:p>
    <w:p>
      <w:pPr>
        <w:pStyle w:val="10"/>
        <w:spacing w:before="12"/>
        <w:rPr>
          <w:sz w:val="26"/>
        </w:rPr>
      </w:pPr>
    </w:p>
    <w:p>
      <w:pPr>
        <w:pStyle w:val="10"/>
        <w:tabs>
          <w:tab w:val="left" w:pos="4103"/>
        </w:tabs>
        <w:ind w:left="638"/>
      </w:pPr>
      <w:r>
        <w:rPr>
          <w:spacing w:val="-1"/>
          <w:w w:val="97"/>
        </w:rPr>
        <w:t>投</w:t>
      </w:r>
      <w:r>
        <w:rPr>
          <w:spacing w:val="3"/>
          <w:w w:val="97"/>
        </w:rPr>
        <w:t>标</w:t>
      </w:r>
      <w:r>
        <w:rPr>
          <w:spacing w:val="1"/>
          <w:w w:val="97"/>
        </w:rPr>
        <w:t>人</w:t>
      </w:r>
      <w:r>
        <w:rPr>
          <w:spacing w:val="3"/>
          <w:w w:val="97"/>
        </w:rPr>
        <w:t>名</w:t>
      </w:r>
      <w:r>
        <w:rPr>
          <w:spacing w:val="1"/>
          <w:w w:val="97"/>
        </w:rPr>
        <w:t>称</w:t>
      </w:r>
      <w:r>
        <w:rPr>
          <w:spacing w:val="3"/>
          <w:w w:val="97"/>
        </w:rPr>
        <w:t>（</w:t>
      </w:r>
      <w:r>
        <w:rPr>
          <w:spacing w:val="1"/>
          <w:w w:val="97"/>
        </w:rPr>
        <w:t>盖</w:t>
      </w:r>
      <w:r>
        <w:rPr>
          <w:spacing w:val="3"/>
          <w:w w:val="97"/>
        </w:rPr>
        <w:t>章</w:t>
      </w:r>
      <w:r>
        <w:rPr>
          <w:spacing w:val="-102"/>
          <w:w w:val="97"/>
        </w:rPr>
        <w:t>）</w:t>
      </w:r>
      <w:r>
        <w:rPr>
          <w:w w:val="97"/>
        </w:rPr>
        <w:t>：</w:t>
      </w:r>
      <w:r>
        <w:tab/>
      </w:r>
      <w:r>
        <w:rPr>
          <w:spacing w:val="-1"/>
          <w:w w:val="97"/>
        </w:rPr>
        <w:t>法</w:t>
      </w:r>
      <w:r>
        <w:rPr>
          <w:spacing w:val="3"/>
          <w:w w:val="97"/>
        </w:rPr>
        <w:t>定</w:t>
      </w:r>
      <w:r>
        <w:rPr>
          <w:spacing w:val="1"/>
          <w:w w:val="97"/>
        </w:rPr>
        <w:t>代</w:t>
      </w:r>
      <w:r>
        <w:rPr>
          <w:spacing w:val="4"/>
          <w:w w:val="97"/>
        </w:rPr>
        <w:t>表</w:t>
      </w:r>
      <w:r>
        <w:rPr>
          <w:spacing w:val="-1"/>
          <w:w w:val="97"/>
        </w:rPr>
        <w:t>人</w:t>
      </w:r>
      <w:r>
        <w:rPr>
          <w:spacing w:val="3"/>
          <w:w w:val="97"/>
        </w:rPr>
        <w:t>或</w:t>
      </w:r>
      <w:r>
        <w:rPr>
          <w:spacing w:val="1"/>
          <w:w w:val="97"/>
        </w:rPr>
        <w:t>授</w:t>
      </w:r>
      <w:r>
        <w:rPr>
          <w:spacing w:val="4"/>
          <w:w w:val="97"/>
        </w:rPr>
        <w:t>权</w:t>
      </w:r>
      <w:r>
        <w:rPr>
          <w:spacing w:val="1"/>
          <w:w w:val="97"/>
        </w:rPr>
        <w:t>代</w:t>
      </w:r>
      <w:r>
        <w:rPr>
          <w:spacing w:val="3"/>
          <w:w w:val="97"/>
        </w:rPr>
        <w:t>表</w:t>
      </w:r>
      <w:r>
        <w:rPr>
          <w:spacing w:val="-1"/>
          <w:w w:val="97"/>
        </w:rPr>
        <w:t>签</w:t>
      </w:r>
      <w:r>
        <w:rPr>
          <w:spacing w:val="4"/>
          <w:w w:val="97"/>
        </w:rPr>
        <w:t>字</w:t>
      </w:r>
      <w:r>
        <w:rPr>
          <w:w w:val="97"/>
        </w:rPr>
        <w:t>：</w:t>
      </w:r>
    </w:p>
    <w:p>
      <w:pPr>
        <w:sectPr>
          <w:type w:val="continuous"/>
          <w:pgSz w:w="11910" w:h="16840"/>
          <w:pgMar w:top="1600" w:right="820" w:bottom="280" w:left="780" w:header="720" w:footer="720" w:gutter="0"/>
          <w:cols w:space="720" w:num="1"/>
        </w:sectPr>
      </w:pPr>
    </w:p>
    <w:p>
      <w:pPr>
        <w:pStyle w:val="10"/>
        <w:rPr>
          <w:sz w:val="20"/>
        </w:rPr>
      </w:pPr>
    </w:p>
    <w:p>
      <w:pPr>
        <w:pStyle w:val="10"/>
        <w:spacing w:before="7"/>
        <w:rPr>
          <w:sz w:val="14"/>
        </w:rPr>
      </w:pPr>
    </w:p>
    <w:p>
      <w:pPr>
        <w:pStyle w:val="10"/>
        <w:spacing w:before="7"/>
        <w:rPr>
          <w:sz w:val="14"/>
        </w:rPr>
      </w:pPr>
      <w:bookmarkStart w:id="31" w:name="第三章技术协议书"/>
      <w:bookmarkEnd w:id="31"/>
    </w:p>
    <w:p>
      <w:pPr>
        <w:pStyle w:val="2"/>
        <w:tabs>
          <w:tab w:val="left" w:pos="1816"/>
        </w:tabs>
        <w:spacing w:before="37"/>
        <w:ind w:left="50"/>
        <w:rPr>
          <w:rFonts w:ascii="黑体" w:eastAsia="黑体"/>
        </w:rPr>
      </w:pPr>
      <w:r>
        <w:rPr>
          <w:rFonts w:hint="eastAsia" w:ascii="黑体" w:eastAsia="黑体"/>
        </w:rPr>
        <w:t>第三章</w:t>
      </w:r>
      <w:r>
        <w:rPr>
          <w:rFonts w:hint="eastAsia" w:ascii="黑体" w:eastAsia="黑体"/>
        </w:rPr>
        <w:tab/>
      </w:r>
      <w:r>
        <w:rPr>
          <w:rFonts w:hint="eastAsia" w:ascii="黑体" w:eastAsia="黑体"/>
        </w:rPr>
        <w:t>技术协议书</w:t>
      </w:r>
    </w:p>
    <w:p>
      <w:pPr>
        <w:pStyle w:val="10"/>
        <w:spacing w:before="8"/>
        <w:ind w:firstLine="643" w:firstLineChars="200"/>
        <w:rPr>
          <w:rFonts w:hint="eastAsia" w:ascii="宋体" w:hAnsi="宋体" w:eastAsia="宋体" w:cs="宋体"/>
          <w:b/>
          <w:sz w:val="32"/>
          <w:szCs w:val="32"/>
          <w:lang w:val="en-US"/>
        </w:rPr>
      </w:pPr>
      <w:r>
        <w:rPr>
          <w:rFonts w:hint="eastAsia" w:ascii="宋体" w:hAnsi="宋体" w:eastAsia="宋体" w:cs="宋体"/>
          <w:b/>
          <w:sz w:val="32"/>
          <w:szCs w:val="32"/>
          <w:lang w:val="en-US" w:eastAsia="zh-CN"/>
        </w:rPr>
        <w:t>一、重汽</w:t>
      </w:r>
      <w:r>
        <w:rPr>
          <w:rFonts w:hint="eastAsia" w:cs="宋体"/>
          <w:b/>
          <w:sz w:val="32"/>
          <w:szCs w:val="32"/>
          <w:lang w:val="en-US" w:eastAsia="zh-CN"/>
        </w:rPr>
        <w:t>项目</w:t>
      </w:r>
      <w:r>
        <w:rPr>
          <w:rFonts w:hint="eastAsia" w:ascii="宋体" w:hAnsi="宋体" w:eastAsia="宋体" w:cs="宋体"/>
          <w:b/>
          <w:sz w:val="32"/>
          <w:szCs w:val="32"/>
          <w:lang w:val="en-US" w:eastAsia="zh-CN"/>
        </w:rPr>
        <w:t>停车调件业务</w:t>
      </w:r>
      <w:r>
        <w:rPr>
          <w:rFonts w:hint="eastAsia" w:ascii="宋体" w:hAnsi="宋体" w:eastAsia="宋体" w:cs="宋体"/>
          <w:b/>
          <w:sz w:val="32"/>
          <w:szCs w:val="32"/>
          <w:lang w:val="en-US"/>
        </w:rPr>
        <w:t>物流运输技术质量标准</w:t>
      </w:r>
    </w:p>
    <w:p>
      <w:pPr>
        <w:spacing w:line="360" w:lineRule="auto"/>
        <w:ind w:firstLine="482" w:firstLineChars="200"/>
        <w:rPr>
          <w:b/>
          <w:bCs/>
          <w:sz w:val="24"/>
          <w:szCs w:val="24"/>
        </w:rPr>
      </w:pPr>
      <w:r>
        <w:rPr>
          <w:rFonts w:hint="eastAsia"/>
          <w:b/>
          <w:bCs/>
          <w:sz w:val="24"/>
          <w:szCs w:val="24"/>
        </w:rPr>
        <w:t>㈠运输业务计费规则：</w:t>
      </w:r>
    </w:p>
    <w:p>
      <w:pPr>
        <w:tabs>
          <w:tab w:val="left" w:pos="918"/>
        </w:tabs>
        <w:ind w:firstLine="480" w:firstLineChars="200"/>
        <w:rPr>
          <w:color w:val="000000"/>
          <w:sz w:val="24"/>
          <w:szCs w:val="24"/>
        </w:rPr>
      </w:pPr>
      <w:r>
        <w:rPr>
          <w:rFonts w:hint="eastAsia"/>
          <w:color w:val="000000"/>
          <w:sz w:val="24"/>
          <w:szCs w:val="24"/>
        </w:rPr>
        <w:t>配件运输业务计重标准：</w:t>
      </w:r>
    </w:p>
    <w:p>
      <w:pPr>
        <w:tabs>
          <w:tab w:val="left" w:pos="918"/>
        </w:tabs>
        <w:ind w:firstLine="480" w:firstLineChars="200"/>
        <w:rPr>
          <w:color w:val="000000"/>
          <w:sz w:val="24"/>
          <w:szCs w:val="24"/>
        </w:rPr>
      </w:pPr>
      <w:r>
        <w:rPr>
          <w:rFonts w:hint="eastAsia"/>
          <w:color w:val="000000"/>
          <w:sz w:val="24"/>
          <w:szCs w:val="24"/>
        </w:rPr>
        <w:t>(1)后市场配件主要采用围板箱、木质周转箱作为包装方式进行运输，当前全部按照实际重量结算。但因每个包装单元重量不一，存在抛货与重货的区别，按照物流运输行业惯例，区分抛货、重货进行费用结算。</w:t>
      </w:r>
    </w:p>
    <w:p>
      <w:pPr>
        <w:tabs>
          <w:tab w:val="left" w:pos="918"/>
        </w:tabs>
        <w:ind w:firstLine="480" w:firstLineChars="200"/>
        <w:rPr>
          <w:color w:val="000000"/>
          <w:sz w:val="24"/>
          <w:szCs w:val="24"/>
          <w:highlight w:val="none"/>
          <w:lang w:val="en-US"/>
        </w:rPr>
      </w:pPr>
      <w:r>
        <w:rPr>
          <w:rFonts w:hint="eastAsia"/>
          <w:color w:val="000000"/>
          <w:sz w:val="24"/>
          <w:szCs w:val="24"/>
          <w:highlight w:val="none"/>
        </w:rPr>
        <w:t>(2)</w:t>
      </w:r>
      <w:r>
        <w:rPr>
          <w:rFonts w:hint="eastAsia"/>
          <w:color w:val="000000"/>
          <w:sz w:val="24"/>
          <w:szCs w:val="24"/>
          <w:highlight w:val="none"/>
          <w:lang w:val="en-US"/>
        </w:rPr>
        <w:t>计费</w:t>
      </w:r>
      <w:r>
        <w:rPr>
          <w:rFonts w:hint="eastAsia"/>
          <w:color w:val="000000"/>
          <w:sz w:val="24"/>
          <w:szCs w:val="24"/>
          <w:highlight w:val="none"/>
        </w:rPr>
        <w:t>标准：</w:t>
      </w:r>
    </w:p>
    <w:p>
      <w:pPr>
        <w:tabs>
          <w:tab w:val="left" w:pos="918"/>
        </w:tabs>
        <w:ind w:firstLine="480" w:firstLineChars="200"/>
        <w:rPr>
          <w:color w:val="000000"/>
          <w:sz w:val="24"/>
          <w:szCs w:val="24"/>
          <w:highlight w:val="none"/>
          <w:lang w:val="en-US"/>
        </w:rPr>
      </w:pPr>
      <w:r>
        <w:rPr>
          <w:rFonts w:hint="eastAsia"/>
          <w:color w:val="000000"/>
          <w:sz w:val="24"/>
          <w:szCs w:val="24"/>
          <w:highlight w:val="none"/>
          <w:lang w:val="en-US"/>
        </w:rPr>
        <w:t>计抛：</w:t>
      </w:r>
      <w:r>
        <w:rPr>
          <w:rFonts w:hint="eastAsia"/>
          <w:color w:val="000000"/>
          <w:sz w:val="24"/>
          <w:szCs w:val="24"/>
          <w:highlight w:val="none"/>
          <w:lang w:val="en-US" w:eastAsia="zh-CN"/>
        </w:rPr>
        <w:t>6000</w:t>
      </w:r>
      <w:r>
        <w:rPr>
          <w:rFonts w:hint="eastAsia"/>
          <w:color w:val="000000"/>
          <w:sz w:val="24"/>
          <w:szCs w:val="24"/>
          <w:highlight w:val="none"/>
          <w:lang w:val="en-US"/>
        </w:rPr>
        <w:t>；</w:t>
      </w:r>
      <w:r>
        <w:rPr>
          <w:color w:val="000000"/>
          <w:sz w:val="24"/>
          <w:szCs w:val="24"/>
          <w:highlight w:val="none"/>
          <w:lang w:val="en-US"/>
        </w:rPr>
        <w:t xml:space="preserve">       </w:t>
      </w:r>
    </w:p>
    <w:p>
      <w:pPr>
        <w:tabs>
          <w:tab w:val="left" w:pos="918"/>
        </w:tabs>
        <w:ind w:firstLine="480" w:firstLineChars="200"/>
        <w:rPr>
          <w:color w:val="000000"/>
          <w:sz w:val="24"/>
          <w:szCs w:val="24"/>
          <w:highlight w:val="none"/>
          <w:lang w:val="en-US"/>
        </w:rPr>
      </w:pPr>
      <w:r>
        <w:rPr>
          <w:rFonts w:hint="eastAsia"/>
          <w:color w:val="000000"/>
          <w:sz w:val="24"/>
          <w:szCs w:val="24"/>
          <w:highlight w:val="none"/>
          <w:lang w:val="en-US"/>
        </w:rPr>
        <w:t>体积重量（</w:t>
      </w:r>
      <w:r>
        <w:rPr>
          <w:color w:val="000000"/>
          <w:sz w:val="24"/>
          <w:szCs w:val="24"/>
          <w:highlight w:val="none"/>
          <w:lang w:val="en-US"/>
        </w:rPr>
        <w:t>t）=物料体积（</w:t>
      </w:r>
      <w:r>
        <w:rPr>
          <w:rFonts w:hint="eastAsia"/>
          <w:color w:val="000000"/>
          <w:sz w:val="24"/>
          <w:szCs w:val="24"/>
          <w:highlight w:val="none"/>
          <w:lang w:val="en-US"/>
        </w:rPr>
        <w:t>c</w:t>
      </w:r>
      <w:r>
        <w:rPr>
          <w:color w:val="000000"/>
          <w:sz w:val="24"/>
          <w:szCs w:val="24"/>
          <w:highlight w:val="none"/>
          <w:lang w:val="en-US"/>
        </w:rPr>
        <w:t>m</w:t>
      </w:r>
      <w:r>
        <w:rPr>
          <w:color w:val="000000"/>
          <w:sz w:val="24"/>
          <w:szCs w:val="24"/>
          <w:highlight w:val="none"/>
          <w:vertAlign w:val="superscript"/>
          <w:lang w:val="en-US"/>
        </w:rPr>
        <w:t>3</w:t>
      </w:r>
      <w:r>
        <w:rPr>
          <w:color w:val="000000"/>
          <w:sz w:val="24"/>
          <w:szCs w:val="24"/>
          <w:highlight w:val="none"/>
          <w:lang w:val="en-US"/>
        </w:rPr>
        <w:t>）/</w:t>
      </w:r>
      <w:r>
        <w:rPr>
          <w:rFonts w:hint="eastAsia"/>
          <w:color w:val="000000"/>
          <w:sz w:val="24"/>
          <w:szCs w:val="24"/>
          <w:highlight w:val="none"/>
          <w:lang w:val="en-US" w:eastAsia="zh-CN"/>
        </w:rPr>
        <w:t>6000</w:t>
      </w:r>
      <w:r>
        <w:rPr>
          <w:rFonts w:hint="eastAsia"/>
          <w:color w:val="000000"/>
          <w:sz w:val="24"/>
          <w:szCs w:val="24"/>
          <w:highlight w:val="none"/>
          <w:lang w:val="en-US"/>
        </w:rPr>
        <w:t>；</w:t>
      </w:r>
    </w:p>
    <w:p>
      <w:pPr>
        <w:tabs>
          <w:tab w:val="left" w:pos="918"/>
        </w:tabs>
        <w:ind w:firstLine="480" w:firstLineChars="200"/>
        <w:rPr>
          <w:color w:val="000000"/>
          <w:sz w:val="24"/>
          <w:szCs w:val="24"/>
          <w:lang w:val="en-US"/>
        </w:rPr>
      </w:pPr>
      <w:r>
        <w:rPr>
          <w:rFonts w:hint="eastAsia"/>
          <w:color w:val="000000"/>
          <w:sz w:val="24"/>
          <w:szCs w:val="24"/>
          <w:lang w:val="en-US"/>
        </w:rPr>
        <w:t>当体积重量</w:t>
      </w:r>
      <w:r>
        <w:rPr>
          <w:color w:val="000000"/>
          <w:sz w:val="24"/>
          <w:szCs w:val="24"/>
          <w:lang w:val="en-US"/>
        </w:rPr>
        <w:t>&gt;实际重量，则为抛货，按照体积重量计费</w:t>
      </w:r>
      <w:r>
        <w:rPr>
          <w:rFonts w:hint="eastAsia"/>
          <w:color w:val="000000"/>
          <w:sz w:val="24"/>
          <w:szCs w:val="24"/>
          <w:lang w:val="en-US"/>
        </w:rPr>
        <w:t>；</w:t>
      </w:r>
      <w:r>
        <w:rPr>
          <w:color w:val="000000"/>
          <w:sz w:val="24"/>
          <w:szCs w:val="24"/>
          <w:lang w:val="en-US"/>
        </w:rPr>
        <w:t>否则按照实际重量计费。</w:t>
      </w:r>
    </w:p>
    <w:p>
      <w:pPr>
        <w:tabs>
          <w:tab w:val="left" w:pos="918"/>
        </w:tabs>
        <w:ind w:firstLine="480" w:firstLineChars="200"/>
        <w:rPr>
          <w:color w:val="000000"/>
          <w:sz w:val="24"/>
          <w:szCs w:val="24"/>
        </w:rPr>
      </w:pPr>
      <w:r>
        <w:rPr>
          <w:rFonts w:hint="eastAsia"/>
          <w:color w:val="000000"/>
          <w:sz w:val="24"/>
          <w:szCs w:val="24"/>
          <w:lang w:val="en-US"/>
        </w:rPr>
        <w:t>普通配件类产品</w:t>
      </w:r>
      <w:r>
        <w:rPr>
          <w:rFonts w:hint="eastAsia"/>
          <w:color w:val="000000"/>
          <w:sz w:val="24"/>
          <w:szCs w:val="24"/>
        </w:rPr>
        <w:t>以元/吨作为计费标准；驾驶室总成本体产品以元/个作为计费标准；车架类产品以元/</w:t>
      </w:r>
      <w:r>
        <w:rPr>
          <w:rFonts w:hint="eastAsia"/>
          <w:color w:val="000000"/>
          <w:sz w:val="24"/>
          <w:szCs w:val="24"/>
          <w:lang w:val="en-US"/>
        </w:rPr>
        <w:t>米</w:t>
      </w:r>
      <w:r>
        <w:rPr>
          <w:rFonts w:hint="eastAsia"/>
          <w:color w:val="000000"/>
          <w:sz w:val="24"/>
          <w:szCs w:val="24"/>
        </w:rPr>
        <w:t>作为计费标准。</w:t>
      </w:r>
    </w:p>
    <w:p>
      <w:pPr>
        <w:tabs>
          <w:tab w:val="left" w:pos="918"/>
        </w:tabs>
        <w:ind w:firstLine="480" w:firstLineChars="200"/>
        <w:rPr>
          <w:color w:val="000000"/>
          <w:sz w:val="24"/>
          <w:szCs w:val="24"/>
          <w:lang w:val="en-US"/>
        </w:rPr>
      </w:pPr>
      <w:r>
        <w:rPr>
          <w:rFonts w:hint="eastAsia"/>
          <w:color w:val="000000"/>
          <w:sz w:val="24"/>
          <w:szCs w:val="24"/>
          <w:lang w:val="en-US" w:eastAsia="zh-CN"/>
        </w:rPr>
        <w:t>1</w:t>
      </w:r>
      <w:r>
        <w:rPr>
          <w:rFonts w:hint="eastAsia"/>
          <w:color w:val="000000"/>
          <w:sz w:val="24"/>
          <w:szCs w:val="24"/>
          <w:lang w:val="en-US"/>
        </w:rPr>
        <w:t>）跨区域调件及区域内调件按照重量区分不同的快递产品进行招标。</w:t>
      </w:r>
    </w:p>
    <w:tbl>
      <w:tblPr>
        <w:tblStyle w:val="23"/>
        <w:tblW w:w="5145" w:type="pct"/>
        <w:tblInd w:w="0" w:type="dxa"/>
        <w:tblLayout w:type="fixed"/>
        <w:tblCellMar>
          <w:top w:w="0" w:type="dxa"/>
          <w:left w:w="108" w:type="dxa"/>
          <w:bottom w:w="0" w:type="dxa"/>
          <w:right w:w="108" w:type="dxa"/>
        </w:tblCellMar>
      </w:tblPr>
      <w:tblGrid>
        <w:gridCol w:w="1156"/>
        <w:gridCol w:w="1885"/>
        <w:gridCol w:w="692"/>
        <w:gridCol w:w="654"/>
        <w:gridCol w:w="644"/>
        <w:gridCol w:w="585"/>
        <w:gridCol w:w="845"/>
        <w:gridCol w:w="723"/>
        <w:gridCol w:w="778"/>
        <w:gridCol w:w="695"/>
        <w:gridCol w:w="776"/>
        <w:gridCol w:w="778"/>
        <w:gridCol w:w="621"/>
      </w:tblGrid>
      <w:tr>
        <w:tblPrEx>
          <w:tblCellMar>
            <w:top w:w="0" w:type="dxa"/>
            <w:left w:w="108" w:type="dxa"/>
            <w:bottom w:w="0" w:type="dxa"/>
            <w:right w:w="108" w:type="dxa"/>
          </w:tblCellMar>
        </w:tblPrEx>
        <w:trPr>
          <w:trHeight w:val="556" w:hRule="atLeast"/>
        </w:trPr>
        <w:tc>
          <w:tcPr>
            <w:tcW w:w="5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起点省份</w:t>
            </w:r>
          </w:p>
        </w:tc>
        <w:tc>
          <w:tcPr>
            <w:tcW w:w="8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中心库</w:t>
            </w:r>
          </w:p>
        </w:tc>
        <w:tc>
          <w:tcPr>
            <w:tcW w:w="3596" w:type="pct"/>
            <w:gridSpan w:val="11"/>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竞价限价（元）</w:t>
            </w:r>
          </w:p>
        </w:tc>
      </w:tr>
      <w:tr>
        <w:tblPrEx>
          <w:tblCellMar>
            <w:top w:w="0" w:type="dxa"/>
            <w:left w:w="108" w:type="dxa"/>
            <w:bottom w:w="0" w:type="dxa"/>
            <w:right w:w="108" w:type="dxa"/>
          </w:tblCellMar>
        </w:tblPrEx>
        <w:trPr>
          <w:trHeight w:val="556" w:hRule="atLeast"/>
        </w:trPr>
        <w:tc>
          <w:tcPr>
            <w:tcW w:w="5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p>
        </w:tc>
        <w:tc>
          <w:tcPr>
            <w:tcW w:w="8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p>
        </w:tc>
        <w:tc>
          <w:tcPr>
            <w:tcW w:w="918" w:type="pct"/>
            <w:gridSpan w:val="3"/>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快递(20kg以内）</w:t>
            </w:r>
            <w:r>
              <w:rPr>
                <w:rFonts w:hint="eastAsia"/>
                <w:b/>
                <w:bCs/>
                <w:color w:val="000000"/>
                <w:sz w:val="20"/>
                <w:szCs w:val="20"/>
                <w:lang w:val="en-US" w:bidi="ar-SA"/>
              </w:rPr>
              <w:br w:type="textWrapping"/>
            </w:r>
            <w:r>
              <w:rPr>
                <w:rFonts w:hint="eastAsia"/>
                <w:b/>
                <w:bCs/>
                <w:color w:val="000000"/>
                <w:sz w:val="20"/>
                <w:szCs w:val="20"/>
                <w:lang w:val="en-US" w:bidi="ar-SA"/>
              </w:rPr>
              <w:t>（不含税）</w:t>
            </w:r>
          </w:p>
        </w:tc>
        <w:tc>
          <w:tcPr>
            <w:tcW w:w="1353" w:type="pct"/>
            <w:gridSpan w:val="4"/>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快运价格（20-100KG）</w:t>
            </w:r>
            <w:r>
              <w:rPr>
                <w:rFonts w:hint="eastAsia"/>
                <w:b/>
                <w:bCs/>
                <w:color w:val="000000"/>
                <w:sz w:val="20"/>
                <w:szCs w:val="20"/>
                <w:lang w:val="en-US" w:bidi="ar-SA"/>
              </w:rPr>
              <w:br w:type="textWrapping"/>
            </w:r>
            <w:r>
              <w:rPr>
                <w:rFonts w:hint="eastAsia"/>
                <w:b/>
                <w:bCs/>
                <w:color w:val="000000"/>
                <w:sz w:val="20"/>
                <w:szCs w:val="20"/>
                <w:lang w:val="en-US" w:bidi="ar-SA"/>
              </w:rPr>
              <w:t>（不含税）</w:t>
            </w:r>
          </w:p>
        </w:tc>
        <w:tc>
          <w:tcPr>
            <w:tcW w:w="1324" w:type="pct"/>
            <w:gridSpan w:val="4"/>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重货包裹(100kg以上）</w:t>
            </w:r>
            <w:r>
              <w:rPr>
                <w:rFonts w:hint="eastAsia"/>
                <w:b/>
                <w:bCs/>
                <w:color w:val="000000"/>
                <w:sz w:val="20"/>
                <w:szCs w:val="20"/>
                <w:lang w:val="en-US" w:bidi="ar-SA"/>
              </w:rPr>
              <w:br w:type="textWrapping"/>
            </w:r>
            <w:r>
              <w:rPr>
                <w:rFonts w:hint="eastAsia"/>
                <w:b/>
                <w:bCs/>
                <w:color w:val="000000"/>
                <w:sz w:val="20"/>
                <w:szCs w:val="20"/>
                <w:lang w:val="en-US" w:bidi="ar-SA"/>
              </w:rPr>
              <w:t>（不含税）</w:t>
            </w:r>
          </w:p>
        </w:tc>
      </w:tr>
      <w:tr>
        <w:tblPrEx>
          <w:tblCellMar>
            <w:top w:w="0" w:type="dxa"/>
            <w:left w:w="108" w:type="dxa"/>
            <w:bottom w:w="0" w:type="dxa"/>
            <w:right w:w="108" w:type="dxa"/>
          </w:tblCellMar>
        </w:tblPrEx>
        <w:trPr>
          <w:trHeight w:val="809" w:hRule="atLeast"/>
        </w:trPr>
        <w:tc>
          <w:tcPr>
            <w:tcW w:w="533"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rPr>
                <w:b/>
                <w:bCs/>
                <w:color w:val="000000"/>
                <w:sz w:val="20"/>
                <w:szCs w:val="20"/>
                <w:lang w:val="en-US" w:bidi="ar-SA"/>
              </w:rPr>
            </w:pPr>
          </w:p>
        </w:tc>
        <w:tc>
          <w:tcPr>
            <w:tcW w:w="319"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500克以内</w:t>
            </w:r>
          </w:p>
        </w:tc>
        <w:tc>
          <w:tcPr>
            <w:tcW w:w="302"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首重(1kg)</w:t>
            </w:r>
          </w:p>
        </w:tc>
        <w:tc>
          <w:tcPr>
            <w:tcW w:w="295"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续重(500g)</w:t>
            </w:r>
          </w:p>
        </w:tc>
        <w:tc>
          <w:tcPr>
            <w:tcW w:w="270"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元/公斤</w:t>
            </w:r>
          </w:p>
        </w:tc>
        <w:tc>
          <w:tcPr>
            <w:tcW w:w="390"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元/方</w:t>
            </w:r>
          </w:p>
        </w:tc>
        <w:tc>
          <w:tcPr>
            <w:tcW w:w="334"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起步价</w:t>
            </w:r>
          </w:p>
        </w:tc>
        <w:tc>
          <w:tcPr>
            <w:tcW w:w="358"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标准货物送货报价(起送费)</w:t>
            </w:r>
          </w:p>
        </w:tc>
        <w:tc>
          <w:tcPr>
            <w:tcW w:w="321"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重量单价/kg</w:t>
            </w:r>
          </w:p>
        </w:tc>
        <w:tc>
          <w:tcPr>
            <w:tcW w:w="358"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体积单价/m³</w:t>
            </w:r>
          </w:p>
        </w:tc>
        <w:tc>
          <w:tcPr>
            <w:tcW w:w="359"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最低消费</w:t>
            </w:r>
          </w:p>
        </w:tc>
        <w:tc>
          <w:tcPr>
            <w:tcW w:w="285" w:type="pct"/>
            <w:tcBorders>
              <w:top w:val="nil"/>
              <w:left w:val="nil"/>
              <w:bottom w:val="single" w:color="auto" w:sz="4" w:space="0"/>
              <w:right w:val="single" w:color="auto" w:sz="4" w:space="0"/>
            </w:tcBorders>
            <w:shd w:val="clear" w:color="auto" w:fill="auto"/>
            <w:vAlign w:val="center"/>
          </w:tcPr>
          <w:p>
            <w:pPr>
              <w:widowControl/>
              <w:autoSpaceDE/>
              <w:autoSpaceDN/>
              <w:jc w:val="center"/>
              <w:rPr>
                <w:b/>
                <w:bCs/>
                <w:color w:val="000000"/>
                <w:sz w:val="20"/>
                <w:szCs w:val="20"/>
                <w:lang w:val="en-US" w:bidi="ar-SA"/>
              </w:rPr>
            </w:pPr>
            <w:r>
              <w:rPr>
                <w:rFonts w:hint="eastAsia"/>
                <w:b/>
                <w:bCs/>
                <w:color w:val="000000"/>
                <w:sz w:val="20"/>
                <w:szCs w:val="20"/>
                <w:lang w:val="en-US" w:bidi="ar-SA"/>
              </w:rPr>
              <w:t>送货费</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西藏</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拉萨隆兴汽车销售有限公司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23.0</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23.0</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9.3</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9.8</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1633.2</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396.0</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5.0</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835.2</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500.4</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青海</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青海载琨商贸有限公司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6.2</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3.5</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576.0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81.4</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3.7</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610.8</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297.3</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青运集团西宁潍柴技术服务有限公司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6.2</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3.5</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576.0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81.4</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3.7</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610.8</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297.3</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90"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甘肃</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甘肃永众汽车销售服务有限公司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5.8</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3.5</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576.0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81.4</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2.8</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474.0</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297.3</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甘肃雄亚汽车销售服务有限公司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5.8</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3.5</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576.0</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81.4</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2.8</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474.0</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297.3</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宁夏</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宁夏和丰汽车贸易有限公司</w:t>
            </w:r>
          </w:p>
        </w:tc>
        <w:tc>
          <w:tcPr>
            <w:tcW w:w="31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302"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20.4</w:t>
            </w:r>
          </w:p>
        </w:tc>
        <w:tc>
          <w:tcPr>
            <w:tcW w:w="29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4.5</w:t>
            </w:r>
          </w:p>
        </w:tc>
        <w:tc>
          <w:tcPr>
            <w:tcW w:w="27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3.4</w:t>
            </w:r>
          </w:p>
        </w:tc>
        <w:tc>
          <w:tcPr>
            <w:tcW w:w="390"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561.6</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81.4</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c>
          <w:tcPr>
            <w:tcW w:w="321"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2.7</w:t>
            </w:r>
          </w:p>
        </w:tc>
        <w:tc>
          <w:tcPr>
            <w:tcW w:w="358"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458.4</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291.8</w:t>
            </w:r>
          </w:p>
        </w:tc>
        <w:tc>
          <w:tcPr>
            <w:tcW w:w="285" w:type="pct"/>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SA"/>
              </w:rPr>
            </w:pPr>
            <w:r>
              <w:rPr>
                <w:rFonts w:hint="eastAsia"/>
                <w:color w:val="000000"/>
                <w:sz w:val="20"/>
                <w:szCs w:val="20"/>
                <w:lang w:val="en-US" w:bidi="ar"/>
              </w:rPr>
              <w:t>0.0</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新疆</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新疆利泉长进汽车科技有限公司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23.0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23.0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9.3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2.2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369.6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287.7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3.7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625.2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433.5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新疆煜唐贸易有限公司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23.0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23.0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9.3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2.2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369.6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287.7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3.7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625.2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433.5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color w:val="000000"/>
                <w:sz w:val="20"/>
                <w:szCs w:val="20"/>
                <w:lang w:val="en-US" w:bidi="ar"/>
              </w:rPr>
            </w:pPr>
            <w:r>
              <w:rPr>
                <w:rFonts w:hint="eastAsia"/>
                <w:color w:val="000000"/>
                <w:sz w:val="20"/>
                <w:szCs w:val="20"/>
                <w:lang w:val="en-US" w:bidi="ar"/>
              </w:rPr>
              <w:t xml:space="preserve">0.0 </w:t>
            </w:r>
          </w:p>
        </w:tc>
      </w:tr>
      <w:tr>
        <w:tblPrEx>
          <w:tblCellMar>
            <w:top w:w="0" w:type="dxa"/>
            <w:left w:w="108" w:type="dxa"/>
            <w:bottom w:w="0" w:type="dxa"/>
            <w:right w:w="108" w:type="dxa"/>
          </w:tblCellMar>
        </w:tblPrEx>
        <w:trPr>
          <w:trHeight w:val="365"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辽宁</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沈阳金鼎实业有限公司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23.6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23.6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4.2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3.3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554.7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76.0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2.4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406.6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286.7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r>
      <w:tr>
        <w:tblPrEx>
          <w:tblCellMar>
            <w:top w:w="0" w:type="dxa"/>
            <w:left w:w="108" w:type="dxa"/>
            <w:bottom w:w="0" w:type="dxa"/>
            <w:right w:w="108" w:type="dxa"/>
          </w:tblCellMar>
        </w:tblPrEx>
        <w:trPr>
          <w:trHeight w:val="284"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辽宁北方重潍汽车销售有限公司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23.6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23.6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4.2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3.3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554.7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76.0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2.4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406.6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286.7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r>
      <w:tr>
        <w:tblPrEx>
          <w:tblCellMar>
            <w:top w:w="0" w:type="dxa"/>
            <w:left w:w="108" w:type="dxa"/>
            <w:bottom w:w="0" w:type="dxa"/>
            <w:right w:w="108" w:type="dxa"/>
          </w:tblCellMar>
        </w:tblPrEx>
        <w:trPr>
          <w:trHeight w:val="377"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吉林</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长春华曼贸易有限公司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517.2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62.8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2.4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396.0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258.9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
              </w:rPr>
            </w:pPr>
            <w:r>
              <w:rPr>
                <w:rFonts w:hint="eastAsia"/>
                <w:color w:val="000000"/>
                <w:lang w:val="en-US" w:bidi="ar"/>
              </w:rPr>
              <w:t xml:space="preserve">0.0 </w:t>
            </w:r>
          </w:p>
        </w:tc>
      </w:tr>
      <w:tr>
        <w:tblPrEx>
          <w:tblCellMar>
            <w:top w:w="0" w:type="dxa"/>
            <w:left w:w="108" w:type="dxa"/>
            <w:bottom w:w="0" w:type="dxa"/>
            <w:right w:w="108" w:type="dxa"/>
          </w:tblCellMar>
        </w:tblPrEx>
        <w:trPr>
          <w:trHeight w:val="362"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长春市众和恒生汽车配件销售有限公司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517.2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62.8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2.4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396.0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258.9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黑龙江</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黑龙江省商汇汽车配件有限公司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5.8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502.8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382.8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268.9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河南</w:t>
            </w: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郑州阳杰汽车配件有限公司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428.4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225.1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0"/>
                <w:szCs w:val="20"/>
                <w:lang w:val="en-US" w:bidi="ar-SA"/>
              </w:rPr>
            </w:pPr>
            <w:r>
              <w:rPr>
                <w:rFonts w:hint="eastAsia"/>
                <w:color w:val="000000"/>
                <w:sz w:val="20"/>
                <w:szCs w:val="20"/>
                <w:lang w:val="en-US" w:bidi="ar"/>
              </w:rPr>
              <w:t>郑州亚大汽车配件有限公司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428.4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225.1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河南海通汽车零部件有限公司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428.4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225.1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山西</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山西潍通久隆商贸有限公司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1.8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297.5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43.0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170.0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155.6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58"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山西钰泽盛源商贸有限公司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1.8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297.5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43.0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170.0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155.6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
              </w:rPr>
              <w:t>陕西</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陕西讯桥汽车销售服务有限公司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3.4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561.6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2.4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396.0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272.5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天津</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天津通兴汽车零部件有限公司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325.2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76.1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1.5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244.8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198.4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河北</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河北通兴汽车服务有限公司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邯郸市正光物流有限公司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河北瑞湛商贸有限公司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唐山市丰南区汽车修理厂</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SA"/>
              </w:rPr>
            </w:pPr>
            <w:r>
              <w:rPr>
                <w:rFonts w:hint="eastAsia"/>
                <w:color w:val="000000"/>
                <w:sz w:val="20"/>
                <w:szCs w:val="20"/>
                <w:lang w:val="en-US" w:bidi="ar-SA"/>
              </w:rPr>
              <w:t>内蒙古</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SA"/>
              </w:rPr>
            </w:pPr>
            <w:r>
              <w:rPr>
                <w:rFonts w:hint="eastAsia"/>
                <w:color w:val="000000"/>
                <w:sz w:val="20"/>
                <w:szCs w:val="20"/>
                <w:lang w:val="en-US" w:bidi="ar"/>
              </w:rPr>
              <w:t>内蒙古中城备件服务有限公司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385.2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76.1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1.5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260.4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218.6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山东</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山东亲擎汽车零配件有限公司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0.9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266.4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125.3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青岛远通汽车销售服务有限公司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0.9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266.4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125.3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山东远通汽车零部件有限公司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0.9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266.4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125.3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山东广顺资产管理有限公司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11.5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0.9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266.4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125.3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福建</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福建运通国联汽车配件有限公司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502.8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382.8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270.8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泉州联昌贸易有限公司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502.8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382.8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270.8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湖南</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长沙腾跃汽车贸易有限公司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湖南潍柴动力备品有限公司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355.2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166.8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194.8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湖北</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湖北省荣鑫宝龙实业有限公司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2.8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472.8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351.6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238.7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湖北诚民汽车配件贸易有限公司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2.8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472.8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351.6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238.7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江西</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江西驰恒实业有限公司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3.3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546.0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62.8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2.3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382.8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265.2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海南</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海南广锋汽车销售服务有限公司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3.9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650.4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3.3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550.8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323.8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广州</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运通四方汽配供应链股份有限公司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3.1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517.2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76.1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351.6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268.0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广西</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广西南宁众合通达汽配有限责任公司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591.6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303.7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四川</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成都市紫东汽车配件有限公司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5.8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3.4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561.6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290.0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成都蓝擎贸易有限公司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5.8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3.4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561.6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290.0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重庆</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重庆市新赛利汽车销售有限公司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5.8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3.4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561.6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2.8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474.0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290.0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重庆鸿珅慷商贸有限公司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5.8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3.4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561.6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79.6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2.8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474.0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290.0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云南</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云南起信汽车销售服务有限公司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591.6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303.7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云南信大汽车配件有限公司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591.6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303.7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云南吉如商贸有限公司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591.6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303.7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贵州</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贵阳蓝擎重工贸易有限公司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3.5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591.6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80.5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442.8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303.7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安徽</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合肥中重联汽车配件有限公司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20.4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428.4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62.0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1.7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289.2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223.2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江苏</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bidi="ar"/>
              </w:rPr>
            </w:pPr>
            <w:r>
              <w:rPr>
                <w:rFonts w:hint="eastAsia"/>
                <w:color w:val="000000"/>
                <w:sz w:val="20"/>
                <w:szCs w:val="20"/>
                <w:lang w:val="en-US" w:bidi="ar"/>
              </w:rPr>
              <w:t>南京德晟兴汽车销售有限公司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14.2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44.3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306.0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213.2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浙江</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杭州振杰汽配有限公司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44.3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2.0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336.0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213.2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r>
        <w:tblPrEx>
          <w:tblCellMar>
            <w:top w:w="0" w:type="dxa"/>
            <w:left w:w="108" w:type="dxa"/>
            <w:bottom w:w="0" w:type="dxa"/>
            <w:right w:w="108" w:type="dxa"/>
          </w:tblCellMar>
        </w:tblPrEx>
        <w:trPr>
          <w:trHeight w:val="303" w:hRule="atLeast"/>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color w:val="000000"/>
                <w:sz w:val="20"/>
                <w:szCs w:val="20"/>
                <w:lang w:val="en-US" w:bidi="ar"/>
              </w:rPr>
            </w:pPr>
            <w:r>
              <w:rPr>
                <w:rFonts w:hint="eastAsia"/>
                <w:color w:val="000000"/>
                <w:sz w:val="20"/>
                <w:szCs w:val="20"/>
                <w:lang w:val="en-US" w:bidi="ar"/>
              </w:rPr>
              <w:t>上海</w:t>
            </w:r>
          </w:p>
        </w:tc>
        <w:tc>
          <w:tcPr>
            <w:tcW w:w="870" w:type="pct"/>
            <w:tcBorders>
              <w:top w:val="single" w:color="auto" w:sz="4" w:space="0"/>
              <w:left w:val="nil"/>
              <w:bottom w:val="single" w:color="auto" w:sz="4" w:space="0"/>
              <w:right w:val="single" w:color="auto" w:sz="4" w:space="0"/>
            </w:tcBorders>
            <w:shd w:val="clear" w:color="auto" w:fill="auto"/>
            <w:noWrap/>
            <w:vAlign w:val="center"/>
          </w:tcPr>
          <w:p>
            <w:pPr>
              <w:widowControl/>
              <w:textAlignment w:val="center"/>
              <w:rPr>
                <w:color w:val="000000"/>
                <w:sz w:val="20"/>
                <w:szCs w:val="20"/>
                <w:lang w:val="en-US"/>
              </w:rPr>
            </w:pPr>
            <w:r>
              <w:rPr>
                <w:rFonts w:hint="eastAsia"/>
                <w:color w:val="000000"/>
                <w:sz w:val="20"/>
                <w:szCs w:val="20"/>
                <w:lang w:val="en-US" w:bidi="ar"/>
              </w:rPr>
              <w:t>上海泰冉贸易有限公司</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5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19.5 </w:t>
            </w:r>
          </w:p>
        </w:tc>
        <w:tc>
          <w:tcPr>
            <w:tcW w:w="641"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 </w:t>
            </w:r>
          </w:p>
        </w:tc>
        <w:tc>
          <w:tcPr>
            <w:tcW w:w="58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2.7 </w:t>
            </w:r>
          </w:p>
        </w:tc>
        <w:tc>
          <w:tcPr>
            <w:tcW w:w="845"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458.4 </w:t>
            </w:r>
          </w:p>
        </w:tc>
        <w:tc>
          <w:tcPr>
            <w:tcW w:w="724"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44.3 </w:t>
            </w:r>
          </w:p>
        </w:tc>
        <w:tc>
          <w:tcPr>
            <w:tcW w:w="77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c>
          <w:tcPr>
            <w:tcW w:w="696"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1.5 </w:t>
            </w:r>
          </w:p>
        </w:tc>
        <w:tc>
          <w:tcPr>
            <w:tcW w:w="777"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260.4 </w:t>
            </w:r>
          </w:p>
        </w:tc>
        <w:tc>
          <w:tcPr>
            <w:tcW w:w="779"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214.9 </w:t>
            </w:r>
          </w:p>
        </w:tc>
        <w:tc>
          <w:tcPr>
            <w:tcW w:w="618" w:type="dxa"/>
            <w:tcBorders>
              <w:top w:val="single" w:color="auto" w:sz="4" w:space="0"/>
              <w:left w:val="nil"/>
              <w:bottom w:val="single" w:color="auto" w:sz="4" w:space="0"/>
              <w:right w:val="single" w:color="auto" w:sz="4" w:space="0"/>
            </w:tcBorders>
            <w:shd w:val="clear" w:color="auto" w:fill="auto"/>
            <w:noWrap/>
            <w:vAlign w:val="center"/>
          </w:tcPr>
          <w:p>
            <w:pPr>
              <w:widowControl/>
              <w:jc w:val="right"/>
              <w:textAlignment w:val="center"/>
              <w:rPr>
                <w:color w:val="000000"/>
                <w:sz w:val="20"/>
                <w:szCs w:val="20"/>
                <w:lang w:val="en-US" w:bidi="ar-SA"/>
              </w:rPr>
            </w:pPr>
            <w:r>
              <w:rPr>
                <w:rFonts w:hint="eastAsia"/>
                <w:color w:val="000000"/>
                <w:lang w:val="en-US" w:bidi="ar"/>
              </w:rPr>
              <w:t xml:space="preserve">0.0 </w:t>
            </w:r>
          </w:p>
        </w:tc>
      </w:tr>
    </w:tbl>
    <w:p>
      <w:pPr>
        <w:tabs>
          <w:tab w:val="left" w:pos="918"/>
        </w:tabs>
        <w:ind w:firstLine="480" w:firstLineChars="200"/>
        <w:rPr>
          <w:color w:val="000000"/>
          <w:sz w:val="24"/>
          <w:szCs w:val="24"/>
          <w:lang w:val="en-US"/>
        </w:rPr>
      </w:pPr>
    </w:p>
    <w:p>
      <w:pPr>
        <w:tabs>
          <w:tab w:val="left" w:pos="918"/>
        </w:tabs>
        <w:ind w:firstLine="480" w:firstLineChars="200"/>
        <w:rPr>
          <w:color w:val="000000"/>
          <w:sz w:val="24"/>
          <w:szCs w:val="24"/>
        </w:rPr>
      </w:pPr>
    </w:p>
    <w:p>
      <w:pPr>
        <w:tabs>
          <w:tab w:val="left" w:pos="918"/>
        </w:tabs>
        <w:ind w:firstLine="482" w:firstLineChars="200"/>
        <w:rPr>
          <w:b/>
          <w:bCs/>
          <w:color w:val="000000"/>
          <w:sz w:val="24"/>
          <w:szCs w:val="24"/>
        </w:rPr>
      </w:pPr>
      <w:r>
        <w:rPr>
          <w:rFonts w:hint="eastAsia"/>
          <w:b/>
          <w:bCs/>
          <w:color w:val="000000"/>
          <w:sz w:val="24"/>
          <w:szCs w:val="24"/>
          <w:lang w:val="en-US" w:eastAsia="zh-CN"/>
        </w:rPr>
        <w:t>（二）</w:t>
      </w:r>
      <w:r>
        <w:rPr>
          <w:rFonts w:hint="eastAsia"/>
          <w:b/>
          <w:bCs/>
          <w:color w:val="000000"/>
          <w:sz w:val="24"/>
          <w:szCs w:val="24"/>
        </w:rPr>
        <w:t>物流运输业务标准</w:t>
      </w:r>
    </w:p>
    <w:p>
      <w:pPr>
        <w:tabs>
          <w:tab w:val="left" w:pos="918"/>
        </w:tabs>
        <w:ind w:firstLine="480" w:firstLineChars="200"/>
        <w:rPr>
          <w:color w:val="000000"/>
          <w:sz w:val="24"/>
          <w:szCs w:val="24"/>
        </w:rPr>
      </w:pPr>
      <w:r>
        <w:rPr>
          <w:rFonts w:hint="eastAsia"/>
          <w:color w:val="000000"/>
          <w:sz w:val="24"/>
          <w:szCs w:val="24"/>
        </w:rPr>
        <w:t>1.投标人按照招标人各订单完成产品分拣，并根据包装标准完成产品包装、归集。</w:t>
      </w:r>
    </w:p>
    <w:p>
      <w:pPr>
        <w:tabs>
          <w:tab w:val="left" w:pos="918"/>
        </w:tabs>
        <w:ind w:firstLine="480" w:firstLineChars="200"/>
        <w:rPr>
          <w:color w:val="000000"/>
          <w:sz w:val="24"/>
          <w:szCs w:val="24"/>
        </w:rPr>
      </w:pPr>
      <w:r>
        <w:rPr>
          <w:rFonts w:hint="eastAsia"/>
          <w:color w:val="000000"/>
          <w:sz w:val="24"/>
          <w:szCs w:val="24"/>
          <w:lang w:val="en-US" w:eastAsia="zh-CN"/>
        </w:rPr>
        <w:t>2</w:t>
      </w:r>
      <w:r>
        <w:rPr>
          <w:rFonts w:hint="eastAsia"/>
          <w:color w:val="000000"/>
          <w:sz w:val="24"/>
          <w:szCs w:val="24"/>
        </w:rPr>
        <w:t>.投标人负责按招标人的各经销网点出库订单明细在24小时内，完成配件归集，运输防护、搬运、装卸等起运工作。</w:t>
      </w:r>
    </w:p>
    <w:p>
      <w:pPr>
        <w:tabs>
          <w:tab w:val="left" w:pos="918"/>
        </w:tabs>
        <w:ind w:firstLine="480" w:firstLineChars="200"/>
        <w:rPr>
          <w:color w:val="000000"/>
          <w:sz w:val="24"/>
          <w:szCs w:val="24"/>
        </w:rPr>
      </w:pPr>
      <w:r>
        <w:rPr>
          <w:rFonts w:hint="eastAsia"/>
          <w:color w:val="000000"/>
          <w:sz w:val="24"/>
          <w:szCs w:val="24"/>
          <w:lang w:val="en-US" w:eastAsia="zh-CN"/>
        </w:rPr>
        <w:t>3</w:t>
      </w:r>
      <w:r>
        <w:rPr>
          <w:rFonts w:hint="eastAsia"/>
          <w:color w:val="000000"/>
          <w:sz w:val="24"/>
          <w:szCs w:val="24"/>
        </w:rPr>
        <w:t>.投标人负责按照加急专车</w:t>
      </w:r>
      <w:r>
        <w:rPr>
          <w:rFonts w:hint="eastAsia"/>
          <w:color w:val="C00000"/>
          <w:sz w:val="24"/>
          <w:szCs w:val="24"/>
        </w:rPr>
        <w:t>（700公里/天），普通件（400公里/天）</w:t>
      </w:r>
      <w:r>
        <w:rPr>
          <w:rFonts w:hint="eastAsia"/>
          <w:color w:val="000000"/>
          <w:sz w:val="24"/>
          <w:szCs w:val="24"/>
        </w:rPr>
        <w:t>的运输时效要求,所有运输线路必须将所委托产品门对门发运到招标方指定的地点。</w:t>
      </w:r>
    </w:p>
    <w:p>
      <w:pPr>
        <w:tabs>
          <w:tab w:val="left" w:pos="918"/>
        </w:tabs>
        <w:ind w:firstLine="480" w:firstLineChars="200"/>
        <w:rPr>
          <w:color w:val="000000"/>
          <w:sz w:val="24"/>
          <w:szCs w:val="24"/>
        </w:rPr>
      </w:pPr>
      <w:r>
        <w:rPr>
          <w:rFonts w:hint="eastAsia"/>
          <w:color w:val="000000"/>
          <w:sz w:val="24"/>
          <w:szCs w:val="24"/>
          <w:lang w:val="en-US" w:eastAsia="zh-CN"/>
        </w:rPr>
        <w:t>4</w:t>
      </w:r>
      <w:r>
        <w:rPr>
          <w:rFonts w:hint="eastAsia"/>
          <w:color w:val="000000"/>
          <w:sz w:val="24"/>
          <w:szCs w:val="24"/>
        </w:rPr>
        <w:t>.投标人在招标人的ERP系统中按业务流程完成委托业务所需的操作和相关的制证、打印、传递、汇集、留存和与送、取、收货人的委托业务的当面点验、签字及相关的衔接、沟通、协调等保障委托业务顺畅完成的工作（委托业务包含自提、送货、委托发运等方式订单）。</w:t>
      </w:r>
    </w:p>
    <w:p>
      <w:pPr>
        <w:tabs>
          <w:tab w:val="left" w:pos="918"/>
        </w:tabs>
        <w:ind w:firstLine="480" w:firstLineChars="200"/>
        <w:rPr>
          <w:color w:val="000000"/>
          <w:sz w:val="24"/>
          <w:szCs w:val="24"/>
        </w:rPr>
      </w:pPr>
      <w:r>
        <w:rPr>
          <w:rFonts w:hint="eastAsia"/>
          <w:color w:val="000000"/>
          <w:sz w:val="24"/>
          <w:szCs w:val="24"/>
          <w:lang w:val="en-US" w:eastAsia="zh-CN"/>
        </w:rPr>
        <w:t>5</w:t>
      </w:r>
      <w:r>
        <w:rPr>
          <w:rFonts w:hint="eastAsia"/>
          <w:color w:val="000000"/>
          <w:sz w:val="24"/>
          <w:szCs w:val="24"/>
        </w:rPr>
        <w:t>.投标人负责对</w:t>
      </w:r>
      <w:r>
        <w:rPr>
          <w:rFonts w:hint="eastAsia"/>
          <w:color w:val="auto"/>
          <w:sz w:val="24"/>
          <w:szCs w:val="24"/>
        </w:rPr>
        <w:t>招标人委托产品交接原始单据的返还、整理工作，并按交接返还的原始交接单据作为原始结算凭证；轻卡业务根据与中</w:t>
      </w:r>
      <w:r>
        <w:rPr>
          <w:rFonts w:hint="eastAsia"/>
          <w:color w:val="000000"/>
          <w:sz w:val="24"/>
          <w:szCs w:val="24"/>
        </w:rPr>
        <w:t>标人交接凭证作为原始结算凭证，招标人有权随时抽查交接返还的单据。</w:t>
      </w:r>
    </w:p>
    <w:p>
      <w:pPr>
        <w:tabs>
          <w:tab w:val="left" w:pos="918"/>
        </w:tabs>
        <w:ind w:firstLine="480" w:firstLineChars="200"/>
        <w:rPr>
          <w:color w:val="000000"/>
          <w:sz w:val="24"/>
          <w:szCs w:val="24"/>
        </w:rPr>
      </w:pPr>
      <w:r>
        <w:rPr>
          <w:rFonts w:hint="eastAsia"/>
          <w:color w:val="000000"/>
          <w:sz w:val="24"/>
          <w:szCs w:val="24"/>
          <w:lang w:val="en-US" w:eastAsia="zh-CN"/>
        </w:rPr>
        <w:t>6</w:t>
      </w:r>
      <w:r>
        <w:rPr>
          <w:rFonts w:hint="eastAsia"/>
          <w:color w:val="000000"/>
          <w:sz w:val="24"/>
          <w:szCs w:val="24"/>
        </w:rPr>
        <w:t>.投标人需提供必要的运输防护措施方案，确保委托运输业务的无损、无劣化、无差错送达招标人指定送达地点。</w:t>
      </w:r>
    </w:p>
    <w:p>
      <w:pPr>
        <w:tabs>
          <w:tab w:val="left" w:pos="918"/>
        </w:tabs>
        <w:ind w:firstLine="480" w:firstLineChars="200"/>
        <w:rPr>
          <w:color w:val="000000"/>
          <w:sz w:val="24"/>
          <w:szCs w:val="24"/>
        </w:rPr>
      </w:pPr>
      <w:r>
        <w:rPr>
          <w:rFonts w:hint="eastAsia"/>
          <w:color w:val="000000"/>
          <w:sz w:val="24"/>
          <w:szCs w:val="24"/>
          <w:lang w:val="en-US" w:eastAsia="zh-CN"/>
        </w:rPr>
        <w:t>7</w:t>
      </w:r>
      <w:r>
        <w:rPr>
          <w:rFonts w:hint="eastAsia"/>
          <w:color w:val="000000"/>
          <w:sz w:val="24"/>
          <w:szCs w:val="24"/>
        </w:rPr>
        <w:t>.投标人所委托承运物流需在招标人进行报备，确保服务质量满足招标要求，未满足招标要求的，招标人有权要求更换承运物流，投标人应赔偿因此给招标人造成的损失。</w:t>
      </w:r>
    </w:p>
    <w:p>
      <w:pPr>
        <w:tabs>
          <w:tab w:val="left" w:pos="918"/>
        </w:tabs>
        <w:ind w:firstLine="480" w:firstLineChars="200"/>
        <w:rPr>
          <w:color w:val="000000"/>
          <w:sz w:val="24"/>
          <w:szCs w:val="24"/>
        </w:rPr>
      </w:pPr>
      <w:r>
        <w:rPr>
          <w:rFonts w:hint="eastAsia"/>
          <w:color w:val="000000"/>
          <w:sz w:val="24"/>
          <w:szCs w:val="24"/>
          <w:lang w:val="en-US" w:eastAsia="zh-CN"/>
        </w:rPr>
        <w:t>8</w:t>
      </w:r>
      <w:r>
        <w:rPr>
          <w:rFonts w:hint="eastAsia"/>
          <w:color w:val="000000"/>
          <w:sz w:val="24"/>
          <w:szCs w:val="24"/>
          <w:lang w:val="en-US"/>
        </w:rPr>
        <w:t>.投标人需提供路由信息，确保物流信息可追溯，未满足招标要求的，招标人</w:t>
      </w:r>
      <w:r>
        <w:rPr>
          <w:rFonts w:hint="eastAsia"/>
          <w:color w:val="000000"/>
          <w:sz w:val="24"/>
          <w:szCs w:val="24"/>
        </w:rPr>
        <w:t>有权要求更换承运物流。</w:t>
      </w:r>
    </w:p>
    <w:p>
      <w:pPr>
        <w:tabs>
          <w:tab w:val="left" w:pos="918"/>
        </w:tabs>
        <w:ind w:firstLine="480" w:firstLineChars="200"/>
        <w:rPr>
          <w:color w:val="000000"/>
          <w:sz w:val="24"/>
          <w:szCs w:val="24"/>
          <w:lang w:val="en-US"/>
        </w:rPr>
      </w:pPr>
      <w:r>
        <w:rPr>
          <w:rFonts w:hint="eastAsia"/>
          <w:color w:val="000000"/>
          <w:sz w:val="24"/>
          <w:szCs w:val="24"/>
          <w:lang w:val="en-US" w:eastAsia="zh-CN"/>
        </w:rPr>
        <w:t>9</w:t>
      </w:r>
      <w:r>
        <w:rPr>
          <w:rFonts w:hint="eastAsia"/>
          <w:color w:val="000000"/>
          <w:sz w:val="24"/>
          <w:szCs w:val="24"/>
          <w:lang w:val="en-US"/>
        </w:rPr>
        <w:t>.投标人须满足中国重汽集团关于进场物流车辆要求，进场物流车辆必须为中国重汽车辆，否则招标人</w:t>
      </w:r>
      <w:r>
        <w:rPr>
          <w:rFonts w:hint="eastAsia"/>
          <w:color w:val="000000"/>
          <w:sz w:val="24"/>
          <w:szCs w:val="24"/>
        </w:rPr>
        <w:t>有权要求更换承运物流，投标人应赔偿因此给招标人造成的损失</w:t>
      </w:r>
      <w:r>
        <w:rPr>
          <w:rFonts w:hint="eastAsia"/>
          <w:color w:val="000000"/>
          <w:sz w:val="24"/>
          <w:szCs w:val="24"/>
          <w:lang w:val="en-US"/>
        </w:rPr>
        <w:t>。</w:t>
      </w:r>
    </w:p>
    <w:p>
      <w:pPr>
        <w:tabs>
          <w:tab w:val="left" w:pos="918"/>
        </w:tabs>
        <w:ind w:firstLine="482" w:firstLineChars="200"/>
        <w:rPr>
          <w:b/>
          <w:bCs/>
          <w:color w:val="000000"/>
          <w:sz w:val="24"/>
          <w:szCs w:val="24"/>
          <w:lang w:val="en-US"/>
        </w:rPr>
      </w:pPr>
      <w:r>
        <w:rPr>
          <w:rFonts w:hint="eastAsia"/>
          <w:b/>
          <w:bCs/>
          <w:color w:val="000000"/>
          <w:sz w:val="24"/>
          <w:szCs w:val="24"/>
          <w:lang w:val="en-US"/>
        </w:rPr>
        <w:t>(</w:t>
      </w:r>
      <w:r>
        <w:rPr>
          <w:rFonts w:hint="eastAsia"/>
          <w:b/>
          <w:bCs/>
          <w:color w:val="000000"/>
          <w:sz w:val="24"/>
          <w:szCs w:val="24"/>
          <w:lang w:val="en-US" w:eastAsia="zh-CN"/>
        </w:rPr>
        <w:t>三</w:t>
      </w:r>
      <w:r>
        <w:rPr>
          <w:rFonts w:hint="eastAsia"/>
          <w:b/>
          <w:bCs/>
          <w:color w:val="000000"/>
          <w:sz w:val="24"/>
          <w:szCs w:val="24"/>
          <w:lang w:val="en-US"/>
        </w:rPr>
        <w:t>)评价标准</w:t>
      </w:r>
    </w:p>
    <w:p>
      <w:pPr>
        <w:pStyle w:val="10"/>
        <w:ind w:firstLine="480" w:firstLineChars="200"/>
        <w:rPr>
          <w:lang w:val="en-US"/>
        </w:rPr>
      </w:pPr>
      <w:r>
        <w:rPr>
          <w:rFonts w:hint="eastAsia"/>
          <w:color w:val="000000"/>
          <w:sz w:val="24"/>
          <w:szCs w:val="24"/>
          <w:lang w:val="en-US"/>
        </w:rPr>
        <w:t>1.评价指标</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（1）出库及时率：此项指标评价物流服务商及时发运金额与应发运总金额的比率。</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（2）货损货差赔付及时率：此项指标评价物流服务商对运输中造成的货损货差按时赔付金额与总金额的比率。</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（3）运输完好率：此项指标评价物流服务商运输送过程中完好到货金额与到货总金额的比率。</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（4）送达及时率：此项指标评价物流服务商运输配件按时到达金额与预计到货总金额的比率。</w:t>
      </w:r>
    </w:p>
    <w:p>
      <w:pPr>
        <w:widowControl/>
        <w:ind w:right="330" w:rightChars="150" w:firstLine="456" w:firstLineChars="200"/>
        <w:rPr>
          <w:rFonts w:asciiTheme="minorEastAsia" w:hAnsiTheme="minorEastAsia" w:eastAsiaTheme="minorEastAsia" w:cstheme="minorEastAsia"/>
          <w:color w:val="000000"/>
          <w:spacing w:val="-6"/>
          <w:sz w:val="24"/>
          <w:szCs w:val="24"/>
          <w:lang w:val="en-US"/>
        </w:rPr>
      </w:pPr>
      <w:r>
        <w:rPr>
          <w:rFonts w:hint="eastAsia" w:asciiTheme="minorEastAsia" w:hAnsiTheme="minorEastAsia" w:eastAsiaTheme="minorEastAsia" w:cstheme="minorEastAsia"/>
          <w:color w:val="000000"/>
          <w:spacing w:val="-6"/>
          <w:sz w:val="24"/>
          <w:szCs w:val="24"/>
        </w:rPr>
        <w:t>（</w:t>
      </w:r>
      <w:r>
        <w:rPr>
          <w:rFonts w:hint="eastAsia" w:asciiTheme="minorEastAsia" w:hAnsiTheme="minorEastAsia" w:eastAsiaTheme="minorEastAsia" w:cstheme="minorEastAsia"/>
          <w:color w:val="000000"/>
          <w:spacing w:val="-6"/>
          <w:sz w:val="24"/>
          <w:szCs w:val="24"/>
          <w:lang w:val="en-US"/>
        </w:rPr>
        <w:t>5</w:t>
      </w:r>
      <w:r>
        <w:rPr>
          <w:rFonts w:hint="eastAsia" w:asciiTheme="minorEastAsia" w:hAnsiTheme="minorEastAsia" w:eastAsiaTheme="minorEastAsia" w:cstheme="minorEastAsia"/>
          <w:color w:val="000000"/>
          <w:spacing w:val="-6"/>
          <w:sz w:val="24"/>
          <w:szCs w:val="24"/>
        </w:rPr>
        <w:t>）</w:t>
      </w:r>
      <w:r>
        <w:rPr>
          <w:rFonts w:hint="eastAsia" w:asciiTheme="minorEastAsia" w:hAnsiTheme="minorEastAsia" w:eastAsiaTheme="minorEastAsia" w:cstheme="minorEastAsia"/>
          <w:color w:val="000000"/>
          <w:sz w:val="24"/>
          <w:szCs w:val="24"/>
          <w:lang w:val="en-US"/>
        </w:rPr>
        <w:t>客户投诉量：此项指标评价区间段内针对每一经销网点对物流服务商投诉数量</w:t>
      </w:r>
      <w:r>
        <w:rPr>
          <w:rFonts w:hint="eastAsia" w:asciiTheme="minorEastAsia" w:hAnsiTheme="minorEastAsia" w:eastAsiaTheme="minorEastAsia" w:cstheme="minorEastAsia"/>
          <w:color w:val="000000"/>
          <w:spacing w:val="-6"/>
          <w:sz w:val="24"/>
          <w:szCs w:val="24"/>
          <w:lang w:val="en-US"/>
        </w:rPr>
        <w:t>。</w:t>
      </w:r>
    </w:p>
    <w:p>
      <w:pPr>
        <w:widowControl/>
        <w:ind w:right="330" w:rightChars="150" w:firstLine="480" w:firstLineChars="200"/>
        <w:rPr>
          <w:rFonts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color w:val="000000"/>
          <w:sz w:val="24"/>
          <w:szCs w:val="24"/>
        </w:rPr>
        <w:t>2.评价</w:t>
      </w:r>
      <w:r>
        <w:rPr>
          <w:rFonts w:hint="eastAsia" w:asciiTheme="minorEastAsia" w:hAnsiTheme="minorEastAsia" w:eastAsiaTheme="minorEastAsia" w:cstheme="minorEastAsia"/>
          <w:bCs/>
          <w:color w:val="000000"/>
          <w:sz w:val="24"/>
          <w:szCs w:val="24"/>
          <w:lang w:val="en-US"/>
        </w:rPr>
        <w:t>管理</w:t>
      </w:r>
    </w:p>
    <w:p>
      <w:pPr>
        <w:widowControl/>
        <w:ind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（1）招标方</w:t>
      </w:r>
      <w:r>
        <w:rPr>
          <w:rFonts w:hint="eastAsia" w:asciiTheme="minorEastAsia" w:hAnsiTheme="minorEastAsia" w:eastAsiaTheme="minorEastAsia" w:cstheme="minorEastAsia"/>
          <w:sz w:val="24"/>
          <w:szCs w:val="24"/>
        </w:rPr>
        <w:t>成立绩效评审小组，</w:t>
      </w:r>
      <w:r>
        <w:rPr>
          <w:rFonts w:hint="eastAsia" w:asciiTheme="minorEastAsia" w:hAnsiTheme="minorEastAsia" w:eastAsiaTheme="minorEastAsia" w:cstheme="minorEastAsia"/>
          <w:color w:val="000000"/>
          <w:sz w:val="24"/>
          <w:szCs w:val="24"/>
          <w:lang w:val="en-US"/>
        </w:rPr>
        <w:t>评价小组每月5日前对上月三方物流服务进行评价。</w:t>
      </w:r>
    </w:p>
    <w:p>
      <w:pPr>
        <w:widowControl/>
        <w:ind w:right="330" w:rightChars="150" w:firstLine="480" w:firstLineChars="200"/>
        <w:rPr>
          <w:rFonts w:asciiTheme="minorEastAsia" w:hAnsiTheme="minorEastAsia" w:eastAsiaTheme="minorEastAsia" w:cstheme="minorEastAsia"/>
          <w:b/>
          <w:color w:val="000000"/>
          <w:sz w:val="24"/>
          <w:szCs w:val="24"/>
          <w:lang w:val="en-US"/>
        </w:rPr>
      </w:pPr>
      <w:r>
        <w:rPr>
          <w:rFonts w:hint="eastAsia" w:asciiTheme="minorEastAsia" w:hAnsiTheme="minorEastAsia" w:eastAsiaTheme="minorEastAsia" w:cstheme="minorEastAsia"/>
          <w:color w:val="000000"/>
          <w:sz w:val="24"/>
          <w:szCs w:val="24"/>
          <w:lang w:val="en-US"/>
        </w:rPr>
        <w:t>（2）评价采用百分制，具体评价指标如下：</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出库及时率：该项指标满分为10分，计算方式为实际出库金额与应出库总金额比值。评价得分=完成比率*分数</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货损货差赔付及时率：该项指标满分为15分，计算方式为七天内货损货差赔付数据与应赔付总金额的比值。</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运输完好率：该项指标满分为15分，计算方式为网点反馈货损货差数据与发运总金额比值。</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按时到达率：该项指标满分为40分，计算方式为实际到货金额与应到货金额比值。</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客户投诉次数：该项指标满分为20分，网点未向招标人投诉得20分，每发生一次有效投诉，减5分。</w:t>
      </w:r>
    </w:p>
    <w:tbl>
      <w:tblPr>
        <w:tblStyle w:val="24"/>
        <w:tblW w:w="9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688"/>
        <w:gridCol w:w="1721"/>
        <w:gridCol w:w="1721"/>
        <w:gridCol w:w="1721"/>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5" w:type="dxa"/>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评价项目</w:t>
            </w:r>
          </w:p>
        </w:tc>
        <w:tc>
          <w:tcPr>
            <w:tcW w:w="1688" w:type="dxa"/>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出库及时率</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赔付及时率</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运输完好率</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按时到达率</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客户投诉率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5" w:type="dxa"/>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评价权重</w:t>
            </w:r>
          </w:p>
        </w:tc>
        <w:tc>
          <w:tcPr>
            <w:tcW w:w="1688" w:type="dxa"/>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10%</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15%</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15%</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40%</w:t>
            </w:r>
          </w:p>
        </w:tc>
        <w:tc>
          <w:tcPr>
            <w:tcW w:w="0" w:type="auto"/>
            <w:tcMar>
              <w:top w:w="0" w:type="dxa"/>
              <w:left w:w="0" w:type="dxa"/>
              <w:bottom w:w="0" w:type="dxa"/>
              <w:right w:w="0" w:type="dxa"/>
            </w:tcMar>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20%</w:t>
            </w:r>
          </w:p>
        </w:tc>
      </w:tr>
    </w:tbl>
    <w:p>
      <w:pPr>
        <w:widowControl/>
        <w:ind w:right="330" w:rightChars="150" w:firstLine="480" w:firstLineChars="200"/>
        <w:rPr>
          <w:rFonts w:asciiTheme="minorEastAsia" w:hAnsiTheme="minorEastAsia" w:eastAsiaTheme="minorEastAsia" w:cstheme="minorEastAsia"/>
          <w:bCs/>
          <w:color w:val="000000"/>
          <w:sz w:val="24"/>
          <w:szCs w:val="24"/>
          <w:lang w:val="en-US"/>
        </w:rPr>
      </w:pPr>
      <w:r>
        <w:rPr>
          <w:rFonts w:hint="eastAsia" w:asciiTheme="minorEastAsia" w:hAnsiTheme="minorEastAsia" w:eastAsiaTheme="minorEastAsia" w:cstheme="minorEastAsia"/>
          <w:bCs/>
          <w:color w:val="000000"/>
          <w:sz w:val="24"/>
          <w:szCs w:val="24"/>
          <w:lang w:val="en-US"/>
        </w:rPr>
        <w:t>3.结果公示</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根据年度及月度最终评价得分，按下表确定第三方物流服务商的服务等级，并将服务等级评定结果备案。</w:t>
      </w:r>
    </w:p>
    <w:tbl>
      <w:tblPr>
        <w:tblStyle w:val="23"/>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660"/>
        <w:gridCol w:w="1610"/>
        <w:gridCol w:w="1680"/>
        <w:gridCol w:w="155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评价得分</w:t>
            </w:r>
          </w:p>
        </w:tc>
        <w:tc>
          <w:tcPr>
            <w:tcW w:w="166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[90,100]</w:t>
            </w:r>
          </w:p>
        </w:tc>
        <w:tc>
          <w:tcPr>
            <w:tcW w:w="161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[80,90)</w:t>
            </w:r>
          </w:p>
        </w:tc>
        <w:tc>
          <w:tcPr>
            <w:tcW w:w="168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[70,80)</w:t>
            </w:r>
          </w:p>
        </w:tc>
        <w:tc>
          <w:tcPr>
            <w:tcW w:w="155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[60,70)</w:t>
            </w:r>
          </w:p>
        </w:tc>
        <w:tc>
          <w:tcPr>
            <w:tcW w:w="174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7"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服务等级</w:t>
            </w:r>
          </w:p>
        </w:tc>
        <w:tc>
          <w:tcPr>
            <w:tcW w:w="166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S级</w:t>
            </w:r>
          </w:p>
        </w:tc>
        <w:tc>
          <w:tcPr>
            <w:tcW w:w="161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A级</w:t>
            </w:r>
          </w:p>
        </w:tc>
        <w:tc>
          <w:tcPr>
            <w:tcW w:w="168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B级</w:t>
            </w:r>
          </w:p>
        </w:tc>
        <w:tc>
          <w:tcPr>
            <w:tcW w:w="155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C级</w:t>
            </w:r>
          </w:p>
        </w:tc>
        <w:tc>
          <w:tcPr>
            <w:tcW w:w="1740" w:type="dxa"/>
            <w:vAlign w:val="center"/>
          </w:tcPr>
          <w:p>
            <w:pPr>
              <w:widowControl/>
              <w:spacing w:line="360" w:lineRule="auto"/>
              <w:ind w:right="330" w:rightChars="150"/>
              <w:jc w:val="center"/>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D级</w:t>
            </w:r>
          </w:p>
        </w:tc>
      </w:tr>
    </w:tbl>
    <w:p>
      <w:pPr>
        <w:widowControl/>
        <w:ind w:right="330" w:rightChars="150" w:firstLine="456" w:firstLineChars="200"/>
        <w:rPr>
          <w:rFonts w:asciiTheme="minorEastAsia" w:hAnsiTheme="minorEastAsia" w:eastAsiaTheme="minorEastAsia" w:cstheme="minorEastAsia"/>
          <w:bCs/>
          <w:color w:val="000000"/>
          <w:spacing w:val="-6"/>
          <w:sz w:val="24"/>
          <w:szCs w:val="24"/>
          <w:highlight w:val="yellow"/>
        </w:rPr>
      </w:pPr>
      <w:r>
        <w:rPr>
          <w:rFonts w:hint="eastAsia" w:asciiTheme="minorEastAsia" w:hAnsiTheme="minorEastAsia" w:eastAsiaTheme="minorEastAsia" w:cstheme="minorEastAsia"/>
          <w:bCs/>
          <w:color w:val="000000"/>
          <w:spacing w:val="-6"/>
          <w:sz w:val="24"/>
          <w:szCs w:val="24"/>
          <w:lang w:val="en-US"/>
        </w:rPr>
        <w:t>4.</w:t>
      </w:r>
      <w:r>
        <w:rPr>
          <w:rFonts w:hint="eastAsia" w:asciiTheme="minorEastAsia" w:hAnsiTheme="minorEastAsia" w:eastAsiaTheme="minorEastAsia" w:cstheme="minorEastAsia"/>
          <w:bCs/>
          <w:color w:val="000000"/>
          <w:spacing w:val="-6"/>
          <w:sz w:val="24"/>
          <w:szCs w:val="24"/>
        </w:rPr>
        <w:t>评价</w:t>
      </w:r>
      <w:r>
        <w:rPr>
          <w:rFonts w:hint="eastAsia" w:asciiTheme="minorEastAsia" w:hAnsiTheme="minorEastAsia" w:eastAsiaTheme="minorEastAsia" w:cstheme="minorEastAsia"/>
          <w:bCs/>
          <w:color w:val="000000"/>
          <w:spacing w:val="-6"/>
          <w:sz w:val="24"/>
          <w:szCs w:val="24"/>
          <w:lang w:val="en-US"/>
        </w:rPr>
        <w:t>及</w:t>
      </w:r>
      <w:r>
        <w:rPr>
          <w:rFonts w:hint="eastAsia" w:asciiTheme="minorEastAsia" w:hAnsiTheme="minorEastAsia" w:eastAsiaTheme="minorEastAsia" w:cstheme="minorEastAsia"/>
          <w:bCs/>
          <w:color w:val="000000"/>
          <w:spacing w:val="-6"/>
          <w:sz w:val="24"/>
          <w:szCs w:val="24"/>
        </w:rPr>
        <w:t>考核</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（1）月度评分评价</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 xml:space="preserve"> 每月1日（节假日顺延），招标方将出库及时率、按时完成率、到货数据进行统计，结合网点提报的货损货差及服务投诉对物流服务商月度表现进行评价，并于每月3日前将初步评价抄送各物流服务商。</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物流服务商可对评价指标公示结果进行异议申诉，在提供相应证明后，招标方对于评价指标给与调整。</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招标方每月5日前将上月各物流运输服务商完成情况进行评级及公示。</w:t>
      </w:r>
    </w:p>
    <w:p>
      <w:pPr>
        <w:widowControl/>
        <w:ind w:right="330" w:rightChars="150" w:firstLine="480" w:firstLineChars="200"/>
        <w:rPr>
          <w:rFonts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rPr>
        <w:t>（2）评价等级</w:t>
      </w:r>
    </w:p>
    <w:p>
      <w:pPr>
        <w:widowControl/>
        <w:ind w:right="330" w:rightChars="150" w:firstLine="480" w:firstLineChars="200"/>
        <w:rPr>
          <w:rFonts w:asciiTheme="minorEastAsia" w:hAnsiTheme="minorEastAsia" w:eastAsiaTheme="minorEastAsia" w:cstheme="minorEastAsia"/>
          <w:color w:val="auto"/>
          <w:sz w:val="24"/>
          <w:szCs w:val="24"/>
          <w:lang w:val="en-US"/>
        </w:rPr>
      </w:pPr>
      <w:r>
        <w:rPr>
          <w:rFonts w:hint="eastAsia" w:ascii="Calibri" w:hAnsi="Calibri" w:cs="Calibri" w:eastAsia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rPr>
        <w:t>月度被评服务等级为S级的第三方物流服务商，次月增加业务范围并予以专项奖励。</w:t>
      </w:r>
    </w:p>
    <w:p>
      <w:pPr>
        <w:widowControl/>
        <w:ind w:right="330" w:rightChars="150" w:firstLine="480" w:firstLineChars="200"/>
        <w:rPr>
          <w:rFonts w:asciiTheme="minorEastAsia" w:hAnsiTheme="minorEastAsia" w:eastAsiaTheme="minorEastAsia" w:cstheme="minorEastAsia"/>
          <w:color w:val="auto"/>
          <w:sz w:val="24"/>
          <w:szCs w:val="24"/>
          <w:lang w:val="en-US"/>
        </w:rPr>
      </w:pPr>
      <w:r>
        <w:rPr>
          <w:rFonts w:hint="eastAsia" w:ascii="Calibri" w:hAnsi="Calibri" w:cs="Calibri" w:eastAsia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rPr>
        <w:t>月度被评服务等级为A级的第三方物流服务商，次月专项奖励。</w:t>
      </w:r>
    </w:p>
    <w:p>
      <w:pPr>
        <w:widowControl/>
        <w:ind w:right="330" w:rightChars="150" w:firstLine="480" w:firstLineChars="200"/>
        <w:rPr>
          <w:rFonts w:asciiTheme="minorEastAsia" w:hAnsiTheme="minorEastAsia" w:eastAsiaTheme="minorEastAsia" w:cstheme="minorEastAsia"/>
          <w:color w:val="auto"/>
          <w:sz w:val="24"/>
          <w:szCs w:val="24"/>
          <w:lang w:val="en-US"/>
        </w:rPr>
      </w:pPr>
      <w:r>
        <w:rPr>
          <w:rFonts w:hint="eastAsia" w:cs="宋体"/>
          <w:color w:val="auto"/>
          <w:sz w:val="24"/>
          <w:szCs w:val="24"/>
          <w:lang w:val="en-US" w:eastAsia="zh-CN"/>
        </w:rPr>
        <w:t>3.</w:t>
      </w:r>
      <w:r>
        <w:rPr>
          <w:rFonts w:hint="eastAsia" w:asciiTheme="minorEastAsia" w:hAnsiTheme="minorEastAsia" w:eastAsiaTheme="minorEastAsia" w:cstheme="minorEastAsia"/>
          <w:color w:val="auto"/>
          <w:sz w:val="24"/>
          <w:szCs w:val="24"/>
          <w:lang w:val="en-US"/>
        </w:rPr>
        <w:t>月度被评服务等级为B级的第三方物流服务商，单月考核1万元，不允许扩大业务范围。</w:t>
      </w:r>
    </w:p>
    <w:p>
      <w:pPr>
        <w:widowControl/>
        <w:ind w:right="330" w:rightChars="150" w:firstLine="480" w:firstLineChars="200"/>
        <w:rPr>
          <w:rFonts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rPr>
        <w:t>月度被评服务等级为C级的第三方物流服务商，当月考核3万元，并限期一个月整改，整</w:t>
      </w:r>
      <w:bookmarkStart w:id="32" w:name="_GoBack"/>
      <w:bookmarkEnd w:id="32"/>
      <w:r>
        <w:rPr>
          <w:rFonts w:hint="eastAsia" w:asciiTheme="minorEastAsia" w:hAnsiTheme="minorEastAsia" w:eastAsiaTheme="minorEastAsia" w:cstheme="minorEastAsia"/>
          <w:color w:val="auto"/>
          <w:sz w:val="24"/>
          <w:szCs w:val="24"/>
          <w:lang w:val="en-US"/>
        </w:rPr>
        <w:t>改后复评仍为C级的第三方物流服务商，次月进行清退并备案。</w:t>
      </w:r>
    </w:p>
    <w:p>
      <w:pPr>
        <w:tabs>
          <w:tab w:val="left" w:pos="626"/>
        </w:tabs>
        <w:ind w:firstLine="480" w:firstLineChars="200"/>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rPr>
        <w:t>月度被评服务等级为D级的第三方物流服务商，次月予以清退并备案。</w:t>
      </w:r>
    </w:p>
    <w:p>
      <w:pPr>
        <w:tabs>
          <w:tab w:val="left" w:pos="626"/>
        </w:tabs>
        <w:ind w:firstLine="480" w:firstLineChars="200"/>
        <w:rPr>
          <w:rFonts w:hint="eastAsia" w:asciiTheme="minorEastAsia" w:hAnsiTheme="minorEastAsia" w:eastAsiaTheme="minorEastAsia" w:cstheme="minorEastAsia"/>
          <w:color w:val="000000"/>
          <w:sz w:val="24"/>
          <w:szCs w:val="24"/>
          <w:lang w:val="en-US"/>
        </w:rPr>
      </w:pPr>
    </w:p>
    <w:p>
      <w:pPr>
        <w:tabs>
          <w:tab w:val="left" w:pos="626"/>
        </w:tabs>
        <w:ind w:firstLine="643" w:firstLineChars="200"/>
        <w:rPr>
          <w:rFonts w:hint="eastAsia" w:cs="宋体"/>
          <w:b/>
          <w:sz w:val="32"/>
          <w:szCs w:val="32"/>
          <w:lang w:val="en-US" w:eastAsia="zh-CN"/>
        </w:rPr>
      </w:pPr>
      <w:r>
        <w:rPr>
          <w:rFonts w:hint="eastAsia" w:cs="宋体"/>
          <w:b/>
          <w:sz w:val="32"/>
          <w:szCs w:val="32"/>
          <w:lang w:val="en-US" w:eastAsia="zh-CN"/>
        </w:rPr>
        <w:t>二、潍柴项目</w:t>
      </w:r>
      <w:r>
        <w:rPr>
          <w:rFonts w:hint="eastAsia" w:ascii="宋体" w:hAnsi="宋体" w:eastAsia="宋体" w:cs="宋体"/>
          <w:b/>
          <w:sz w:val="32"/>
          <w:szCs w:val="32"/>
          <w:lang w:val="en-US" w:eastAsia="zh-CN"/>
        </w:rPr>
        <w:t>停车调件业务</w:t>
      </w:r>
      <w:r>
        <w:rPr>
          <w:rFonts w:hint="eastAsia" w:ascii="宋体" w:hAnsi="宋体" w:eastAsia="宋体" w:cs="宋体"/>
          <w:b/>
          <w:sz w:val="32"/>
          <w:szCs w:val="32"/>
          <w:lang w:val="en-US"/>
        </w:rPr>
        <w:t>物流运输技术</w:t>
      </w:r>
      <w:r>
        <w:rPr>
          <w:rFonts w:hint="eastAsia" w:cs="宋体"/>
          <w:b/>
          <w:sz w:val="32"/>
          <w:szCs w:val="32"/>
          <w:lang w:val="en-US" w:eastAsia="zh-CN"/>
        </w:rPr>
        <w:t>要求</w:t>
      </w:r>
    </w:p>
    <w:p>
      <w:pPr>
        <w:tabs>
          <w:tab w:val="left" w:pos="626"/>
        </w:tabs>
        <w:ind w:firstLine="482" w:firstLineChars="200"/>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投标文件计量单位</w:t>
      </w:r>
    </w:p>
    <w:p>
      <w:pPr>
        <w:pStyle w:val="97"/>
        <w:ind w:firstLine="720" w:firstLineChars="300"/>
        <w:rPr>
          <w:rFonts w:hint="eastAsia"/>
        </w:rPr>
      </w:pPr>
      <w:r>
        <w:rPr>
          <w:rFonts w:hint="eastAsia"/>
        </w:rPr>
        <w:t>投标文件中所使用的计量单位，除招标文件中有特殊要求外，应采用国家法定计量单位。</w:t>
      </w:r>
    </w:p>
    <w:p>
      <w:pPr>
        <w:pStyle w:val="97"/>
        <w:ind w:firstLine="480"/>
        <w:rPr>
          <w:rFonts w:hint="eastAsia"/>
          <w:b/>
          <w:bCs/>
        </w:rPr>
      </w:pPr>
      <w:r>
        <w:rPr>
          <w:rFonts w:hint="eastAsia"/>
          <w:b/>
          <w:bCs/>
          <w:lang w:eastAsia="zh-CN"/>
        </w:rPr>
        <w:t>（</w:t>
      </w:r>
      <w:r>
        <w:rPr>
          <w:rFonts w:hint="eastAsia"/>
          <w:b/>
          <w:bCs/>
          <w:lang w:val="en-US" w:eastAsia="zh-CN"/>
        </w:rPr>
        <w:t>二</w:t>
      </w:r>
      <w:r>
        <w:rPr>
          <w:rFonts w:hint="eastAsia"/>
          <w:b/>
          <w:bCs/>
          <w:lang w:eastAsia="zh-CN"/>
        </w:rPr>
        <w:t>）工作地点</w:t>
      </w:r>
      <w:r>
        <w:rPr>
          <w:b/>
          <w:bCs/>
        </w:rPr>
        <w:t xml:space="preserve"> </w:t>
      </w:r>
    </w:p>
    <w:p>
      <w:pPr>
        <w:pStyle w:val="97"/>
        <w:ind w:firstLine="600" w:firstLineChars="250"/>
      </w:pPr>
      <w:r>
        <w:rPr>
          <w:rFonts w:hint="eastAsia"/>
        </w:rPr>
        <w:t>1</w:t>
      </w:r>
      <w:r>
        <w:rPr>
          <w:rFonts w:hint="eastAsia"/>
          <w:lang w:val="en-US" w:eastAsia="zh-CN"/>
        </w:rPr>
        <w:t>.</w:t>
      </w:r>
      <w:r>
        <w:rPr>
          <w:rFonts w:hint="eastAsia"/>
        </w:rPr>
        <w:t>三包</w:t>
      </w:r>
      <w:r>
        <w:t>、加急订单配件快递配送服务工作地点为扬州</w:t>
      </w:r>
      <w:r>
        <w:rPr>
          <w:rFonts w:hint="eastAsia"/>
        </w:rPr>
        <w:t>。</w:t>
      </w:r>
    </w:p>
    <w:p>
      <w:pPr>
        <w:pStyle w:val="97"/>
        <w:ind w:firstLine="600" w:firstLineChars="250"/>
        <w:rPr>
          <w:rFonts w:hint="eastAsia" w:eastAsia="宋体"/>
          <w:bCs/>
          <w:color w:val="000000"/>
          <w:lang w:val="en-US" w:eastAsia="zh-CN"/>
        </w:rPr>
      </w:pPr>
      <w:r>
        <w:rPr>
          <w:rFonts w:hint="eastAsia"/>
        </w:rPr>
        <w:t>2</w:t>
      </w:r>
      <w:r>
        <w:rPr>
          <w:rFonts w:hint="eastAsia"/>
          <w:lang w:val="en-US" w:eastAsia="zh-CN"/>
        </w:rPr>
        <w:t>.</w:t>
      </w:r>
      <w:r>
        <w:rPr>
          <w:rFonts w:hint="eastAsia"/>
          <w:bCs/>
          <w:color w:val="000000"/>
        </w:rPr>
        <w:t>各中心库</w:t>
      </w:r>
      <w:r>
        <w:rPr>
          <w:bCs/>
          <w:color w:val="000000"/>
        </w:rPr>
        <w:t>所在地</w:t>
      </w:r>
      <w:r>
        <w:rPr>
          <w:rFonts w:hint="eastAsia"/>
          <w:bCs/>
          <w:color w:val="000000"/>
        </w:rPr>
        <w:t>至覆盖服务</w:t>
      </w:r>
      <w:r>
        <w:rPr>
          <w:bCs/>
          <w:color w:val="000000"/>
        </w:rPr>
        <w:t>站</w:t>
      </w:r>
      <w:r>
        <w:rPr>
          <w:rFonts w:hint="eastAsia"/>
          <w:bCs/>
          <w:color w:val="000000"/>
        </w:rPr>
        <w:t>、</w:t>
      </w:r>
      <w:r>
        <w:rPr>
          <w:bCs/>
          <w:color w:val="000000"/>
        </w:rPr>
        <w:t>销售</w:t>
      </w:r>
      <w:r>
        <w:rPr>
          <w:rFonts w:hint="eastAsia"/>
          <w:bCs/>
          <w:color w:val="000000"/>
        </w:rPr>
        <w:t>门店</w:t>
      </w:r>
      <w:r>
        <w:rPr>
          <w:bCs/>
          <w:color w:val="000000"/>
        </w:rPr>
        <w:t>等</w:t>
      </w:r>
      <w:r>
        <w:rPr>
          <w:rFonts w:hint="eastAsia"/>
          <w:bCs/>
          <w:color w:val="000000"/>
        </w:rPr>
        <w:t>调件配送</w:t>
      </w:r>
      <w:r>
        <w:rPr>
          <w:bCs/>
          <w:color w:val="000000"/>
        </w:rPr>
        <w:t>业务</w:t>
      </w:r>
      <w:r>
        <w:rPr>
          <w:rFonts w:hint="eastAsia"/>
          <w:bCs/>
          <w:color w:val="000000"/>
        </w:rPr>
        <w:t>工作地点详见附表3</w:t>
      </w:r>
      <w:r>
        <w:rPr>
          <w:rFonts w:hint="eastAsia"/>
          <w:bCs/>
          <w:color w:val="000000"/>
          <w:lang w:val="en-US" w:eastAsia="zh-CN"/>
        </w:rPr>
        <w:t>。</w:t>
      </w:r>
    </w:p>
    <w:p>
      <w:pPr>
        <w:pStyle w:val="97"/>
        <w:ind w:firstLine="602" w:firstLineChars="250"/>
        <w:rPr>
          <w:rFonts w:hint="eastAsia"/>
          <w:b/>
          <w:bCs/>
          <w:lang w:eastAsia="zh-CN"/>
        </w:rPr>
      </w:pPr>
      <w:r>
        <w:rPr>
          <w:rFonts w:hint="eastAsia"/>
          <w:b/>
          <w:bCs/>
          <w:lang w:eastAsia="zh-CN"/>
        </w:rPr>
        <w:t>（三）</w:t>
      </w:r>
      <w:r>
        <w:rPr>
          <w:rFonts w:hint="eastAsia" w:ascii="宋体" w:hAnsi="宋体" w:eastAsia="宋体" w:cs="宋体"/>
          <w:b/>
          <w:bCs/>
          <w:sz w:val="24"/>
          <w:szCs w:val="24"/>
        </w:rPr>
        <w:t>三包、加急配送</w:t>
      </w:r>
      <w:r>
        <w:rPr>
          <w:rFonts w:hint="eastAsia"/>
          <w:b/>
          <w:bCs/>
          <w:lang w:eastAsia="zh-CN"/>
        </w:rPr>
        <w:t>服务内容</w:t>
      </w:r>
    </w:p>
    <w:p>
      <w:pPr>
        <w:pStyle w:val="97"/>
        <w:ind w:left="480" w:leftChars="218"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主要为三包、加急订单的快递、零担业务。特急订单指定发特快（航空）的时效要求平均为1天。普通快递和零担运输要求平均时效为3天。目的地大部分集中在全国各地级市，小部分在县级市，极少数在乡镇。</w:t>
      </w:r>
    </w:p>
    <w:p>
      <w:pPr>
        <w:pStyle w:val="97"/>
        <w:ind w:left="480" w:leftChars="218" w:firstLine="480" w:firstLineChars="20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扬州：三包订单年运输量4000次，运费40万/年</w:t>
      </w:r>
      <w:r>
        <w:rPr>
          <w:rFonts w:hint="eastAsia" w:ascii="宋体" w:hAnsi="宋体" w:eastAsia="宋体" w:cs="宋体"/>
          <w:sz w:val="24"/>
          <w:szCs w:val="24"/>
        </w:rPr>
        <w:t>，</w:t>
      </w:r>
      <w:r>
        <w:rPr>
          <w:rFonts w:hint="eastAsia" w:ascii="宋体" w:hAnsi="宋体" w:eastAsia="宋体" w:cs="宋体"/>
          <w:kern w:val="0"/>
          <w:sz w:val="24"/>
          <w:szCs w:val="24"/>
        </w:rPr>
        <w:t>业务范围详见</w:t>
      </w:r>
      <w:r>
        <w:rPr>
          <w:rFonts w:hint="eastAsia" w:cs="宋体"/>
          <w:kern w:val="0"/>
          <w:sz w:val="24"/>
          <w:szCs w:val="24"/>
          <w:lang w:eastAsia="zh-CN"/>
        </w:rPr>
        <w:t>：</w:t>
      </w:r>
      <w:r>
        <w:t>投标文件格式要求</w:t>
      </w:r>
      <w:r>
        <w:rPr>
          <w:rFonts w:hint="eastAsia"/>
          <w:lang w:val="en-US" w:eastAsia="zh-CN"/>
        </w:rPr>
        <w:t>格式3</w:t>
      </w:r>
      <w:r>
        <w:rPr>
          <w:rFonts w:hint="eastAsia" w:ascii="宋体" w:hAnsi="宋体" w:eastAsia="宋体" w:cs="宋体"/>
          <w:kern w:val="0"/>
          <w:sz w:val="24"/>
          <w:szCs w:val="24"/>
        </w:rPr>
        <w:t>。因加急订单为到付，未统计运费信息。</w:t>
      </w:r>
    </w:p>
    <w:p>
      <w:pPr>
        <w:pStyle w:val="97"/>
        <w:ind w:left="480" w:leftChars="218" w:firstLine="480" w:firstLineChars="200"/>
        <w:rPr>
          <w:rFonts w:hint="eastAsia" w:ascii="宋体" w:hAnsi="宋体"/>
          <w:szCs w:val="24"/>
        </w:rPr>
      </w:pPr>
      <w:r>
        <w:rPr>
          <w:rFonts w:hint="eastAsia" w:cs="宋体"/>
          <w:kern w:val="0"/>
          <w:sz w:val="24"/>
          <w:szCs w:val="24"/>
          <w:lang w:val="en-US" w:eastAsia="zh-CN"/>
        </w:rPr>
        <w:t>2.</w:t>
      </w:r>
      <w:r>
        <w:rPr>
          <w:rFonts w:hint="eastAsia" w:ascii="宋体" w:hAnsi="宋体"/>
          <w:szCs w:val="24"/>
        </w:rPr>
        <w:t>主要为中心库发往所辖服务站、</w:t>
      </w:r>
      <w:r>
        <w:rPr>
          <w:rFonts w:ascii="宋体" w:hAnsi="宋体"/>
          <w:szCs w:val="24"/>
        </w:rPr>
        <w:t>销售</w:t>
      </w:r>
      <w:r>
        <w:rPr>
          <w:rFonts w:hint="eastAsia" w:ascii="宋体" w:hAnsi="宋体"/>
          <w:szCs w:val="24"/>
        </w:rPr>
        <w:t>门店</w:t>
      </w:r>
      <w:r>
        <w:rPr>
          <w:rFonts w:ascii="宋体" w:hAnsi="宋体"/>
          <w:szCs w:val="24"/>
        </w:rPr>
        <w:t>等</w:t>
      </w:r>
      <w:r>
        <w:rPr>
          <w:rFonts w:hint="eastAsia" w:ascii="宋体" w:hAnsi="宋体"/>
          <w:szCs w:val="24"/>
        </w:rPr>
        <w:t>用件的快递</w:t>
      </w:r>
      <w:r>
        <w:rPr>
          <w:rFonts w:ascii="宋体" w:hAnsi="宋体"/>
          <w:szCs w:val="24"/>
        </w:rPr>
        <w:t>、零担</w:t>
      </w:r>
      <w:r>
        <w:rPr>
          <w:rFonts w:hint="eastAsia" w:ascii="宋体" w:hAnsi="宋体"/>
          <w:szCs w:val="24"/>
        </w:rPr>
        <w:t>业务。</w:t>
      </w:r>
      <w:r>
        <w:rPr>
          <w:rFonts w:ascii="宋体" w:hAnsi="宋体"/>
          <w:szCs w:val="24"/>
        </w:rPr>
        <w:t>特急</w:t>
      </w:r>
      <w:r>
        <w:rPr>
          <w:rFonts w:hint="eastAsia" w:ascii="宋体" w:hAnsi="宋体"/>
          <w:szCs w:val="24"/>
        </w:rPr>
        <w:t>件</w:t>
      </w:r>
      <w:r>
        <w:rPr>
          <w:rFonts w:ascii="宋体" w:hAnsi="宋体"/>
          <w:szCs w:val="24"/>
        </w:rPr>
        <w:t>要求配送时效为1</w:t>
      </w:r>
      <w:r>
        <w:rPr>
          <w:rFonts w:hint="eastAsia" w:ascii="宋体" w:hAnsi="宋体"/>
          <w:szCs w:val="24"/>
        </w:rPr>
        <w:t>天</w:t>
      </w:r>
      <w:r>
        <w:rPr>
          <w:rFonts w:ascii="宋体" w:hAnsi="宋体"/>
          <w:szCs w:val="24"/>
        </w:rPr>
        <w:t>内，普通快递和零担运输要求时效</w:t>
      </w:r>
      <w:r>
        <w:rPr>
          <w:rFonts w:hint="eastAsia" w:ascii="宋体" w:hAnsi="宋体"/>
          <w:szCs w:val="24"/>
        </w:rPr>
        <w:t>为</w:t>
      </w:r>
      <w:r>
        <w:rPr>
          <w:rFonts w:ascii="宋体" w:hAnsi="宋体"/>
          <w:szCs w:val="24"/>
        </w:rPr>
        <w:t>2</w:t>
      </w:r>
      <w:r>
        <w:rPr>
          <w:rFonts w:hint="eastAsia" w:ascii="宋体" w:hAnsi="宋体"/>
          <w:szCs w:val="24"/>
        </w:rPr>
        <w:t>天内</w:t>
      </w:r>
      <w:r>
        <w:rPr>
          <w:rFonts w:ascii="宋体" w:hAnsi="宋体"/>
          <w:szCs w:val="24"/>
        </w:rPr>
        <w:t>。目的地</w:t>
      </w:r>
      <w:r>
        <w:rPr>
          <w:rFonts w:hint="eastAsia" w:ascii="宋体" w:hAnsi="宋体"/>
          <w:szCs w:val="24"/>
        </w:rPr>
        <w:t>集中在</w:t>
      </w:r>
      <w:r>
        <w:rPr>
          <w:rFonts w:ascii="宋体" w:hAnsi="宋体"/>
          <w:szCs w:val="24"/>
        </w:rPr>
        <w:t>中心库所在省市</w:t>
      </w:r>
      <w:r>
        <w:rPr>
          <w:rFonts w:hint="eastAsia" w:ascii="宋体" w:hAnsi="宋体"/>
          <w:szCs w:val="24"/>
        </w:rPr>
        <w:t>。</w:t>
      </w:r>
    </w:p>
    <w:p>
      <w:pPr>
        <w:pStyle w:val="97"/>
        <w:numPr>
          <w:ilvl w:val="0"/>
          <w:numId w:val="7"/>
        </w:numPr>
        <w:rPr>
          <w:rFonts w:hint="eastAsia" w:ascii="宋体" w:hAnsi="宋体"/>
          <w:b/>
          <w:sz w:val="24"/>
          <w:szCs w:val="24"/>
        </w:rPr>
      </w:pPr>
      <w:r>
        <w:rPr>
          <w:rFonts w:hint="eastAsia" w:ascii="宋体" w:hAnsi="宋体"/>
          <w:b/>
          <w:sz w:val="24"/>
          <w:szCs w:val="24"/>
        </w:rPr>
        <w:t>服务要求</w:t>
      </w:r>
    </w:p>
    <w:p>
      <w:pPr>
        <w:pStyle w:val="97"/>
        <w:keepNext w:val="0"/>
        <w:keepLines w:val="0"/>
        <w:pageBreakBefore w:val="0"/>
        <w:widowControl w:val="0"/>
        <w:kinsoku/>
        <w:wordWrap/>
        <w:overflowPunct/>
        <w:topLinePunct w:val="0"/>
        <w:autoSpaceDE w:val="0"/>
        <w:autoSpaceDN w:val="0"/>
        <w:bidi w:val="0"/>
        <w:adjustRightInd/>
        <w:snapToGrid/>
        <w:ind w:left="482" w:hanging="482" w:hangingChars="200"/>
        <w:textAlignment w:val="auto"/>
        <w:rPr>
          <w:rFonts w:ascii="宋体" w:hAnsi="宋体"/>
          <w:sz w:val="24"/>
          <w:szCs w:val="24"/>
        </w:rPr>
      </w:pPr>
      <w:r>
        <w:rPr>
          <w:rFonts w:hint="eastAsia"/>
          <w:b/>
          <w:sz w:val="24"/>
          <w:szCs w:val="24"/>
          <w:lang w:val="en-US" w:eastAsia="zh-CN"/>
        </w:rPr>
        <w:t xml:space="preserve">    </w:t>
      </w:r>
      <w:r>
        <w:rPr>
          <w:rFonts w:ascii="宋体" w:hAnsi="宋体"/>
          <w:b/>
          <w:sz w:val="24"/>
          <w:szCs w:val="24"/>
        </w:rPr>
        <w:t xml:space="preserve">1 </w:t>
      </w:r>
      <w:r>
        <w:rPr>
          <w:rFonts w:hint="eastAsia"/>
          <w:b/>
          <w:sz w:val="24"/>
          <w:szCs w:val="24"/>
          <w:lang w:val="en-US" w:eastAsia="zh-CN"/>
        </w:rPr>
        <w:t>.</w:t>
      </w:r>
      <w:r>
        <w:rPr>
          <w:rFonts w:hint="eastAsia" w:ascii="宋体" w:hAnsi="宋体"/>
          <w:sz w:val="24"/>
          <w:szCs w:val="24"/>
        </w:rPr>
        <w:t>配送</w:t>
      </w:r>
      <w:r>
        <w:rPr>
          <w:rFonts w:ascii="宋体" w:hAnsi="宋体"/>
          <w:sz w:val="24"/>
          <w:szCs w:val="24"/>
        </w:rPr>
        <w:t>网点覆盖</w:t>
      </w:r>
      <w:r>
        <w:rPr>
          <w:rFonts w:hint="eastAsia" w:ascii="宋体" w:hAnsi="宋体"/>
          <w:sz w:val="24"/>
          <w:szCs w:val="24"/>
        </w:rPr>
        <w:t>到县级市</w:t>
      </w:r>
      <w:r>
        <w:rPr>
          <w:rFonts w:ascii="宋体" w:hAnsi="宋体"/>
          <w:sz w:val="24"/>
          <w:szCs w:val="24"/>
        </w:rPr>
        <w:t>，</w:t>
      </w:r>
      <w:r>
        <w:rPr>
          <w:rFonts w:hint="eastAsia" w:ascii="宋体" w:hAnsi="宋体"/>
          <w:sz w:val="24"/>
          <w:szCs w:val="24"/>
        </w:rPr>
        <w:t>按照规定的时间内，将货物运送到指定的地点，</w:t>
      </w:r>
      <w:r>
        <w:rPr>
          <w:rFonts w:ascii="宋体" w:hAnsi="宋体"/>
          <w:sz w:val="24"/>
          <w:szCs w:val="24"/>
        </w:rPr>
        <w:t>提供门到门服务</w:t>
      </w:r>
      <w:r>
        <w:rPr>
          <w:rFonts w:hint="eastAsia" w:ascii="宋体" w:hAnsi="宋体"/>
          <w:sz w:val="24"/>
          <w:szCs w:val="24"/>
        </w:rPr>
        <w:t>，并提前向收货人发出收货通知，</w:t>
      </w:r>
      <w:r>
        <w:rPr>
          <w:rFonts w:ascii="宋体" w:hAnsi="宋体"/>
          <w:sz w:val="24"/>
          <w:szCs w:val="24"/>
        </w:rPr>
        <w:t>不允许私自更改到站地址</w:t>
      </w:r>
      <w:r>
        <w:rPr>
          <w:rFonts w:hint="eastAsia" w:ascii="宋体" w:hAnsi="宋体"/>
          <w:sz w:val="24"/>
          <w:szCs w:val="24"/>
        </w:rPr>
        <w:t>。</w:t>
      </w:r>
    </w:p>
    <w:p>
      <w:pPr>
        <w:pStyle w:val="97"/>
        <w:keepNext w:val="0"/>
        <w:keepLines w:val="0"/>
        <w:pageBreakBefore w:val="0"/>
        <w:widowControl w:val="0"/>
        <w:kinsoku/>
        <w:wordWrap/>
        <w:overflowPunct/>
        <w:topLinePunct w:val="0"/>
        <w:autoSpaceDE w:val="0"/>
        <w:autoSpaceDN w:val="0"/>
        <w:bidi w:val="0"/>
        <w:adjustRightInd/>
        <w:snapToGrid/>
        <w:textAlignment w:val="auto"/>
        <w:rPr>
          <w:rFonts w:ascii="宋体" w:hAnsi="宋体"/>
          <w:sz w:val="24"/>
          <w:szCs w:val="24"/>
        </w:rPr>
      </w:pPr>
      <w:r>
        <w:rPr>
          <w:rFonts w:ascii="宋体" w:hAnsi="宋体"/>
          <w:b/>
          <w:sz w:val="24"/>
          <w:szCs w:val="24"/>
        </w:rPr>
        <w:t>2</w:t>
      </w:r>
      <w:r>
        <w:rPr>
          <w:rFonts w:ascii="宋体" w:hAnsi="宋体"/>
          <w:sz w:val="24"/>
          <w:szCs w:val="24"/>
        </w:rPr>
        <w:t xml:space="preserve"> </w:t>
      </w:r>
      <w:r>
        <w:rPr>
          <w:rFonts w:hint="eastAsia"/>
          <w:sz w:val="24"/>
          <w:szCs w:val="24"/>
          <w:lang w:val="en-US" w:eastAsia="zh-CN"/>
        </w:rPr>
        <w:t>.</w:t>
      </w:r>
      <w:r>
        <w:rPr>
          <w:rFonts w:hint="eastAsia" w:ascii="宋体" w:hAnsi="宋体"/>
          <w:sz w:val="24"/>
          <w:szCs w:val="24"/>
        </w:rPr>
        <w:t>对托运货物要负责安全送达，无短缺、无损坏，如有上述问题应负全部赔偿责任。不得随意改变货物包装状态，同一运单必须同一时间到达。</w:t>
      </w:r>
    </w:p>
    <w:p>
      <w:pPr>
        <w:pStyle w:val="97"/>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ascii="宋体" w:hAnsi="宋体"/>
          <w:sz w:val="24"/>
          <w:szCs w:val="24"/>
        </w:rPr>
      </w:pPr>
      <w:r>
        <w:rPr>
          <w:rFonts w:ascii="宋体" w:hAnsi="宋体"/>
          <w:b/>
          <w:sz w:val="24"/>
          <w:szCs w:val="24"/>
        </w:rPr>
        <w:t>3</w:t>
      </w:r>
      <w:r>
        <w:rPr>
          <w:rFonts w:hint="eastAsia"/>
          <w:b/>
          <w:sz w:val="24"/>
          <w:szCs w:val="24"/>
          <w:lang w:val="en-US" w:eastAsia="zh-CN"/>
        </w:rPr>
        <w:t>.</w:t>
      </w:r>
      <w:r>
        <w:rPr>
          <w:rFonts w:hint="eastAsia" w:ascii="宋体" w:hAnsi="宋体"/>
          <w:sz w:val="24"/>
          <w:szCs w:val="24"/>
        </w:rPr>
        <w:t>实现从货物揽收、在途</w:t>
      </w:r>
      <w:r>
        <w:rPr>
          <w:rFonts w:ascii="宋体" w:hAnsi="宋体"/>
          <w:sz w:val="24"/>
          <w:szCs w:val="24"/>
        </w:rPr>
        <w:t>、</w:t>
      </w:r>
      <w:r>
        <w:rPr>
          <w:rFonts w:hint="eastAsia" w:ascii="宋体" w:hAnsi="宋体"/>
          <w:sz w:val="24"/>
          <w:szCs w:val="24"/>
        </w:rPr>
        <w:t>交付及</w:t>
      </w:r>
      <w:r>
        <w:rPr>
          <w:rFonts w:ascii="宋体" w:hAnsi="宋体"/>
          <w:sz w:val="24"/>
          <w:szCs w:val="24"/>
        </w:rPr>
        <w:t>运费结算</w:t>
      </w:r>
      <w:r>
        <w:rPr>
          <w:rFonts w:hint="eastAsia" w:ascii="宋体" w:hAnsi="宋体"/>
          <w:sz w:val="24"/>
          <w:szCs w:val="24"/>
        </w:rPr>
        <w:t>等信息的</w:t>
      </w:r>
      <w:r>
        <w:rPr>
          <w:rFonts w:ascii="宋体" w:hAnsi="宋体"/>
          <w:sz w:val="24"/>
          <w:szCs w:val="24"/>
        </w:rPr>
        <w:t>全程系统管理</w:t>
      </w:r>
      <w:r>
        <w:rPr>
          <w:rFonts w:hint="eastAsia" w:ascii="宋体" w:hAnsi="宋体"/>
          <w:sz w:val="24"/>
          <w:szCs w:val="24"/>
        </w:rPr>
        <w:t>，包括但</w:t>
      </w:r>
      <w:r>
        <w:rPr>
          <w:rFonts w:ascii="宋体" w:hAnsi="宋体"/>
          <w:sz w:val="24"/>
          <w:szCs w:val="24"/>
        </w:rPr>
        <w:t>不限于</w:t>
      </w:r>
      <w:r>
        <w:rPr>
          <w:rFonts w:hint="eastAsia" w:ascii="宋体" w:hAnsi="宋体"/>
          <w:sz w:val="24"/>
          <w:szCs w:val="24"/>
        </w:rPr>
        <w:t>订单信</w:t>
      </w:r>
      <w:r>
        <w:rPr>
          <w:rFonts w:hint="eastAsia"/>
          <w:sz w:val="24"/>
          <w:szCs w:val="24"/>
          <w:lang w:val="en-US" w:eastAsia="zh-CN"/>
        </w:rPr>
        <w:t xml:space="preserve">                    </w:t>
      </w:r>
      <w:r>
        <w:rPr>
          <w:rFonts w:hint="eastAsia" w:ascii="宋体" w:hAnsi="宋体"/>
          <w:sz w:val="24"/>
          <w:szCs w:val="24"/>
        </w:rPr>
        <w:t>息录入</w:t>
      </w:r>
      <w:r>
        <w:rPr>
          <w:rFonts w:ascii="宋体" w:hAnsi="宋体"/>
          <w:sz w:val="24"/>
          <w:szCs w:val="24"/>
        </w:rPr>
        <w:t>、签收、</w:t>
      </w:r>
      <w:r>
        <w:rPr>
          <w:rFonts w:hint="eastAsia" w:ascii="宋体" w:hAnsi="宋体"/>
          <w:sz w:val="24"/>
          <w:szCs w:val="24"/>
        </w:rPr>
        <w:t>车辆</w:t>
      </w:r>
      <w:r>
        <w:rPr>
          <w:rFonts w:ascii="宋体" w:hAnsi="宋体"/>
          <w:sz w:val="24"/>
          <w:szCs w:val="24"/>
        </w:rPr>
        <w:t>实时</w:t>
      </w:r>
      <w:r>
        <w:rPr>
          <w:rFonts w:hint="eastAsia" w:ascii="宋体" w:hAnsi="宋体"/>
          <w:sz w:val="24"/>
          <w:szCs w:val="24"/>
        </w:rPr>
        <w:t>轨迹、运输</w:t>
      </w:r>
      <w:r>
        <w:rPr>
          <w:rFonts w:ascii="宋体" w:hAnsi="宋体"/>
          <w:sz w:val="24"/>
          <w:szCs w:val="24"/>
        </w:rPr>
        <w:t>数据</w:t>
      </w:r>
      <w:r>
        <w:rPr>
          <w:rFonts w:hint="eastAsia" w:ascii="宋体" w:hAnsi="宋体"/>
          <w:sz w:val="24"/>
          <w:szCs w:val="24"/>
        </w:rPr>
        <w:t>统计</w:t>
      </w:r>
      <w:r>
        <w:rPr>
          <w:rFonts w:ascii="宋体" w:hAnsi="宋体"/>
          <w:sz w:val="24"/>
          <w:szCs w:val="24"/>
        </w:rPr>
        <w:t>等</w:t>
      </w:r>
      <w:r>
        <w:rPr>
          <w:rFonts w:hint="eastAsia" w:ascii="宋体" w:hAnsi="宋体"/>
          <w:sz w:val="24"/>
          <w:szCs w:val="24"/>
        </w:rPr>
        <w:t>。客户</w:t>
      </w:r>
      <w:r>
        <w:rPr>
          <w:rFonts w:ascii="宋体" w:hAnsi="宋体"/>
          <w:sz w:val="24"/>
          <w:szCs w:val="24"/>
        </w:rPr>
        <w:t>可通过</w:t>
      </w:r>
      <w:r>
        <w:rPr>
          <w:rFonts w:hint="eastAsia" w:ascii="宋体" w:hAnsi="宋体"/>
          <w:sz w:val="24"/>
          <w:szCs w:val="24"/>
        </w:rPr>
        <w:t>系统</w:t>
      </w:r>
      <w:r>
        <w:rPr>
          <w:rFonts w:ascii="宋体" w:hAnsi="宋体"/>
          <w:sz w:val="24"/>
          <w:szCs w:val="24"/>
        </w:rPr>
        <w:t>、手机</w:t>
      </w:r>
      <w:r>
        <w:rPr>
          <w:rFonts w:hint="eastAsia" w:ascii="宋体" w:hAnsi="宋体"/>
          <w:sz w:val="24"/>
          <w:szCs w:val="24"/>
        </w:rPr>
        <w:t>APP软件</w:t>
      </w:r>
      <w:r>
        <w:rPr>
          <w:rFonts w:ascii="宋体" w:hAnsi="宋体"/>
          <w:sz w:val="24"/>
          <w:szCs w:val="24"/>
        </w:rPr>
        <w:t>等</w:t>
      </w:r>
      <w:r>
        <w:rPr>
          <w:rFonts w:hint="eastAsia" w:ascii="宋体" w:hAnsi="宋体"/>
          <w:sz w:val="24"/>
          <w:szCs w:val="24"/>
        </w:rPr>
        <w:t>获取</w:t>
      </w:r>
      <w:r>
        <w:rPr>
          <w:rFonts w:ascii="宋体" w:hAnsi="宋体"/>
          <w:sz w:val="24"/>
          <w:szCs w:val="24"/>
        </w:rPr>
        <w:t>在途信息</w:t>
      </w:r>
      <w:r>
        <w:rPr>
          <w:rFonts w:hint="eastAsia" w:ascii="宋体" w:hAnsi="宋体"/>
          <w:sz w:val="24"/>
          <w:szCs w:val="24"/>
        </w:rPr>
        <w:t>、</w:t>
      </w:r>
      <w:r>
        <w:rPr>
          <w:rFonts w:ascii="宋体" w:hAnsi="宋体"/>
          <w:sz w:val="24"/>
          <w:szCs w:val="24"/>
        </w:rPr>
        <w:t>预计到货时间等。</w:t>
      </w:r>
    </w:p>
    <w:p>
      <w:pPr>
        <w:pStyle w:val="97"/>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ascii="宋体" w:hAnsi="宋体"/>
          <w:sz w:val="24"/>
          <w:szCs w:val="24"/>
        </w:rPr>
      </w:pPr>
      <w:r>
        <w:rPr>
          <w:rFonts w:ascii="宋体" w:hAnsi="宋体"/>
          <w:b/>
          <w:sz w:val="24"/>
          <w:szCs w:val="24"/>
        </w:rPr>
        <w:t>4</w:t>
      </w:r>
      <w:r>
        <w:rPr>
          <w:rFonts w:hint="eastAsia"/>
          <w:b/>
          <w:sz w:val="24"/>
          <w:szCs w:val="24"/>
          <w:lang w:val="en-US" w:eastAsia="zh-CN"/>
        </w:rPr>
        <w:t>.</w:t>
      </w:r>
      <w:r>
        <w:rPr>
          <w:rFonts w:hint="eastAsia" w:ascii="宋体" w:hAnsi="宋体"/>
          <w:sz w:val="24"/>
          <w:szCs w:val="24"/>
        </w:rPr>
        <w:t>计重标准</w:t>
      </w:r>
      <w:r>
        <w:rPr>
          <w:rFonts w:ascii="宋体" w:hAnsi="宋体"/>
          <w:sz w:val="24"/>
          <w:szCs w:val="24"/>
        </w:rPr>
        <w:t>：</w:t>
      </w:r>
      <w:r>
        <w:rPr>
          <w:rFonts w:hint="eastAsia" w:ascii="宋体" w:hAnsi="宋体"/>
          <w:sz w:val="24"/>
          <w:szCs w:val="24"/>
        </w:rPr>
        <w:t>以</w:t>
      </w:r>
      <w:r>
        <w:rPr>
          <w:rFonts w:ascii="宋体" w:hAnsi="宋体"/>
          <w:sz w:val="24"/>
          <w:szCs w:val="24"/>
        </w:rPr>
        <w:t>实际</w:t>
      </w:r>
      <w:r>
        <w:rPr>
          <w:rFonts w:hint="eastAsia" w:ascii="宋体" w:hAnsi="宋体"/>
          <w:sz w:val="24"/>
          <w:szCs w:val="24"/>
        </w:rPr>
        <w:t>重量</w:t>
      </w:r>
      <w:r>
        <w:rPr>
          <w:rFonts w:ascii="宋体" w:hAnsi="宋体"/>
          <w:sz w:val="24"/>
          <w:szCs w:val="24"/>
        </w:rPr>
        <w:t>为准。</w:t>
      </w:r>
    </w:p>
    <w:p>
      <w:pPr>
        <w:pStyle w:val="97"/>
        <w:keepNext w:val="0"/>
        <w:keepLines w:val="0"/>
        <w:pageBreakBefore w:val="0"/>
        <w:widowControl w:val="0"/>
        <w:kinsoku/>
        <w:wordWrap/>
        <w:overflowPunct/>
        <w:topLinePunct w:val="0"/>
        <w:autoSpaceDE w:val="0"/>
        <w:autoSpaceDN w:val="0"/>
        <w:bidi w:val="0"/>
        <w:adjustRightInd/>
        <w:snapToGrid/>
        <w:ind w:firstLine="482" w:firstLineChars="200"/>
        <w:textAlignment w:val="auto"/>
        <w:rPr>
          <w:rFonts w:ascii="宋体" w:hAnsi="宋体"/>
          <w:sz w:val="24"/>
          <w:szCs w:val="24"/>
        </w:rPr>
      </w:pPr>
      <w:r>
        <w:rPr>
          <w:rFonts w:ascii="宋体" w:hAnsi="宋体"/>
          <w:b/>
          <w:sz w:val="24"/>
          <w:szCs w:val="24"/>
        </w:rPr>
        <w:t>5</w:t>
      </w:r>
      <w:r>
        <w:rPr>
          <w:rFonts w:hint="eastAsia"/>
          <w:b/>
          <w:sz w:val="24"/>
          <w:szCs w:val="24"/>
          <w:lang w:eastAsia="zh-CN"/>
        </w:rPr>
        <w:t>.</w:t>
      </w:r>
      <w:r>
        <w:rPr>
          <w:rFonts w:ascii="宋体" w:hAnsi="宋体"/>
          <w:sz w:val="24"/>
          <w:szCs w:val="24"/>
        </w:rPr>
        <w:t>保密约定</w:t>
      </w:r>
      <w:r>
        <w:rPr>
          <w:rFonts w:hint="eastAsia" w:ascii="宋体" w:hAnsi="宋体"/>
          <w:sz w:val="24"/>
          <w:szCs w:val="24"/>
        </w:rPr>
        <w:t>：承运商</w:t>
      </w:r>
      <w:r>
        <w:rPr>
          <w:rFonts w:ascii="宋体" w:hAnsi="宋体"/>
          <w:sz w:val="24"/>
          <w:szCs w:val="24"/>
        </w:rPr>
        <w:t>有责任对在合作中了解到的有关商业信息（包括</w:t>
      </w:r>
      <w:r>
        <w:rPr>
          <w:rFonts w:hint="eastAsia" w:ascii="宋体" w:hAnsi="宋体"/>
          <w:sz w:val="24"/>
          <w:szCs w:val="24"/>
        </w:rPr>
        <w:t>但</w:t>
      </w:r>
      <w:r>
        <w:rPr>
          <w:rFonts w:ascii="宋体" w:hAnsi="宋体"/>
          <w:sz w:val="24"/>
          <w:szCs w:val="24"/>
        </w:rPr>
        <w:t>不限于货物价格、库存、运费标准、货运到达地点、收货人信息等）。</w:t>
      </w:r>
    </w:p>
    <w:p>
      <w:pPr>
        <w:pStyle w:val="97"/>
        <w:numPr>
          <w:ilvl w:val="0"/>
          <w:numId w:val="7"/>
        </w:numPr>
        <w:ind w:left="0" w:leftChars="0" w:firstLine="482" w:firstLineChars="200"/>
        <w:rPr>
          <w:rFonts w:hint="eastAsia"/>
          <w:b/>
          <w:bCs/>
          <w:lang w:eastAsia="zh-CN"/>
        </w:rPr>
      </w:pPr>
      <w:r>
        <w:rPr>
          <w:rFonts w:hint="eastAsia"/>
          <w:b/>
          <w:bCs/>
          <w:lang w:eastAsia="zh-CN"/>
        </w:rPr>
        <w:t>服务指标</w:t>
      </w:r>
    </w:p>
    <w:p>
      <w:pPr>
        <w:pStyle w:val="97"/>
        <w:numPr>
          <w:ilvl w:val="0"/>
          <w:numId w:val="0"/>
        </w:numPr>
        <w:rPr>
          <w:rFonts w:hint="default"/>
          <w:b/>
          <w:bCs/>
          <w:lang w:val="en-US" w:eastAsia="zh-CN"/>
        </w:rPr>
      </w:pPr>
      <w:r>
        <w:rPr>
          <w:rFonts w:hint="eastAsia"/>
          <w:b/>
          <w:bCs/>
          <w:lang w:val="en-US" w:eastAsia="zh-CN"/>
        </w:rPr>
        <w:t xml:space="preserve">  </w:t>
      </w:r>
    </w:p>
    <w:tbl>
      <w:tblPr>
        <w:tblStyle w:val="23"/>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559"/>
        <w:gridCol w:w="2983"/>
        <w:gridCol w:w="1476"/>
        <w:gridCol w:w="24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46" w:type="dxa"/>
            <w:noWrap w:val="0"/>
            <w:vAlign w:val="center"/>
          </w:tcPr>
          <w:p>
            <w:pPr>
              <w:spacing w:line="360" w:lineRule="exact"/>
              <w:jc w:val="center"/>
              <w:rPr>
                <w:rFonts w:ascii="宋体" w:hAnsi="宋体"/>
                <w:sz w:val="24"/>
                <w:szCs w:val="24"/>
              </w:rPr>
            </w:pPr>
            <w:r>
              <w:rPr>
                <w:rFonts w:hint="eastAsia" w:ascii="宋体" w:hAnsi="宋体"/>
                <w:sz w:val="24"/>
                <w:szCs w:val="24"/>
              </w:rPr>
              <w:t>序号</w:t>
            </w:r>
          </w:p>
        </w:tc>
        <w:tc>
          <w:tcPr>
            <w:tcW w:w="1559" w:type="dxa"/>
            <w:noWrap w:val="0"/>
            <w:vAlign w:val="center"/>
          </w:tcPr>
          <w:p>
            <w:pPr>
              <w:spacing w:line="360" w:lineRule="exact"/>
              <w:jc w:val="center"/>
              <w:rPr>
                <w:rFonts w:ascii="宋体" w:hAnsi="宋体"/>
                <w:sz w:val="24"/>
                <w:szCs w:val="24"/>
              </w:rPr>
            </w:pPr>
            <w:r>
              <w:rPr>
                <w:rFonts w:hint="eastAsia" w:ascii="宋体" w:hAnsi="宋体"/>
                <w:sz w:val="24"/>
                <w:szCs w:val="24"/>
              </w:rPr>
              <w:t>指标名称</w:t>
            </w:r>
          </w:p>
        </w:tc>
        <w:tc>
          <w:tcPr>
            <w:tcW w:w="2983" w:type="dxa"/>
            <w:noWrap w:val="0"/>
            <w:vAlign w:val="center"/>
          </w:tcPr>
          <w:p>
            <w:pPr>
              <w:spacing w:line="360" w:lineRule="exact"/>
              <w:jc w:val="center"/>
              <w:rPr>
                <w:rFonts w:ascii="宋体" w:hAnsi="宋体"/>
                <w:sz w:val="24"/>
                <w:szCs w:val="24"/>
              </w:rPr>
            </w:pPr>
            <w:r>
              <w:rPr>
                <w:rFonts w:hint="eastAsia" w:ascii="宋体" w:hAnsi="宋体"/>
                <w:sz w:val="24"/>
                <w:szCs w:val="24"/>
              </w:rPr>
              <w:t>服务</w:t>
            </w:r>
            <w:r>
              <w:rPr>
                <w:rFonts w:ascii="宋体" w:hAnsi="宋体"/>
                <w:sz w:val="24"/>
                <w:szCs w:val="24"/>
              </w:rPr>
              <w:t>指标</w:t>
            </w:r>
          </w:p>
        </w:tc>
        <w:tc>
          <w:tcPr>
            <w:tcW w:w="1476" w:type="dxa"/>
            <w:noWrap w:val="0"/>
            <w:vAlign w:val="center"/>
          </w:tcPr>
          <w:p>
            <w:pPr>
              <w:spacing w:line="360" w:lineRule="exact"/>
              <w:jc w:val="center"/>
              <w:rPr>
                <w:rFonts w:ascii="宋体" w:hAnsi="宋体"/>
                <w:sz w:val="24"/>
                <w:szCs w:val="24"/>
              </w:rPr>
            </w:pPr>
            <w:r>
              <w:rPr>
                <w:rFonts w:hint="eastAsia" w:ascii="宋体" w:hAnsi="宋体"/>
                <w:sz w:val="24"/>
                <w:szCs w:val="24"/>
              </w:rPr>
              <w:t>指标</w:t>
            </w:r>
            <w:r>
              <w:rPr>
                <w:rFonts w:ascii="宋体" w:hAnsi="宋体"/>
                <w:sz w:val="24"/>
                <w:szCs w:val="24"/>
              </w:rPr>
              <w:t>权重</w:t>
            </w:r>
          </w:p>
        </w:tc>
        <w:tc>
          <w:tcPr>
            <w:tcW w:w="2487" w:type="dxa"/>
            <w:noWrap w:val="0"/>
            <w:vAlign w:val="center"/>
          </w:tcPr>
          <w:p>
            <w:pPr>
              <w:spacing w:line="360" w:lineRule="exact"/>
              <w:jc w:val="center"/>
              <w:rPr>
                <w:rFonts w:ascii="宋体" w:hAnsi="宋体"/>
                <w:sz w:val="24"/>
                <w:szCs w:val="24"/>
              </w:rPr>
            </w:pPr>
            <w:r>
              <w:rPr>
                <w:rFonts w:hint="eastAsia" w:ascii="宋体" w:hAnsi="宋体"/>
                <w:sz w:val="24"/>
                <w:szCs w:val="24"/>
              </w:rPr>
              <w:t>评价</w:t>
            </w:r>
            <w:r>
              <w:rPr>
                <w:rFonts w:ascii="宋体" w:hAnsi="宋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846" w:type="dxa"/>
            <w:noWrap w:val="0"/>
            <w:vAlign w:val="center"/>
          </w:tcPr>
          <w:p>
            <w:pPr>
              <w:spacing w:line="360" w:lineRule="exact"/>
              <w:jc w:val="center"/>
              <w:rPr>
                <w:rFonts w:ascii="宋体" w:hAnsi="宋体"/>
                <w:sz w:val="24"/>
                <w:szCs w:val="24"/>
              </w:rPr>
            </w:pPr>
            <w:r>
              <w:rPr>
                <w:rFonts w:ascii="宋体" w:hAnsi="宋体"/>
                <w:sz w:val="24"/>
                <w:szCs w:val="24"/>
              </w:rPr>
              <w:t>1</w:t>
            </w:r>
          </w:p>
        </w:tc>
        <w:tc>
          <w:tcPr>
            <w:tcW w:w="1559" w:type="dxa"/>
            <w:noWrap w:val="0"/>
            <w:vAlign w:val="center"/>
          </w:tcPr>
          <w:p>
            <w:pPr>
              <w:spacing w:line="360" w:lineRule="exact"/>
              <w:jc w:val="center"/>
              <w:rPr>
                <w:rFonts w:ascii="宋体" w:hAnsi="宋体"/>
                <w:sz w:val="24"/>
                <w:szCs w:val="24"/>
              </w:rPr>
            </w:pPr>
            <w:r>
              <w:rPr>
                <w:rFonts w:hint="eastAsia" w:ascii="宋体" w:hAnsi="宋体" w:cs="宋体"/>
                <w:color w:val="000000"/>
                <w:sz w:val="24"/>
                <w:szCs w:val="24"/>
              </w:rPr>
              <w:t>揽件及时率</w:t>
            </w:r>
          </w:p>
        </w:tc>
        <w:tc>
          <w:tcPr>
            <w:tcW w:w="2983" w:type="dxa"/>
            <w:noWrap w:val="0"/>
            <w:vAlign w:val="center"/>
          </w:tcPr>
          <w:p>
            <w:pPr>
              <w:spacing w:line="360" w:lineRule="exact"/>
              <w:rPr>
                <w:rFonts w:ascii="宋体" w:hAnsi="宋体"/>
                <w:sz w:val="24"/>
                <w:szCs w:val="24"/>
              </w:rPr>
            </w:pPr>
            <w:r>
              <w:rPr>
                <w:rFonts w:hint="eastAsia" w:ascii="宋体" w:hAnsi="宋体"/>
                <w:sz w:val="24"/>
                <w:szCs w:val="24"/>
              </w:rPr>
              <w:t>当天物流登记订单</w:t>
            </w:r>
            <w:r>
              <w:rPr>
                <w:rFonts w:ascii="宋体" w:hAnsi="宋体"/>
                <w:sz w:val="24"/>
                <w:szCs w:val="24"/>
              </w:rPr>
              <w:t>数</w:t>
            </w:r>
            <w:r>
              <w:rPr>
                <w:rFonts w:hint="eastAsia" w:ascii="宋体" w:hAnsi="宋体" w:cs="宋体"/>
                <w:color w:val="000000"/>
                <w:sz w:val="24"/>
                <w:szCs w:val="24"/>
              </w:rPr>
              <w:t>与应发运总订单数的比率</w:t>
            </w:r>
          </w:p>
        </w:tc>
        <w:tc>
          <w:tcPr>
            <w:tcW w:w="1476" w:type="dxa"/>
            <w:noWrap w:val="0"/>
            <w:vAlign w:val="center"/>
          </w:tcPr>
          <w:p>
            <w:pPr>
              <w:spacing w:line="360" w:lineRule="exact"/>
              <w:ind w:firstLine="480" w:firstLineChars="200"/>
              <w:rPr>
                <w:rFonts w:ascii="宋体" w:hAnsi="宋体"/>
                <w:sz w:val="24"/>
                <w:szCs w:val="24"/>
              </w:rPr>
            </w:pPr>
            <w:r>
              <w:rPr>
                <w:rFonts w:hint="eastAsia" w:ascii="宋体" w:hAnsi="宋体"/>
                <w:sz w:val="24"/>
                <w:szCs w:val="24"/>
              </w:rPr>
              <w:t>10</w:t>
            </w:r>
            <w:r>
              <w:rPr>
                <w:rFonts w:ascii="宋体" w:hAnsi="宋体"/>
                <w:sz w:val="24"/>
                <w:szCs w:val="24"/>
              </w:rPr>
              <w:t>%</w:t>
            </w:r>
          </w:p>
        </w:tc>
        <w:tc>
          <w:tcPr>
            <w:tcW w:w="2487" w:type="dxa"/>
            <w:noWrap w:val="0"/>
            <w:vAlign w:val="center"/>
          </w:tcPr>
          <w:p>
            <w:pPr>
              <w:widowControl/>
              <w:ind w:right="330" w:rightChars="150"/>
              <w:jc w:val="left"/>
              <w:rPr>
                <w:rFonts w:ascii="宋体" w:hAnsi="宋体" w:cs="宋体"/>
                <w:color w:val="000000"/>
                <w:sz w:val="24"/>
                <w:szCs w:val="24"/>
              </w:rPr>
            </w:pPr>
            <w:r>
              <w:rPr>
                <w:rFonts w:hint="eastAsia" w:ascii="宋体" w:hAnsi="宋体" w:cs="宋体"/>
                <w:color w:val="000000"/>
                <w:sz w:val="24"/>
                <w:szCs w:val="24"/>
              </w:rPr>
              <w:t>满分10分，评价得分=完成比率*1</w:t>
            </w:r>
            <w:r>
              <w:rPr>
                <w:rFonts w:ascii="宋体" w:hAnsi="宋体" w:cs="宋体"/>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jc w:val="center"/>
        </w:trPr>
        <w:tc>
          <w:tcPr>
            <w:tcW w:w="846" w:type="dxa"/>
            <w:noWrap w:val="0"/>
            <w:vAlign w:val="center"/>
          </w:tcPr>
          <w:p>
            <w:pPr>
              <w:spacing w:line="360" w:lineRule="exact"/>
              <w:jc w:val="center"/>
              <w:rPr>
                <w:rFonts w:ascii="宋体" w:hAnsi="宋体"/>
                <w:sz w:val="24"/>
                <w:szCs w:val="24"/>
              </w:rPr>
            </w:pPr>
            <w:r>
              <w:rPr>
                <w:rFonts w:ascii="宋体" w:hAnsi="宋体"/>
                <w:sz w:val="24"/>
                <w:szCs w:val="24"/>
              </w:rPr>
              <w:t>2</w:t>
            </w:r>
          </w:p>
        </w:tc>
        <w:tc>
          <w:tcPr>
            <w:tcW w:w="1559" w:type="dxa"/>
            <w:noWrap w:val="0"/>
            <w:vAlign w:val="center"/>
          </w:tcPr>
          <w:p>
            <w:pPr>
              <w:spacing w:line="360" w:lineRule="exact"/>
              <w:jc w:val="center"/>
              <w:rPr>
                <w:rFonts w:ascii="宋体" w:hAnsi="宋体"/>
                <w:sz w:val="24"/>
                <w:szCs w:val="24"/>
              </w:rPr>
            </w:pPr>
            <w:r>
              <w:rPr>
                <w:rFonts w:hint="eastAsia" w:ascii="宋体" w:hAnsi="宋体" w:cs="宋体"/>
                <w:color w:val="000000"/>
                <w:sz w:val="24"/>
                <w:szCs w:val="24"/>
              </w:rPr>
              <w:t>货损货差赔付及时性</w:t>
            </w:r>
          </w:p>
        </w:tc>
        <w:tc>
          <w:tcPr>
            <w:tcW w:w="2983" w:type="dxa"/>
            <w:noWrap w:val="0"/>
            <w:vAlign w:val="center"/>
          </w:tcPr>
          <w:p>
            <w:pPr>
              <w:spacing w:line="360" w:lineRule="exact"/>
              <w:rPr>
                <w:rFonts w:ascii="宋体" w:hAnsi="宋体"/>
                <w:sz w:val="24"/>
                <w:szCs w:val="24"/>
              </w:rPr>
            </w:pPr>
            <w:r>
              <w:rPr>
                <w:rFonts w:hint="eastAsia" w:ascii="宋体" w:hAnsi="宋体" w:cs="宋体"/>
                <w:color w:val="000000"/>
                <w:sz w:val="24"/>
                <w:szCs w:val="24"/>
              </w:rPr>
              <w:t>7天内未</w:t>
            </w:r>
            <w:r>
              <w:rPr>
                <w:rFonts w:ascii="宋体" w:hAnsi="宋体" w:cs="宋体"/>
                <w:color w:val="000000"/>
                <w:sz w:val="24"/>
                <w:szCs w:val="24"/>
              </w:rPr>
              <w:t>赔付客户</w:t>
            </w:r>
            <w:r>
              <w:rPr>
                <w:rFonts w:hint="eastAsia" w:ascii="宋体" w:hAnsi="宋体" w:cs="宋体"/>
                <w:color w:val="000000"/>
                <w:sz w:val="24"/>
                <w:szCs w:val="24"/>
              </w:rPr>
              <w:t>运输中造成的货损、货差次数</w:t>
            </w:r>
          </w:p>
        </w:tc>
        <w:tc>
          <w:tcPr>
            <w:tcW w:w="1476" w:type="dxa"/>
            <w:noWrap w:val="0"/>
            <w:vAlign w:val="center"/>
          </w:tcPr>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15</w:t>
            </w:r>
            <w:r>
              <w:rPr>
                <w:rFonts w:ascii="宋体" w:hAnsi="宋体" w:cs="宋体"/>
                <w:color w:val="000000"/>
                <w:sz w:val="24"/>
                <w:szCs w:val="24"/>
              </w:rPr>
              <w:t>%</w:t>
            </w:r>
          </w:p>
        </w:tc>
        <w:tc>
          <w:tcPr>
            <w:tcW w:w="2487" w:type="dxa"/>
            <w:noWrap w:val="0"/>
            <w:vAlign w:val="center"/>
          </w:tcPr>
          <w:p>
            <w:pPr>
              <w:spacing w:line="360" w:lineRule="exact"/>
              <w:jc w:val="left"/>
              <w:rPr>
                <w:rFonts w:ascii="宋体" w:hAnsi="宋体" w:cs="宋体"/>
                <w:color w:val="000000"/>
                <w:sz w:val="24"/>
                <w:szCs w:val="24"/>
              </w:rPr>
            </w:pPr>
            <w:r>
              <w:rPr>
                <w:rFonts w:hint="eastAsia" w:ascii="宋体" w:hAnsi="宋体" w:cs="宋体"/>
                <w:color w:val="000000"/>
                <w:sz w:val="24"/>
                <w:szCs w:val="24"/>
              </w:rPr>
              <w:t>满分15份</w:t>
            </w:r>
            <w:r>
              <w:rPr>
                <w:rFonts w:ascii="宋体" w:hAnsi="宋体" w:cs="宋体"/>
                <w:color w:val="000000"/>
                <w:sz w:val="24"/>
                <w:szCs w:val="24"/>
              </w:rPr>
              <w:t>，</w:t>
            </w:r>
            <w:r>
              <w:rPr>
                <w:rFonts w:hint="eastAsia" w:ascii="宋体" w:hAnsi="宋体" w:cs="宋体"/>
                <w:color w:val="000000"/>
                <w:sz w:val="24"/>
                <w:szCs w:val="24"/>
              </w:rPr>
              <w:t>每次</w:t>
            </w:r>
            <w:r>
              <w:rPr>
                <w:rFonts w:ascii="宋体" w:hAnsi="宋体" w:cs="宋体"/>
                <w:color w:val="000000"/>
                <w:sz w:val="24"/>
                <w:szCs w:val="24"/>
              </w:rPr>
              <w:t>扣</w:t>
            </w:r>
            <w:r>
              <w:rPr>
                <w:rFonts w:hint="eastAsia" w:ascii="宋体" w:hAnsi="宋体" w:cs="宋体"/>
                <w:color w:val="000000"/>
                <w:sz w:val="24"/>
                <w:szCs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pPr>
              <w:spacing w:line="360" w:lineRule="exact"/>
              <w:jc w:val="center"/>
              <w:rPr>
                <w:rFonts w:ascii="宋体" w:hAnsi="宋体"/>
                <w:sz w:val="24"/>
                <w:szCs w:val="24"/>
              </w:rPr>
            </w:pPr>
            <w:r>
              <w:rPr>
                <w:rFonts w:ascii="宋体" w:hAnsi="宋体"/>
                <w:sz w:val="24"/>
                <w:szCs w:val="24"/>
              </w:rPr>
              <w:t>3</w:t>
            </w:r>
          </w:p>
        </w:tc>
        <w:tc>
          <w:tcPr>
            <w:tcW w:w="1559" w:type="dxa"/>
            <w:noWrap w:val="0"/>
            <w:vAlign w:val="center"/>
          </w:tcPr>
          <w:p>
            <w:pPr>
              <w:spacing w:line="360" w:lineRule="exact"/>
              <w:jc w:val="center"/>
              <w:rPr>
                <w:rFonts w:ascii="宋体" w:hAnsi="宋体"/>
                <w:sz w:val="24"/>
                <w:szCs w:val="24"/>
              </w:rPr>
            </w:pPr>
            <w:r>
              <w:rPr>
                <w:rFonts w:hint="eastAsia" w:ascii="宋体" w:hAnsi="宋体" w:cs="宋体"/>
                <w:color w:val="000000"/>
                <w:sz w:val="24"/>
                <w:szCs w:val="24"/>
              </w:rPr>
              <w:t>运输完好率</w:t>
            </w:r>
          </w:p>
        </w:tc>
        <w:tc>
          <w:tcPr>
            <w:tcW w:w="2983" w:type="dxa"/>
            <w:noWrap w:val="0"/>
            <w:vAlign w:val="center"/>
          </w:tcPr>
          <w:p>
            <w:pPr>
              <w:widowControl/>
              <w:ind w:right="330" w:rightChars="150"/>
              <w:rPr>
                <w:rFonts w:ascii="宋体" w:hAnsi="宋体" w:cs="宋体"/>
                <w:color w:val="000000"/>
                <w:sz w:val="24"/>
                <w:szCs w:val="24"/>
              </w:rPr>
            </w:pPr>
            <w:r>
              <w:rPr>
                <w:rFonts w:hint="eastAsia" w:ascii="宋体" w:hAnsi="宋体" w:cs="宋体"/>
                <w:color w:val="000000"/>
                <w:sz w:val="24"/>
                <w:szCs w:val="24"/>
              </w:rPr>
              <w:t>运输送过程中完好到货订单与发运总订单的比率</w:t>
            </w:r>
          </w:p>
        </w:tc>
        <w:tc>
          <w:tcPr>
            <w:tcW w:w="1476" w:type="dxa"/>
            <w:noWrap w:val="0"/>
            <w:vAlign w:val="center"/>
          </w:tcPr>
          <w:p>
            <w:pPr>
              <w:widowControl/>
              <w:ind w:right="330" w:rightChars="150" w:firstLine="480" w:firstLineChars="200"/>
              <w:rPr>
                <w:rFonts w:ascii="宋体" w:hAnsi="宋体" w:cs="宋体"/>
                <w:color w:val="000000"/>
                <w:sz w:val="24"/>
                <w:szCs w:val="24"/>
              </w:rPr>
            </w:pPr>
            <w:r>
              <w:rPr>
                <w:rFonts w:hint="eastAsia" w:ascii="宋体" w:hAnsi="宋体" w:cs="宋体"/>
                <w:color w:val="000000"/>
                <w:sz w:val="24"/>
                <w:szCs w:val="24"/>
              </w:rPr>
              <w:t>20</w:t>
            </w:r>
            <w:r>
              <w:rPr>
                <w:rFonts w:ascii="宋体" w:hAnsi="宋体" w:cs="宋体"/>
                <w:color w:val="000000"/>
                <w:sz w:val="24"/>
                <w:szCs w:val="24"/>
              </w:rPr>
              <w:t>%</w:t>
            </w:r>
          </w:p>
        </w:tc>
        <w:tc>
          <w:tcPr>
            <w:tcW w:w="2487" w:type="dxa"/>
            <w:noWrap w:val="0"/>
            <w:vAlign w:val="center"/>
          </w:tcPr>
          <w:p>
            <w:pPr>
              <w:widowControl/>
              <w:ind w:right="330" w:rightChars="150"/>
              <w:jc w:val="left"/>
              <w:rPr>
                <w:rFonts w:ascii="宋体" w:hAnsi="宋体" w:cs="宋体"/>
                <w:color w:val="000000"/>
                <w:sz w:val="24"/>
                <w:szCs w:val="24"/>
              </w:rPr>
            </w:pPr>
            <w:r>
              <w:rPr>
                <w:rFonts w:hint="eastAsia" w:ascii="宋体" w:hAnsi="宋体" w:cs="宋体"/>
                <w:color w:val="000000"/>
                <w:sz w:val="24"/>
                <w:szCs w:val="24"/>
              </w:rPr>
              <w:t>满分20分</w:t>
            </w:r>
            <w:r>
              <w:rPr>
                <w:rFonts w:ascii="宋体" w:hAnsi="宋体" w:cs="宋体"/>
                <w:color w:val="000000"/>
                <w:sz w:val="24"/>
                <w:szCs w:val="24"/>
              </w:rPr>
              <w:t>，</w:t>
            </w:r>
            <w:r>
              <w:rPr>
                <w:rFonts w:hint="eastAsia" w:ascii="宋体" w:hAnsi="宋体" w:cs="宋体"/>
                <w:color w:val="000000"/>
                <w:sz w:val="24"/>
                <w:szCs w:val="24"/>
              </w:rPr>
              <w:t>评价得分=完成比率*2</w:t>
            </w:r>
            <w:r>
              <w:rPr>
                <w:rFonts w:ascii="宋体" w:hAnsi="宋体" w:cs="宋体"/>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846" w:type="dxa"/>
            <w:noWrap w:val="0"/>
            <w:vAlign w:val="center"/>
          </w:tcPr>
          <w:p>
            <w:pPr>
              <w:spacing w:line="360" w:lineRule="exact"/>
              <w:jc w:val="center"/>
              <w:rPr>
                <w:rFonts w:ascii="宋体" w:hAnsi="宋体"/>
                <w:sz w:val="24"/>
                <w:szCs w:val="24"/>
              </w:rPr>
            </w:pPr>
            <w:r>
              <w:rPr>
                <w:rFonts w:hint="eastAsia" w:ascii="宋体" w:hAnsi="宋体"/>
                <w:sz w:val="24"/>
                <w:szCs w:val="24"/>
              </w:rPr>
              <w:t>4</w:t>
            </w:r>
          </w:p>
        </w:tc>
        <w:tc>
          <w:tcPr>
            <w:tcW w:w="1559" w:type="dxa"/>
            <w:noWrap w:val="0"/>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送达及时率</w:t>
            </w:r>
          </w:p>
        </w:tc>
        <w:tc>
          <w:tcPr>
            <w:tcW w:w="2983" w:type="dxa"/>
            <w:noWrap w:val="0"/>
            <w:vAlign w:val="center"/>
          </w:tcPr>
          <w:p>
            <w:pPr>
              <w:widowControl/>
              <w:ind w:right="330" w:rightChars="150"/>
              <w:rPr>
                <w:rFonts w:ascii="宋体" w:hAnsi="宋体" w:cs="宋体"/>
                <w:color w:val="000000"/>
                <w:sz w:val="24"/>
                <w:szCs w:val="24"/>
              </w:rPr>
            </w:pPr>
            <w:r>
              <w:rPr>
                <w:rFonts w:hint="eastAsia" w:ascii="宋体" w:hAnsi="宋体" w:cs="宋体"/>
                <w:color w:val="000000"/>
                <w:sz w:val="24"/>
                <w:szCs w:val="24"/>
              </w:rPr>
              <w:t>运输配件按时到达订单与发运总订单的比率。</w:t>
            </w:r>
          </w:p>
        </w:tc>
        <w:tc>
          <w:tcPr>
            <w:tcW w:w="1476" w:type="dxa"/>
            <w:noWrap w:val="0"/>
            <w:vAlign w:val="center"/>
          </w:tcPr>
          <w:p>
            <w:pPr>
              <w:widowControl/>
              <w:ind w:right="330" w:rightChars="150" w:firstLine="480" w:firstLineChars="200"/>
              <w:rPr>
                <w:rFonts w:ascii="宋体" w:hAnsi="宋体" w:cs="宋体"/>
                <w:color w:val="000000"/>
                <w:sz w:val="24"/>
                <w:szCs w:val="24"/>
              </w:rPr>
            </w:pPr>
            <w:r>
              <w:rPr>
                <w:rFonts w:hint="eastAsia" w:ascii="宋体" w:hAnsi="宋体" w:cs="宋体"/>
                <w:color w:val="000000"/>
                <w:sz w:val="24"/>
                <w:szCs w:val="24"/>
              </w:rPr>
              <w:t>40</w:t>
            </w:r>
            <w:r>
              <w:rPr>
                <w:rFonts w:ascii="宋体" w:hAnsi="宋体" w:cs="宋体"/>
                <w:color w:val="000000"/>
                <w:sz w:val="24"/>
                <w:szCs w:val="24"/>
              </w:rPr>
              <w:t>%</w:t>
            </w:r>
          </w:p>
        </w:tc>
        <w:tc>
          <w:tcPr>
            <w:tcW w:w="2487" w:type="dxa"/>
            <w:noWrap w:val="0"/>
            <w:vAlign w:val="center"/>
          </w:tcPr>
          <w:p>
            <w:pPr>
              <w:widowControl/>
              <w:ind w:right="330" w:rightChars="150"/>
              <w:jc w:val="left"/>
              <w:rPr>
                <w:rFonts w:ascii="宋体" w:hAnsi="宋体" w:cs="宋体"/>
                <w:color w:val="000000"/>
                <w:sz w:val="24"/>
                <w:szCs w:val="24"/>
              </w:rPr>
            </w:pPr>
            <w:r>
              <w:rPr>
                <w:rFonts w:hint="eastAsia" w:ascii="宋体" w:hAnsi="宋体" w:cs="宋体"/>
                <w:color w:val="000000"/>
                <w:sz w:val="24"/>
                <w:szCs w:val="24"/>
              </w:rPr>
              <w:t>满分</w:t>
            </w:r>
            <w:r>
              <w:rPr>
                <w:rFonts w:ascii="宋体" w:hAnsi="宋体" w:cs="宋体"/>
                <w:color w:val="000000"/>
                <w:sz w:val="24"/>
                <w:szCs w:val="24"/>
              </w:rPr>
              <w:t>40</w:t>
            </w:r>
            <w:r>
              <w:rPr>
                <w:rFonts w:hint="eastAsia" w:ascii="宋体" w:hAnsi="宋体" w:cs="宋体"/>
                <w:color w:val="000000"/>
                <w:sz w:val="24"/>
                <w:szCs w:val="24"/>
              </w:rPr>
              <w:t>分</w:t>
            </w:r>
            <w:r>
              <w:rPr>
                <w:rFonts w:ascii="宋体" w:hAnsi="宋体" w:cs="宋体"/>
                <w:color w:val="000000"/>
                <w:sz w:val="24"/>
                <w:szCs w:val="24"/>
              </w:rPr>
              <w:t>，</w:t>
            </w:r>
            <w:r>
              <w:rPr>
                <w:rFonts w:hint="eastAsia" w:ascii="宋体" w:hAnsi="宋体" w:cs="宋体"/>
                <w:color w:val="000000"/>
                <w:sz w:val="24"/>
                <w:szCs w:val="24"/>
              </w:rPr>
              <w:t>评价得分=完成比率*</w:t>
            </w:r>
            <w:r>
              <w:rPr>
                <w:rFonts w:ascii="宋体" w:hAnsi="宋体" w:cs="宋体"/>
                <w:color w:val="000000"/>
                <w:sz w:val="24"/>
                <w:szCs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846" w:type="dxa"/>
            <w:noWrap w:val="0"/>
            <w:vAlign w:val="center"/>
          </w:tcPr>
          <w:p>
            <w:pPr>
              <w:spacing w:line="360" w:lineRule="exact"/>
              <w:jc w:val="center"/>
              <w:rPr>
                <w:rFonts w:ascii="宋体" w:hAnsi="宋体"/>
                <w:sz w:val="24"/>
                <w:szCs w:val="24"/>
              </w:rPr>
            </w:pPr>
            <w:r>
              <w:rPr>
                <w:rFonts w:hint="eastAsia" w:ascii="宋体" w:hAnsi="宋体"/>
                <w:sz w:val="24"/>
                <w:szCs w:val="24"/>
              </w:rPr>
              <w:t>5</w:t>
            </w:r>
          </w:p>
        </w:tc>
        <w:tc>
          <w:tcPr>
            <w:tcW w:w="1559" w:type="dxa"/>
            <w:noWrap w:val="0"/>
            <w:vAlign w:val="center"/>
          </w:tcPr>
          <w:p>
            <w:pPr>
              <w:spacing w:line="360" w:lineRule="exact"/>
              <w:jc w:val="center"/>
              <w:rPr>
                <w:rFonts w:ascii="宋体" w:hAnsi="宋体" w:cs="宋体"/>
                <w:color w:val="000000"/>
                <w:sz w:val="24"/>
                <w:szCs w:val="24"/>
              </w:rPr>
            </w:pPr>
            <w:r>
              <w:rPr>
                <w:rFonts w:hint="eastAsia" w:ascii="宋体" w:hAnsi="宋体" w:cs="宋体"/>
                <w:color w:val="000000"/>
                <w:sz w:val="24"/>
                <w:szCs w:val="24"/>
              </w:rPr>
              <w:t>客户投诉量</w:t>
            </w:r>
          </w:p>
        </w:tc>
        <w:tc>
          <w:tcPr>
            <w:tcW w:w="2983" w:type="dxa"/>
            <w:noWrap w:val="0"/>
            <w:vAlign w:val="center"/>
          </w:tcPr>
          <w:p>
            <w:pPr>
              <w:spacing w:line="360" w:lineRule="exact"/>
              <w:rPr>
                <w:rFonts w:ascii="宋体" w:hAnsi="宋体"/>
                <w:sz w:val="24"/>
                <w:szCs w:val="24"/>
              </w:rPr>
            </w:pPr>
            <w:r>
              <w:rPr>
                <w:rFonts w:hint="eastAsia" w:ascii="宋体" w:hAnsi="宋体"/>
                <w:sz w:val="24"/>
                <w:szCs w:val="24"/>
              </w:rPr>
              <w:t>客户投诉</w:t>
            </w:r>
            <w:r>
              <w:rPr>
                <w:rFonts w:ascii="宋体" w:hAnsi="宋体"/>
                <w:sz w:val="24"/>
                <w:szCs w:val="24"/>
              </w:rPr>
              <w:t>反馈次数</w:t>
            </w:r>
          </w:p>
        </w:tc>
        <w:tc>
          <w:tcPr>
            <w:tcW w:w="1476" w:type="dxa"/>
            <w:noWrap w:val="0"/>
            <w:vAlign w:val="center"/>
          </w:tcPr>
          <w:p>
            <w:pPr>
              <w:spacing w:line="360" w:lineRule="exact"/>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w:t>
            </w:r>
          </w:p>
        </w:tc>
        <w:tc>
          <w:tcPr>
            <w:tcW w:w="2487" w:type="dxa"/>
            <w:noWrap w:val="0"/>
            <w:vAlign w:val="center"/>
          </w:tcPr>
          <w:p>
            <w:pPr>
              <w:spacing w:line="360" w:lineRule="exact"/>
              <w:jc w:val="left"/>
              <w:rPr>
                <w:rFonts w:ascii="宋体" w:hAnsi="宋体"/>
                <w:sz w:val="24"/>
                <w:szCs w:val="24"/>
              </w:rPr>
            </w:pPr>
            <w:r>
              <w:rPr>
                <w:rFonts w:hint="eastAsia" w:ascii="宋体" w:hAnsi="宋体" w:cs="宋体"/>
                <w:color w:val="000000"/>
                <w:sz w:val="24"/>
                <w:szCs w:val="24"/>
              </w:rPr>
              <w:t>满分15份</w:t>
            </w:r>
            <w:r>
              <w:rPr>
                <w:rFonts w:ascii="宋体" w:hAnsi="宋体" w:cs="宋体"/>
                <w:color w:val="000000"/>
                <w:sz w:val="24"/>
                <w:szCs w:val="24"/>
              </w:rPr>
              <w:t>，</w:t>
            </w:r>
            <w:r>
              <w:rPr>
                <w:rFonts w:hint="eastAsia" w:ascii="宋体" w:hAnsi="宋体" w:cs="宋体"/>
                <w:color w:val="000000"/>
                <w:sz w:val="24"/>
                <w:szCs w:val="24"/>
              </w:rPr>
              <w:t>每次</w:t>
            </w:r>
            <w:r>
              <w:rPr>
                <w:rFonts w:ascii="宋体" w:hAnsi="宋体" w:cs="宋体"/>
                <w:color w:val="000000"/>
                <w:sz w:val="24"/>
                <w:szCs w:val="24"/>
              </w:rPr>
              <w:t>扣5</w:t>
            </w:r>
            <w:r>
              <w:rPr>
                <w:rFonts w:hint="eastAsia" w:ascii="宋体" w:hAnsi="宋体" w:cs="宋体"/>
                <w:color w:val="000000"/>
                <w:sz w:val="24"/>
                <w:szCs w:val="24"/>
              </w:rPr>
              <w:t>分</w:t>
            </w:r>
          </w:p>
        </w:tc>
      </w:tr>
    </w:tbl>
    <w:p>
      <w:pPr>
        <w:pStyle w:val="97"/>
        <w:numPr>
          <w:ilvl w:val="0"/>
          <w:numId w:val="0"/>
        </w:numPr>
        <w:ind w:firstLine="241" w:firstLineChars="100"/>
        <w:rPr>
          <w:rFonts w:hint="eastAsia"/>
          <w:b/>
          <w:bCs/>
          <w:lang w:eastAsia="zh-CN"/>
        </w:rPr>
      </w:pPr>
    </w:p>
    <w:p>
      <w:pPr>
        <w:pStyle w:val="97"/>
        <w:numPr>
          <w:ilvl w:val="0"/>
          <w:numId w:val="0"/>
        </w:numPr>
        <w:ind w:firstLine="241" w:firstLineChars="100"/>
        <w:rPr>
          <w:rFonts w:hint="eastAsia"/>
          <w:b/>
          <w:bCs/>
          <w:lang w:eastAsia="zh-CN"/>
        </w:rPr>
      </w:pPr>
      <w:r>
        <w:rPr>
          <w:rFonts w:hint="eastAsia"/>
          <w:b/>
          <w:bCs/>
          <w:lang w:eastAsia="zh-CN"/>
        </w:rPr>
        <w:t>（六）服务评价</w:t>
      </w:r>
    </w:p>
    <w:tbl>
      <w:tblPr>
        <w:tblStyle w:val="23"/>
        <w:tblpPr w:leftFromText="180" w:rightFromText="180" w:vertAnchor="text" w:horzAnchor="page" w:tblpX="1282" w:tblpY="464"/>
        <w:tblOverlap w:val="never"/>
        <w:tblW w:w="9497" w:type="dxa"/>
        <w:tblInd w:w="0" w:type="dxa"/>
        <w:tblLayout w:type="autofit"/>
        <w:tblCellMar>
          <w:top w:w="0" w:type="dxa"/>
          <w:left w:w="0" w:type="dxa"/>
          <w:bottom w:w="0" w:type="dxa"/>
          <w:right w:w="0" w:type="dxa"/>
        </w:tblCellMar>
      </w:tblPr>
      <w:tblGrid>
        <w:gridCol w:w="851"/>
        <w:gridCol w:w="1559"/>
        <w:gridCol w:w="3118"/>
        <w:gridCol w:w="3969"/>
      </w:tblGrid>
      <w:tr>
        <w:tblPrEx>
          <w:tblCellMar>
            <w:top w:w="0" w:type="dxa"/>
            <w:left w:w="0" w:type="dxa"/>
            <w:bottom w:w="0" w:type="dxa"/>
            <w:right w:w="0" w:type="dxa"/>
          </w:tblCellMar>
        </w:tblPrEx>
        <w:trPr>
          <w:trHeight w:val="416"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序号</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ind w:firstLine="240" w:firstLineChars="100"/>
              <w:rPr>
                <w:rFonts w:ascii="宋体" w:hAnsi="宋体"/>
                <w:sz w:val="24"/>
                <w:szCs w:val="24"/>
              </w:rPr>
            </w:pPr>
            <w:r>
              <w:rPr>
                <w:rFonts w:hint="eastAsia" w:ascii="宋体" w:hAnsi="宋体"/>
                <w:sz w:val="24"/>
                <w:szCs w:val="24"/>
              </w:rPr>
              <w:t>评价得分</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ind w:firstLine="720" w:firstLineChars="300"/>
              <w:rPr>
                <w:rFonts w:ascii="宋体" w:hAnsi="宋体"/>
                <w:sz w:val="24"/>
                <w:szCs w:val="24"/>
              </w:rPr>
            </w:pPr>
            <w:r>
              <w:rPr>
                <w:rFonts w:hint="eastAsia" w:ascii="宋体" w:hAnsi="宋体"/>
                <w:sz w:val="24"/>
                <w:szCs w:val="24"/>
              </w:rPr>
              <w:t>费用结算考核</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备注</w:t>
            </w:r>
          </w:p>
        </w:tc>
      </w:tr>
      <w:tr>
        <w:tblPrEx>
          <w:tblCellMar>
            <w:top w:w="0" w:type="dxa"/>
            <w:left w:w="0" w:type="dxa"/>
            <w:bottom w:w="0" w:type="dxa"/>
            <w:right w:w="0" w:type="dxa"/>
          </w:tblCellMar>
        </w:tblPrEx>
        <w:trPr>
          <w:trHeight w:val="448"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1</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cs="宋体"/>
                <w:color w:val="000000"/>
                <w:sz w:val="24"/>
                <w:szCs w:val="24"/>
              </w:rPr>
              <w:t>[90,100]</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服务费按</w:t>
            </w:r>
            <w:r>
              <w:rPr>
                <w:rFonts w:ascii="宋体" w:hAnsi="宋体"/>
                <w:sz w:val="24"/>
                <w:szCs w:val="24"/>
              </w:rPr>
              <w:t>100</w:t>
            </w:r>
            <w:r>
              <w:rPr>
                <w:rFonts w:hint="eastAsia" w:ascii="宋体" w:hAnsi="宋体"/>
                <w:sz w:val="24"/>
                <w:szCs w:val="24"/>
              </w:rPr>
              <w:t>%支付</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p>
        </w:tc>
      </w:tr>
      <w:tr>
        <w:tblPrEx>
          <w:tblCellMar>
            <w:top w:w="0" w:type="dxa"/>
            <w:left w:w="0" w:type="dxa"/>
            <w:bottom w:w="0" w:type="dxa"/>
            <w:right w:w="0"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2</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cs="宋体"/>
                <w:color w:val="000000"/>
                <w:sz w:val="24"/>
                <w:szCs w:val="24"/>
              </w:rPr>
              <w:t>[80,90)</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考核</w:t>
            </w:r>
            <w:r>
              <w:rPr>
                <w:rFonts w:ascii="宋体" w:hAnsi="宋体"/>
                <w:sz w:val="24"/>
                <w:szCs w:val="24"/>
              </w:rPr>
              <w:t>服务费</w:t>
            </w:r>
            <w:r>
              <w:rPr>
                <w:rFonts w:hint="eastAsia" w:ascii="宋体" w:hAnsi="宋体"/>
                <w:sz w:val="24"/>
                <w:szCs w:val="24"/>
              </w:rPr>
              <w:t>1000元</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p>
        </w:tc>
      </w:tr>
      <w:tr>
        <w:tblPrEx>
          <w:tblCellMar>
            <w:top w:w="0" w:type="dxa"/>
            <w:left w:w="0" w:type="dxa"/>
            <w:bottom w:w="0" w:type="dxa"/>
            <w:right w:w="0" w:type="dxa"/>
          </w:tblCellMar>
        </w:tblPrEx>
        <w:trPr>
          <w:trHeight w:val="392"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3</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cs="宋体"/>
                <w:color w:val="000000"/>
                <w:sz w:val="24"/>
                <w:szCs w:val="24"/>
              </w:rPr>
              <w:t>[70,80)</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考核</w:t>
            </w:r>
            <w:r>
              <w:rPr>
                <w:rFonts w:ascii="宋体" w:hAnsi="宋体"/>
                <w:sz w:val="24"/>
                <w:szCs w:val="24"/>
              </w:rPr>
              <w:t>服务费5</w:t>
            </w:r>
            <w:r>
              <w:rPr>
                <w:rFonts w:hint="eastAsia" w:ascii="宋体" w:hAnsi="宋体"/>
                <w:sz w:val="24"/>
                <w:szCs w:val="24"/>
              </w:rPr>
              <w:t>000元</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jc w:val="center"/>
              <w:rPr>
                <w:rFonts w:ascii="宋体" w:hAnsi="宋体"/>
                <w:sz w:val="24"/>
                <w:szCs w:val="24"/>
              </w:rPr>
            </w:pPr>
          </w:p>
        </w:tc>
      </w:tr>
      <w:tr>
        <w:tblPrEx>
          <w:tblCellMar>
            <w:top w:w="0" w:type="dxa"/>
            <w:left w:w="0" w:type="dxa"/>
            <w:bottom w:w="0" w:type="dxa"/>
            <w:right w:w="0" w:type="dxa"/>
          </w:tblCellMar>
        </w:tblPrEx>
        <w:trPr>
          <w:trHeight w:val="539"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4</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cs="宋体"/>
                <w:color w:val="000000"/>
                <w:sz w:val="24"/>
                <w:szCs w:val="24"/>
              </w:rPr>
              <w:t>[60,70)</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考核</w:t>
            </w:r>
            <w:r>
              <w:rPr>
                <w:rFonts w:ascii="宋体" w:hAnsi="宋体"/>
                <w:sz w:val="24"/>
                <w:szCs w:val="24"/>
              </w:rPr>
              <w:t>服务费</w:t>
            </w:r>
            <w:r>
              <w:rPr>
                <w:rFonts w:hint="eastAsia" w:ascii="宋体" w:hAnsi="宋体"/>
                <w:sz w:val="24"/>
                <w:szCs w:val="24"/>
              </w:rPr>
              <w:t>1000</w:t>
            </w:r>
            <w:r>
              <w:rPr>
                <w:rFonts w:ascii="宋体" w:hAnsi="宋体"/>
                <w:sz w:val="24"/>
                <w:szCs w:val="24"/>
              </w:rPr>
              <w:t>0</w:t>
            </w:r>
            <w:r>
              <w:rPr>
                <w:rFonts w:hint="eastAsia" w:ascii="宋体" w:hAnsi="宋体"/>
                <w:sz w:val="24"/>
                <w:szCs w:val="24"/>
              </w:rPr>
              <w:t>元</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p>
        </w:tc>
      </w:tr>
      <w:tr>
        <w:tblPrEx>
          <w:tblCellMar>
            <w:top w:w="0" w:type="dxa"/>
            <w:left w:w="0" w:type="dxa"/>
            <w:bottom w:w="0" w:type="dxa"/>
            <w:right w:w="0" w:type="dxa"/>
          </w:tblCellMar>
        </w:tblPrEx>
        <w:trPr>
          <w:trHeight w:val="539"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5</w:t>
            </w:r>
          </w:p>
        </w:tc>
        <w:tc>
          <w:tcPr>
            <w:tcW w:w="155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jc w:val="center"/>
              <w:rPr>
                <w:rFonts w:ascii="宋体" w:hAnsi="宋体" w:cs="宋体"/>
                <w:color w:val="000000"/>
                <w:sz w:val="24"/>
                <w:szCs w:val="24"/>
              </w:rPr>
            </w:pPr>
            <w:r>
              <w:rPr>
                <w:rFonts w:hint="eastAsia" w:ascii="宋体" w:hAnsi="宋体" w:cs="宋体"/>
                <w:color w:val="000000"/>
                <w:sz w:val="24"/>
                <w:szCs w:val="24"/>
              </w:rPr>
              <w:t>[0,60)</w:t>
            </w:r>
          </w:p>
        </w:tc>
        <w:tc>
          <w:tcPr>
            <w:tcW w:w="3118"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center"/>
          </w:tcPr>
          <w:p>
            <w:pPr>
              <w:widowControl/>
              <w:spacing w:line="360" w:lineRule="auto"/>
              <w:jc w:val="center"/>
              <w:rPr>
                <w:rFonts w:ascii="宋体" w:hAnsi="宋体"/>
                <w:sz w:val="24"/>
                <w:szCs w:val="24"/>
              </w:rPr>
            </w:pPr>
            <w:r>
              <w:rPr>
                <w:rFonts w:hint="eastAsia" w:ascii="宋体" w:hAnsi="宋体"/>
                <w:sz w:val="24"/>
                <w:szCs w:val="24"/>
              </w:rPr>
              <w:t>服务费按70%支付</w:t>
            </w:r>
          </w:p>
        </w:tc>
        <w:tc>
          <w:tcPr>
            <w:tcW w:w="3969" w:type="dxa"/>
            <w:tcBorders>
              <w:top w:val="single" w:color="000000" w:sz="8" w:space="0"/>
              <w:left w:val="single" w:color="000000" w:sz="8" w:space="0"/>
              <w:bottom w:val="single" w:color="000000" w:sz="8" w:space="0"/>
              <w:right w:val="single" w:color="000000" w:sz="8" w:space="0"/>
            </w:tcBorders>
            <w:shd w:val="clear" w:color="auto" w:fill="auto"/>
            <w:noWrap w:val="0"/>
            <w:tcMar>
              <w:top w:w="15" w:type="dxa"/>
              <w:left w:w="108" w:type="dxa"/>
              <w:bottom w:w="0" w:type="dxa"/>
              <w:right w:w="108" w:type="dxa"/>
            </w:tcMar>
            <w:vAlign w:val="top"/>
          </w:tcPr>
          <w:p>
            <w:pPr>
              <w:widowControl/>
              <w:spacing w:line="360" w:lineRule="auto"/>
              <w:jc w:val="center"/>
              <w:rPr>
                <w:rFonts w:ascii="宋体" w:hAnsi="宋体"/>
                <w:sz w:val="24"/>
                <w:szCs w:val="24"/>
              </w:rPr>
            </w:pPr>
            <w:r>
              <w:rPr>
                <w:rFonts w:hint="eastAsia" w:ascii="宋体" w:hAnsi="宋体"/>
                <w:sz w:val="24"/>
                <w:szCs w:val="24"/>
              </w:rPr>
              <w:t>连续3个</w:t>
            </w:r>
            <w:r>
              <w:rPr>
                <w:rFonts w:ascii="宋体" w:hAnsi="宋体"/>
                <w:sz w:val="24"/>
                <w:szCs w:val="24"/>
              </w:rPr>
              <w:t>月</w:t>
            </w:r>
            <w:r>
              <w:rPr>
                <w:rFonts w:hint="eastAsia" w:ascii="宋体" w:hAnsi="宋体"/>
                <w:sz w:val="24"/>
                <w:szCs w:val="24"/>
              </w:rPr>
              <w:t>不达标，取消服务资格</w:t>
            </w:r>
          </w:p>
        </w:tc>
      </w:tr>
    </w:tbl>
    <w:p>
      <w:pPr>
        <w:tabs>
          <w:tab w:val="left" w:pos="626"/>
        </w:tabs>
        <w:rPr>
          <w:rFonts w:hint="eastAsia" w:asciiTheme="minorEastAsia" w:hAnsiTheme="minorEastAsia" w:eastAsiaTheme="minorEastAsia" w:cstheme="minorEastAsia"/>
          <w:color w:val="000000"/>
          <w:sz w:val="24"/>
          <w:szCs w:val="24"/>
          <w:lang w:val="en-US"/>
        </w:rPr>
      </w:pPr>
    </w:p>
    <w:p>
      <w:pPr>
        <w:tabs>
          <w:tab w:val="left" w:pos="626"/>
        </w:tabs>
        <w:rPr>
          <w:rFonts w:hint="eastAsia" w:asciiTheme="minorEastAsia" w:hAnsiTheme="minorEastAsia" w:eastAsiaTheme="minorEastAsia" w:cstheme="minorEastAsia"/>
          <w:color w:val="000000"/>
          <w:sz w:val="24"/>
          <w:szCs w:val="24"/>
          <w:lang w:val="en-US"/>
        </w:rPr>
      </w:pPr>
    </w:p>
    <w:sectPr>
      <w:footerReference r:id="rId9" w:type="default"/>
      <w:pgSz w:w="11910" w:h="16840"/>
      <w:pgMar w:top="1240" w:right="820" w:bottom="1180" w:left="780" w:header="506" w:footer="9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9"/>
      </w:rPr>
    </w:pPr>
    <w:r>
      <w:rPr>
        <w:lang w:val="en-US" w:bidi="ar-SA"/>
      </w:rPr>
      <mc:AlternateContent>
        <mc:Choice Requires="wps">
          <w:drawing>
            <wp:anchor distT="0" distB="0" distL="114300" distR="114300" simplePos="0" relativeHeight="251677696" behindDoc="1" locked="0" layoutInCell="1" allowOverlap="1">
              <wp:simplePos x="0" y="0"/>
              <wp:positionH relativeFrom="page">
                <wp:posOffset>3677920</wp:posOffset>
              </wp:positionH>
              <wp:positionV relativeFrom="page">
                <wp:posOffset>9925050</wp:posOffset>
              </wp:positionV>
              <wp:extent cx="203835" cy="1524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203835" cy="152400"/>
                      </a:xfrm>
                      <a:prstGeom prst="rect">
                        <a:avLst/>
                      </a:prstGeom>
                      <a:noFill/>
                      <a:ln>
                        <a:noFill/>
                      </a:ln>
                    </wps:spPr>
                    <wps:txbx>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9</w:t>
                          </w:r>
                          <w:r>
                            <w:fldChar w:fldCharType="end"/>
                          </w:r>
                          <w:r>
                            <w:rPr>
                              <w:spacing w:val="-51"/>
                              <w:sz w:val="18"/>
                            </w:rPr>
                            <w:t xml:space="preserve"> </w:t>
                          </w:r>
                          <w:r>
                            <w:rPr>
                              <w:rFonts w:ascii="Calibri"/>
                              <w:sz w:val="18"/>
                            </w:rPr>
                            <w:t>-</w:t>
                          </w:r>
                        </w:p>
                      </w:txbxContent>
                    </wps:txbx>
                    <wps:bodyPr lIns="0" tIns="0" rIns="0" bIns="0" upright="1"/>
                  </wps:wsp>
                </a:graphicData>
              </a:graphic>
            </wp:anchor>
          </w:drawing>
        </mc:Choice>
        <mc:Fallback>
          <w:pict>
            <v:shape id="文本框 2" o:spid="_x0000_s1026" o:spt="202" type="#_x0000_t202" style="position:absolute;left:0pt;margin-left:289.6pt;margin-top:781.5pt;height:12pt;width:16.05pt;mso-position-horizontal-relative:page;mso-position-vertical-relative:page;z-index:-251638784;mso-width-relative:page;mso-height-relative:page;" filled="f" stroked="f" coordsize="21600,21600" o:gfxdata="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OazR3bAAAADQEAAA8AAAAAAAAAAQAgAAAAIgAAAGRycy9kb3ducmV2LnhtbFBL&#10;AQIUABQAAAAIAIdO4kAezYM4ugEAAHIDAAAOAAAAAAAAAAEAIAAAACoBAABkcnMvZTJvRG9jLnht&#10;bFBLBQYAAAAABgAGAFkBAABWBQAAAAA=&#10;">
              <v:fill on="f" focussize="0,0"/>
              <v:stroke on="f"/>
              <v:imagedata o:title=""/>
              <o:lock v:ext="edit" aspectratio="f"/>
              <v:textbox inset="0mm,0mm,0mm,0mm">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9</w:t>
                    </w:r>
                    <w:r>
                      <w:fldChar w:fldCharType="end"/>
                    </w:r>
                    <w:r>
                      <w:rPr>
                        <w:spacing w:val="-51"/>
                        <w:sz w:val="18"/>
                      </w:rPr>
                      <w:t xml:space="preserve"> </w:t>
                    </w:r>
                    <w:r>
                      <w:rPr>
                        <w:rFonts w:ascii="Calibri"/>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9"/>
      </w:rPr>
    </w:pPr>
    <w:r>
      <w:rPr>
        <w:lang w:val="en-US" w:bidi="ar-SA"/>
      </w:rPr>
      <mc:AlternateContent>
        <mc:Choice Requires="wps">
          <w:drawing>
            <wp:anchor distT="0" distB="0" distL="114300" distR="114300" simplePos="0" relativeHeight="251637760" behindDoc="1" locked="0" layoutInCell="1" allowOverlap="1">
              <wp:simplePos x="0" y="0"/>
              <wp:positionH relativeFrom="page">
                <wp:posOffset>3647440</wp:posOffset>
              </wp:positionH>
              <wp:positionV relativeFrom="page">
                <wp:posOffset>9925050</wp:posOffset>
              </wp:positionV>
              <wp:extent cx="260350" cy="1524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260350" cy="152400"/>
                      </a:xfrm>
                      <a:prstGeom prst="rect">
                        <a:avLst/>
                      </a:prstGeom>
                      <a:noFill/>
                      <a:ln>
                        <a:noFill/>
                      </a:ln>
                    </wps:spPr>
                    <wps:txbx>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12</w:t>
                          </w:r>
                          <w:r>
                            <w:fldChar w:fldCharType="end"/>
                          </w:r>
                          <w:r>
                            <w:rPr>
                              <w:spacing w:val="-54"/>
                              <w:sz w:val="18"/>
                            </w:rPr>
                            <w:t xml:space="preserve"> </w:t>
                          </w:r>
                          <w:r>
                            <w:rPr>
                              <w:rFonts w:ascii="Calibri"/>
                              <w:sz w:val="18"/>
                            </w:rPr>
                            <w:t>-</w:t>
                          </w:r>
                        </w:p>
                      </w:txbxContent>
                    </wps:txbx>
                    <wps:bodyPr lIns="0" tIns="0" rIns="0" bIns="0" upright="1"/>
                  </wps:wsp>
                </a:graphicData>
              </a:graphic>
            </wp:anchor>
          </w:drawing>
        </mc:Choice>
        <mc:Fallback>
          <w:pict>
            <v:shape id="文本框 3" o:spid="_x0000_s1026" o:spt="202" type="#_x0000_t202" style="position:absolute;left:0pt;margin-left:287.2pt;margin-top:781.5pt;height:12pt;width:20.5pt;mso-position-horizontal-relative:page;mso-position-vertical-relative:page;z-index:-251678720;mso-width-relative:page;mso-height-relative:page;" filled="f" stroked="f" coordsize="21600,21600" o:gfxdata="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IHA7doAAAANAQAADwAAAAAAAAABACAAAAAiAAAAZHJzL2Rvd25yZXYueG1sUEsB&#10;AhQAFAAAAAgAh07iQE04t2S6AQAAcgMAAA4AAAAAAAAAAQAgAAAAKQEAAGRycy9lMm9Eb2MueG1s&#10;UEsFBgAAAAAGAAYAWQEAAFUFAAAAAA==&#10;">
              <v:fill on="f" focussize="0,0"/>
              <v:stroke on="f"/>
              <v:imagedata o:title=""/>
              <o:lock v:ext="edit" aspectratio="f"/>
              <v:textbox inset="0mm,0mm,0mm,0mm">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12</w:t>
                    </w:r>
                    <w:r>
                      <w:fldChar w:fldCharType="end"/>
                    </w:r>
                    <w:r>
                      <w:rPr>
                        <w:spacing w:val="-54"/>
                        <w:sz w:val="18"/>
                      </w:rPr>
                      <w:t xml:space="preserve"> </w:t>
                    </w:r>
                    <w:r>
                      <w:rPr>
                        <w:rFonts w:ascii="Calibri"/>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3647440</wp:posOffset>
              </wp:positionH>
              <wp:positionV relativeFrom="page">
                <wp:posOffset>9925050</wp:posOffset>
              </wp:positionV>
              <wp:extent cx="260350" cy="152400"/>
              <wp:effectExtent l="0" t="0" r="0" b="0"/>
              <wp:wrapNone/>
              <wp:docPr id="55" name="文本框 22"/>
              <wp:cNvGraphicFramePr/>
              <a:graphic xmlns:a="http://schemas.openxmlformats.org/drawingml/2006/main">
                <a:graphicData uri="http://schemas.microsoft.com/office/word/2010/wordprocessingShape">
                  <wps:wsp>
                    <wps:cNvSpPr txBox="1"/>
                    <wps:spPr>
                      <a:xfrm>
                        <a:off x="0" y="0"/>
                        <a:ext cx="260350" cy="152400"/>
                      </a:xfrm>
                      <a:prstGeom prst="rect">
                        <a:avLst/>
                      </a:prstGeom>
                      <a:noFill/>
                      <a:ln>
                        <a:noFill/>
                      </a:ln>
                    </wps:spPr>
                    <wps:txbx>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34</w:t>
                          </w:r>
                          <w:r>
                            <w:fldChar w:fldCharType="end"/>
                          </w:r>
                          <w:r>
                            <w:rPr>
                              <w:spacing w:val="-54"/>
                              <w:sz w:val="18"/>
                            </w:rPr>
                            <w:t xml:space="preserve"> </w:t>
                          </w:r>
                          <w:r>
                            <w:rPr>
                              <w:rFonts w:ascii="Calibri"/>
                              <w:sz w:val="18"/>
                            </w:rPr>
                            <w:t>-</w:t>
                          </w:r>
                        </w:p>
                      </w:txbxContent>
                    </wps:txbx>
                    <wps:bodyPr lIns="0" tIns="0" rIns="0" bIns="0" upright="1"/>
                  </wps:wsp>
                </a:graphicData>
              </a:graphic>
            </wp:anchor>
          </w:drawing>
        </mc:Choice>
        <mc:Fallback>
          <w:pict>
            <v:shape id="文本框 22" o:spid="_x0000_s1026" o:spt="202" type="#_x0000_t202" style="position:absolute;left:0pt;margin-left:287.2pt;margin-top:781.5pt;height:12pt;width:20.5pt;mso-position-horizontal-relative:page;mso-position-vertical-relative:page;z-index:-251651072;mso-width-relative:page;mso-height-relative:page;" filled="f" stroked="f" coordsize="21600,21600" o:gfxdata="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gcDt2gAAAA0BAAAPAAAAAAAAAAEAIAAAACIAAABkcnMvZG93bnJldi54bWxQ&#10;SwECFAAUAAAACACHTuJA6sZ8+rwBAABzAwAADgAAAAAAAAABACAAAAApAQAAZHJzL2Uyb0RvYy54&#10;bWxQSwUGAAAAAAYABgBZAQAAVwUAAAAA&#10;">
              <v:fill on="f" focussize="0,0"/>
              <v:stroke on="f"/>
              <v:imagedata o:title=""/>
              <o:lock v:ext="edit" aspectratio="f"/>
              <v:textbox inset="0mm,0mm,0mm,0mm">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34</w:t>
                    </w:r>
                    <w:r>
                      <w:fldChar w:fldCharType="end"/>
                    </w:r>
                    <w:r>
                      <w:rPr>
                        <w:spacing w:val="-54"/>
                        <w:sz w:val="18"/>
                      </w:rPr>
                      <w:t xml:space="preserve"> </w:t>
                    </w:r>
                    <w:r>
                      <w:rPr>
                        <w:rFonts w:ascii="Calibri"/>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lang w:val="en-US" w:bidi="ar-SA"/>
      </w:rPr>
      <mc:AlternateContent>
        <mc:Choice Requires="wps">
          <w:drawing>
            <wp:anchor distT="0" distB="0" distL="114300" distR="114300" simplePos="0" relativeHeight="251674624" behindDoc="1" locked="0" layoutInCell="1" allowOverlap="1">
              <wp:simplePos x="0" y="0"/>
              <wp:positionH relativeFrom="page">
                <wp:posOffset>3647440</wp:posOffset>
              </wp:positionH>
              <wp:positionV relativeFrom="page">
                <wp:posOffset>9925050</wp:posOffset>
              </wp:positionV>
              <wp:extent cx="260350" cy="152400"/>
              <wp:effectExtent l="0" t="0" r="0" b="0"/>
              <wp:wrapNone/>
              <wp:docPr id="62" name="文本框 29"/>
              <wp:cNvGraphicFramePr/>
              <a:graphic xmlns:a="http://schemas.openxmlformats.org/drawingml/2006/main">
                <a:graphicData uri="http://schemas.microsoft.com/office/word/2010/wordprocessingShape">
                  <wps:wsp>
                    <wps:cNvSpPr txBox="1"/>
                    <wps:spPr>
                      <a:xfrm>
                        <a:off x="0" y="0"/>
                        <a:ext cx="260350" cy="152400"/>
                      </a:xfrm>
                      <a:prstGeom prst="rect">
                        <a:avLst/>
                      </a:prstGeom>
                      <a:noFill/>
                      <a:ln>
                        <a:noFill/>
                      </a:ln>
                    </wps:spPr>
                    <wps:txbx>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58</w:t>
                          </w:r>
                          <w:r>
                            <w:fldChar w:fldCharType="end"/>
                          </w:r>
                          <w:r>
                            <w:rPr>
                              <w:spacing w:val="-54"/>
                              <w:sz w:val="18"/>
                            </w:rPr>
                            <w:t xml:space="preserve"> </w:t>
                          </w:r>
                          <w:r>
                            <w:rPr>
                              <w:rFonts w:ascii="Calibri"/>
                              <w:sz w:val="18"/>
                            </w:rPr>
                            <w:t>-</w:t>
                          </w:r>
                        </w:p>
                      </w:txbxContent>
                    </wps:txbx>
                    <wps:bodyPr lIns="0" tIns="0" rIns="0" bIns="0" upright="1"/>
                  </wps:wsp>
                </a:graphicData>
              </a:graphic>
            </wp:anchor>
          </w:drawing>
        </mc:Choice>
        <mc:Fallback>
          <w:pict>
            <v:shape id="文本框 29" o:spid="_x0000_s1026" o:spt="202" type="#_x0000_t202" style="position:absolute;left:0pt;margin-left:287.2pt;margin-top:781.5pt;height:12pt;width:20.5pt;mso-position-horizontal-relative:page;mso-position-vertical-relative:page;z-index:-251641856;mso-width-relative:page;mso-height-relative:page;" filled="f" stroked="f" coordsize="21600,21600" o:gfxdata="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UgcDt2gAAAA0BAAAPAAAAAAAAAAEAIAAAACIAAABkcnMvZG93bnJldi54bWxQ&#10;SwECFAAUAAAACACHTuJAZ2tk2bwBAABzAwAADgAAAAAAAAABACAAAAApAQAAZHJzL2Uyb0RvYy54&#10;bWxQSwUGAAAAAAYABgBZAQAAVwUAAAAA&#10;">
              <v:fill on="f" focussize="0,0"/>
              <v:stroke on="f"/>
              <v:imagedata o:title=""/>
              <o:lock v:ext="edit" aspectratio="f"/>
              <v:textbox inset="0mm,0mm,0mm,0mm">
                <w:txbxContent>
                  <w:p>
                    <w:pPr>
                      <w:spacing w:line="225" w:lineRule="exact"/>
                      <w:ind w:left="20"/>
                      <w:rPr>
                        <w:rFonts w:ascii="Calibri"/>
                        <w:sz w:val="18"/>
                      </w:rPr>
                    </w:pPr>
                    <w:r>
                      <w:rPr>
                        <w:rFonts w:ascii="Calibri"/>
                        <w:sz w:val="18"/>
                      </w:rPr>
                      <w:t xml:space="preserve">- </w:t>
                    </w:r>
                    <w:r>
                      <w:fldChar w:fldCharType="begin"/>
                    </w:r>
                    <w:r>
                      <w:rPr>
                        <w:sz w:val="18"/>
                      </w:rPr>
                      <w:instrText xml:space="preserve"> PAGE </w:instrText>
                    </w:r>
                    <w:r>
                      <w:fldChar w:fldCharType="separate"/>
                    </w:r>
                    <w:r>
                      <w:rPr>
                        <w:sz w:val="18"/>
                      </w:rPr>
                      <w:t>58</w:t>
                    </w:r>
                    <w:r>
                      <w:fldChar w:fldCharType="end"/>
                    </w:r>
                    <w:r>
                      <w:rPr>
                        <w:spacing w:val="-54"/>
                        <w:sz w:val="18"/>
                      </w:rPr>
                      <w:t xml:space="preserve"> </w:t>
                    </w:r>
                    <w:r>
                      <w:rPr>
                        <w:rFonts w:ascii="Calibri"/>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drawing>
        <wp:anchor distT="0" distB="0" distL="0" distR="0" simplePos="0" relativeHeight="251675648" behindDoc="1" locked="0" layoutInCell="1" allowOverlap="1">
          <wp:simplePos x="0" y="0"/>
          <wp:positionH relativeFrom="page">
            <wp:posOffset>694690</wp:posOffset>
          </wp:positionH>
          <wp:positionV relativeFrom="page">
            <wp:posOffset>321310</wp:posOffset>
          </wp:positionV>
          <wp:extent cx="1257300" cy="39751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stretch>
                    <a:fillRect/>
                  </a:stretch>
                </pic:blipFill>
                <pic:spPr>
                  <a:xfrm>
                    <a:off x="0" y="0"/>
                    <a:ext cx="1257300" cy="397764"/>
                  </a:xfrm>
                  <a:prstGeom prst="rect">
                    <a:avLst/>
                  </a:prstGeom>
                </pic:spPr>
              </pic:pic>
            </a:graphicData>
          </a:graphic>
        </wp:anchor>
      </w:drawing>
    </w:r>
    <w:r>
      <w:rPr>
        <w:lang w:val="en-US" w:bidi="ar-SA"/>
      </w:rPr>
      <mc:AlternateContent>
        <mc:Choice Requires="wps">
          <w:drawing>
            <wp:anchor distT="0" distB="0" distL="114300" distR="114300" simplePos="0" relativeHeight="251676672" behindDoc="1" locked="0" layoutInCell="1" allowOverlap="1">
              <wp:simplePos x="0" y="0"/>
              <wp:positionH relativeFrom="page">
                <wp:posOffset>900430</wp:posOffset>
              </wp:positionH>
              <wp:positionV relativeFrom="page">
                <wp:posOffset>787400</wp:posOffset>
              </wp:positionV>
              <wp:extent cx="5759450" cy="0"/>
              <wp:effectExtent l="0" t="0" r="0" b="0"/>
              <wp:wrapNone/>
              <wp:docPr id="16" name="直线 1"/>
              <wp:cNvGraphicFramePr/>
              <a:graphic xmlns:a="http://schemas.openxmlformats.org/drawingml/2006/main">
                <a:graphicData uri="http://schemas.microsoft.com/office/word/2010/wordprocessingShape">
                  <wps:wsp>
                    <wps:cNvCnPr/>
                    <wps:spPr>
                      <a:xfrm>
                        <a:off x="0" y="0"/>
                        <a:ext cx="575945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70.9pt;margin-top:62pt;height:0pt;width:453.5pt;mso-position-horizontal-relative:page;mso-position-vertical-relative:page;z-index:-251639808;mso-width-relative:page;mso-height-relative:page;" filled="f" stroked="t" coordsize="21600,21600" o:gfxdata="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Qu78TWAAAADAEAAA8A&#10;AAAAAAAAAQAgAAAAIgAAAGRycy9kb3ducmV2LnhtbFBLAQIUABQAAAAIAIdO4kBpbCA44AEAANAD&#10;AAAOAAAAAAAAAAEAIAAAACUBAABkcnMvZTJvRG9jLnhtbFBLBQYAAAAABgAGAFkBAAB3BQ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drawing>
        <wp:anchor distT="0" distB="0" distL="0" distR="0" simplePos="0" relativeHeight="251641856" behindDoc="1" locked="0" layoutInCell="1" allowOverlap="1">
          <wp:simplePos x="0" y="0"/>
          <wp:positionH relativeFrom="page">
            <wp:posOffset>694690</wp:posOffset>
          </wp:positionH>
          <wp:positionV relativeFrom="page">
            <wp:posOffset>321310</wp:posOffset>
          </wp:positionV>
          <wp:extent cx="1257300" cy="39751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pic:cNvPicPr>
                </pic:nvPicPr>
                <pic:blipFill>
                  <a:blip r:embed="rId1" cstate="print"/>
                  <a:stretch>
                    <a:fillRect/>
                  </a:stretch>
                </pic:blipFill>
                <pic:spPr>
                  <a:xfrm>
                    <a:off x="0" y="0"/>
                    <a:ext cx="1257300" cy="397764"/>
                  </a:xfrm>
                  <a:prstGeom prst="rect">
                    <a:avLst/>
                  </a:prstGeom>
                </pic:spPr>
              </pic:pic>
            </a:graphicData>
          </a:graphic>
        </wp:anchor>
      </w:drawing>
    </w:r>
    <w:r>
      <w:rPr>
        <w:lang w:val="en-US" w:bidi="ar-SA"/>
      </w:rPr>
      <mc:AlternateContent>
        <mc:Choice Requires="wps">
          <w:drawing>
            <wp:anchor distT="0" distB="0" distL="114300" distR="114300" simplePos="0" relativeHeight="251642880" behindDoc="1" locked="0" layoutInCell="1" allowOverlap="1">
              <wp:simplePos x="0" y="0"/>
              <wp:positionH relativeFrom="page">
                <wp:posOffset>900430</wp:posOffset>
              </wp:positionH>
              <wp:positionV relativeFrom="page">
                <wp:posOffset>787400</wp:posOffset>
              </wp:positionV>
              <wp:extent cx="5759450" cy="0"/>
              <wp:effectExtent l="0" t="0" r="0" b="0"/>
              <wp:wrapNone/>
              <wp:docPr id="26" name="直线 6"/>
              <wp:cNvGraphicFramePr/>
              <a:graphic xmlns:a="http://schemas.openxmlformats.org/drawingml/2006/main">
                <a:graphicData uri="http://schemas.microsoft.com/office/word/2010/wordprocessingShape">
                  <wps:wsp>
                    <wps:cNvCnPr/>
                    <wps:spPr>
                      <a:xfrm>
                        <a:off x="0" y="0"/>
                        <a:ext cx="575945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70.9pt;margin-top:62pt;height:0pt;width:453.5pt;mso-position-horizontal-relative:page;mso-position-vertical-relative:page;z-index:-251673600;mso-width-relative:page;mso-height-relative:page;" filled="f" stroked="t" coordsize="21600,21600" o:gfxdata="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kLu/E1gAAAAwBAAAP&#10;AAAAAAAAAAEAIAAAACIAAABkcnMvZG93bnJldi54bWxQSwECFAAUAAAACACHTuJAaO463+EBAADQ&#10;AwAADgAAAAAAAAABACAAAAAlAQAAZHJzL2Uyb0RvYy54bWxQSwUGAAAAAAYABgBZAQAAeA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w:drawing>
        <wp:anchor distT="0" distB="0" distL="0" distR="0" simplePos="0" relativeHeight="251672576" behindDoc="1" locked="0" layoutInCell="1" allowOverlap="1">
          <wp:simplePos x="0" y="0"/>
          <wp:positionH relativeFrom="page">
            <wp:posOffset>694690</wp:posOffset>
          </wp:positionH>
          <wp:positionV relativeFrom="page">
            <wp:posOffset>321310</wp:posOffset>
          </wp:positionV>
          <wp:extent cx="1257300" cy="397510"/>
          <wp:effectExtent l="0" t="0" r="0" b="0"/>
          <wp:wrapNone/>
          <wp:docPr id="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jpeg"/>
                  <pic:cNvPicPr>
                    <a:picLocks noChangeAspect="1"/>
                  </pic:cNvPicPr>
                </pic:nvPicPr>
                <pic:blipFill>
                  <a:blip r:embed="rId1" cstate="print"/>
                  <a:stretch>
                    <a:fillRect/>
                  </a:stretch>
                </pic:blipFill>
                <pic:spPr>
                  <a:xfrm>
                    <a:off x="0" y="0"/>
                    <a:ext cx="1257300" cy="397764"/>
                  </a:xfrm>
                  <a:prstGeom prst="rect">
                    <a:avLst/>
                  </a:prstGeom>
                </pic:spPr>
              </pic:pic>
            </a:graphicData>
          </a:graphic>
        </wp:anchor>
      </w:drawing>
    </w:r>
    <w:r>
      <w:rPr>
        <w:lang w:val="en-US" w:bidi="ar-SA"/>
      </w:rPr>
      <mc:AlternateContent>
        <mc:Choice Requires="wps">
          <w:drawing>
            <wp:anchor distT="0" distB="0" distL="114300" distR="114300" simplePos="0" relativeHeight="251673600" behindDoc="1" locked="0" layoutInCell="1" allowOverlap="1">
              <wp:simplePos x="0" y="0"/>
              <wp:positionH relativeFrom="page">
                <wp:posOffset>900430</wp:posOffset>
              </wp:positionH>
              <wp:positionV relativeFrom="page">
                <wp:posOffset>787400</wp:posOffset>
              </wp:positionV>
              <wp:extent cx="5759450" cy="0"/>
              <wp:effectExtent l="0" t="0" r="0" b="0"/>
              <wp:wrapNone/>
              <wp:docPr id="61" name="直线 28"/>
              <wp:cNvGraphicFramePr/>
              <a:graphic xmlns:a="http://schemas.openxmlformats.org/drawingml/2006/main">
                <a:graphicData uri="http://schemas.microsoft.com/office/word/2010/wordprocessingShape">
                  <wps:wsp>
                    <wps:cNvCnPr/>
                    <wps:spPr>
                      <a:xfrm>
                        <a:off x="0" y="0"/>
                        <a:ext cx="575945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28" o:spid="_x0000_s1026" o:spt="20" style="position:absolute;left:0pt;margin-left:70.9pt;margin-top:62pt;height:0pt;width:453.5pt;mso-position-horizontal-relative:page;mso-position-vertical-relative:page;z-index:-251642880;mso-width-relative:page;mso-height-relative:page;" filled="f" stroked="t" coordsize="21600,21600" o:gfxdata="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C7vxNYAAAAMAQAA&#10;DwAAAAAAAAABACAAAAAiAAAAZHJzL2Rvd25yZXYueG1sUEsBAhQAFAAAAAgAh07iQGoGf0/iAQAA&#10;0QMAAA4AAAAAAAAAAQAgAAAAJQEAAGRycy9lMm9Eb2MueG1sUEsFBgAAAAAGAAYAWQEAAHkFAAAA&#10;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12924"/>
    <w:multiLevelType w:val="singleLevel"/>
    <w:tmpl w:val="82212924"/>
    <w:lvl w:ilvl="0" w:tentative="0">
      <w:start w:val="4"/>
      <w:numFmt w:val="chineseCounting"/>
      <w:suff w:val="nothing"/>
      <w:lvlText w:val="（%1）"/>
      <w:lvlJc w:val="left"/>
      <w:rPr>
        <w:rFonts w:hint="eastAsia"/>
      </w:rPr>
    </w:lvl>
  </w:abstractNum>
  <w:abstractNum w:abstractNumId="1">
    <w:nsid w:val="B5E306ED"/>
    <w:multiLevelType w:val="multilevel"/>
    <w:tmpl w:val="B5E306ED"/>
    <w:lvl w:ilvl="0" w:tentative="0">
      <w:start w:val="1"/>
      <w:numFmt w:val="decimal"/>
      <w:lvlText w:val="%1."/>
      <w:lvlJc w:val="left"/>
      <w:pPr>
        <w:ind w:left="638" w:hanging="212"/>
      </w:pPr>
      <w:rPr>
        <w:rFonts w:hint="default" w:ascii="宋体" w:hAnsi="宋体" w:eastAsia="宋体" w:cs="宋体"/>
        <w:w w:val="98"/>
        <w:sz w:val="19"/>
        <w:szCs w:val="19"/>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abstractNum w:abstractNumId="2">
    <w:nsid w:val="BF205925"/>
    <w:multiLevelType w:val="multilevel"/>
    <w:tmpl w:val="BF205925"/>
    <w:lvl w:ilvl="0" w:tentative="0">
      <w:start w:val="1"/>
      <w:numFmt w:val="lowerLetter"/>
      <w:lvlText w:val="(%1)"/>
      <w:lvlJc w:val="left"/>
      <w:pPr>
        <w:ind w:left="638" w:hanging="317"/>
      </w:pPr>
      <w:rPr>
        <w:rFonts w:hint="default"/>
        <w:spacing w:val="-2"/>
        <w:w w:val="98"/>
        <w:lang w:val="zh-CN" w:eastAsia="zh-CN" w:bidi="zh-CN"/>
      </w:rPr>
    </w:lvl>
    <w:lvl w:ilvl="1" w:tentative="0">
      <w:start w:val="0"/>
      <w:numFmt w:val="bullet"/>
      <w:lvlText w:val="•"/>
      <w:lvlJc w:val="left"/>
      <w:pPr>
        <w:ind w:left="1607" w:hanging="317"/>
      </w:pPr>
      <w:rPr>
        <w:rFonts w:hint="default"/>
        <w:lang w:val="zh-CN" w:eastAsia="zh-CN" w:bidi="zh-CN"/>
      </w:rPr>
    </w:lvl>
    <w:lvl w:ilvl="2" w:tentative="0">
      <w:start w:val="0"/>
      <w:numFmt w:val="bullet"/>
      <w:lvlText w:val="•"/>
      <w:lvlJc w:val="left"/>
      <w:pPr>
        <w:ind w:left="2574" w:hanging="317"/>
      </w:pPr>
      <w:rPr>
        <w:rFonts w:hint="default"/>
        <w:lang w:val="zh-CN" w:eastAsia="zh-CN" w:bidi="zh-CN"/>
      </w:rPr>
    </w:lvl>
    <w:lvl w:ilvl="3" w:tentative="0">
      <w:start w:val="0"/>
      <w:numFmt w:val="bullet"/>
      <w:lvlText w:val="•"/>
      <w:lvlJc w:val="left"/>
      <w:pPr>
        <w:ind w:left="3541" w:hanging="317"/>
      </w:pPr>
      <w:rPr>
        <w:rFonts w:hint="default"/>
        <w:lang w:val="zh-CN" w:eastAsia="zh-CN" w:bidi="zh-CN"/>
      </w:rPr>
    </w:lvl>
    <w:lvl w:ilvl="4" w:tentative="0">
      <w:start w:val="0"/>
      <w:numFmt w:val="bullet"/>
      <w:lvlText w:val="•"/>
      <w:lvlJc w:val="left"/>
      <w:pPr>
        <w:ind w:left="4508" w:hanging="317"/>
      </w:pPr>
      <w:rPr>
        <w:rFonts w:hint="default"/>
        <w:lang w:val="zh-CN" w:eastAsia="zh-CN" w:bidi="zh-CN"/>
      </w:rPr>
    </w:lvl>
    <w:lvl w:ilvl="5" w:tentative="0">
      <w:start w:val="0"/>
      <w:numFmt w:val="bullet"/>
      <w:lvlText w:val="•"/>
      <w:lvlJc w:val="left"/>
      <w:pPr>
        <w:ind w:left="5475" w:hanging="317"/>
      </w:pPr>
      <w:rPr>
        <w:rFonts w:hint="default"/>
        <w:lang w:val="zh-CN" w:eastAsia="zh-CN" w:bidi="zh-CN"/>
      </w:rPr>
    </w:lvl>
    <w:lvl w:ilvl="6" w:tentative="0">
      <w:start w:val="0"/>
      <w:numFmt w:val="bullet"/>
      <w:lvlText w:val="•"/>
      <w:lvlJc w:val="left"/>
      <w:pPr>
        <w:ind w:left="6442" w:hanging="317"/>
      </w:pPr>
      <w:rPr>
        <w:rFonts w:hint="default"/>
        <w:lang w:val="zh-CN" w:eastAsia="zh-CN" w:bidi="zh-CN"/>
      </w:rPr>
    </w:lvl>
    <w:lvl w:ilvl="7" w:tentative="0">
      <w:start w:val="0"/>
      <w:numFmt w:val="bullet"/>
      <w:lvlText w:val="•"/>
      <w:lvlJc w:val="left"/>
      <w:pPr>
        <w:ind w:left="7409" w:hanging="317"/>
      </w:pPr>
      <w:rPr>
        <w:rFonts w:hint="default"/>
        <w:lang w:val="zh-CN" w:eastAsia="zh-CN" w:bidi="zh-CN"/>
      </w:rPr>
    </w:lvl>
    <w:lvl w:ilvl="8" w:tentative="0">
      <w:start w:val="0"/>
      <w:numFmt w:val="bullet"/>
      <w:lvlText w:val="•"/>
      <w:lvlJc w:val="left"/>
      <w:pPr>
        <w:ind w:left="8376" w:hanging="317"/>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1260" w:hanging="202"/>
      </w:pPr>
      <w:rPr>
        <w:rFonts w:hint="default" w:ascii="宋体" w:hAnsi="宋体" w:eastAsia="宋体" w:cs="宋体"/>
        <w:b/>
        <w:bCs/>
        <w:spacing w:val="2"/>
        <w:w w:val="92"/>
        <w:sz w:val="19"/>
        <w:szCs w:val="19"/>
        <w:lang w:val="zh-CN" w:eastAsia="zh-CN" w:bidi="zh-CN"/>
      </w:rPr>
    </w:lvl>
    <w:lvl w:ilvl="1" w:tentative="0">
      <w:start w:val="0"/>
      <w:numFmt w:val="bullet"/>
      <w:lvlText w:val="•"/>
      <w:lvlJc w:val="left"/>
      <w:pPr>
        <w:ind w:left="2165" w:hanging="202"/>
      </w:pPr>
      <w:rPr>
        <w:rFonts w:hint="default"/>
        <w:lang w:val="zh-CN" w:eastAsia="zh-CN" w:bidi="zh-CN"/>
      </w:rPr>
    </w:lvl>
    <w:lvl w:ilvl="2" w:tentative="0">
      <w:start w:val="0"/>
      <w:numFmt w:val="bullet"/>
      <w:lvlText w:val="•"/>
      <w:lvlJc w:val="left"/>
      <w:pPr>
        <w:ind w:left="3070" w:hanging="202"/>
      </w:pPr>
      <w:rPr>
        <w:rFonts w:hint="default"/>
        <w:lang w:val="zh-CN" w:eastAsia="zh-CN" w:bidi="zh-CN"/>
      </w:rPr>
    </w:lvl>
    <w:lvl w:ilvl="3" w:tentative="0">
      <w:start w:val="0"/>
      <w:numFmt w:val="bullet"/>
      <w:lvlText w:val="•"/>
      <w:lvlJc w:val="left"/>
      <w:pPr>
        <w:ind w:left="3975" w:hanging="202"/>
      </w:pPr>
      <w:rPr>
        <w:rFonts w:hint="default"/>
        <w:lang w:val="zh-CN" w:eastAsia="zh-CN" w:bidi="zh-CN"/>
      </w:rPr>
    </w:lvl>
    <w:lvl w:ilvl="4" w:tentative="0">
      <w:start w:val="0"/>
      <w:numFmt w:val="bullet"/>
      <w:lvlText w:val="•"/>
      <w:lvlJc w:val="left"/>
      <w:pPr>
        <w:ind w:left="4880" w:hanging="202"/>
      </w:pPr>
      <w:rPr>
        <w:rFonts w:hint="default"/>
        <w:lang w:val="zh-CN" w:eastAsia="zh-CN" w:bidi="zh-CN"/>
      </w:rPr>
    </w:lvl>
    <w:lvl w:ilvl="5" w:tentative="0">
      <w:start w:val="0"/>
      <w:numFmt w:val="bullet"/>
      <w:lvlText w:val="•"/>
      <w:lvlJc w:val="left"/>
      <w:pPr>
        <w:ind w:left="5785" w:hanging="202"/>
      </w:pPr>
      <w:rPr>
        <w:rFonts w:hint="default"/>
        <w:lang w:val="zh-CN" w:eastAsia="zh-CN" w:bidi="zh-CN"/>
      </w:rPr>
    </w:lvl>
    <w:lvl w:ilvl="6" w:tentative="0">
      <w:start w:val="0"/>
      <w:numFmt w:val="bullet"/>
      <w:lvlText w:val="•"/>
      <w:lvlJc w:val="left"/>
      <w:pPr>
        <w:ind w:left="6690" w:hanging="202"/>
      </w:pPr>
      <w:rPr>
        <w:rFonts w:hint="default"/>
        <w:lang w:val="zh-CN" w:eastAsia="zh-CN" w:bidi="zh-CN"/>
      </w:rPr>
    </w:lvl>
    <w:lvl w:ilvl="7" w:tentative="0">
      <w:start w:val="0"/>
      <w:numFmt w:val="bullet"/>
      <w:lvlText w:val="•"/>
      <w:lvlJc w:val="left"/>
      <w:pPr>
        <w:ind w:left="7595" w:hanging="202"/>
      </w:pPr>
      <w:rPr>
        <w:rFonts w:hint="default"/>
        <w:lang w:val="zh-CN" w:eastAsia="zh-CN" w:bidi="zh-CN"/>
      </w:rPr>
    </w:lvl>
    <w:lvl w:ilvl="8" w:tentative="0">
      <w:start w:val="0"/>
      <w:numFmt w:val="bullet"/>
      <w:lvlText w:val="•"/>
      <w:lvlJc w:val="left"/>
      <w:pPr>
        <w:ind w:left="8500" w:hanging="202"/>
      </w:pPr>
      <w:rPr>
        <w:rFonts w:hint="default"/>
        <w:lang w:val="zh-CN" w:eastAsia="zh-CN" w:bidi="zh-CN"/>
      </w:rPr>
    </w:lvl>
  </w:abstractNum>
  <w:abstractNum w:abstractNumId="4">
    <w:nsid w:val="03D62ECE"/>
    <w:multiLevelType w:val="multilevel"/>
    <w:tmpl w:val="03D62ECE"/>
    <w:lvl w:ilvl="0" w:tentative="0">
      <w:start w:val="1"/>
      <w:numFmt w:val="decimal"/>
      <w:lvlText w:val="%1."/>
      <w:lvlJc w:val="left"/>
      <w:pPr>
        <w:ind w:left="638" w:hanging="212"/>
      </w:pPr>
      <w:rPr>
        <w:rFonts w:hint="default" w:ascii="宋体" w:hAnsi="宋体" w:eastAsia="宋体" w:cs="宋体"/>
        <w:w w:val="98"/>
        <w:sz w:val="19"/>
        <w:szCs w:val="19"/>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abstractNum w:abstractNumId="5">
    <w:nsid w:val="25B654F3"/>
    <w:multiLevelType w:val="multilevel"/>
    <w:tmpl w:val="25B654F3"/>
    <w:lvl w:ilvl="0" w:tentative="0">
      <w:start w:val="1"/>
      <w:numFmt w:val="decimal"/>
      <w:lvlText w:val="%1."/>
      <w:lvlJc w:val="left"/>
      <w:pPr>
        <w:ind w:left="638" w:hanging="212"/>
      </w:pPr>
      <w:rPr>
        <w:rFonts w:hint="default" w:ascii="宋体" w:hAnsi="宋体" w:eastAsia="宋体" w:cs="宋体"/>
        <w:w w:val="98"/>
        <w:sz w:val="19"/>
        <w:szCs w:val="19"/>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abstractNum w:abstractNumId="6">
    <w:nsid w:val="5EEB5C62"/>
    <w:multiLevelType w:val="multilevel"/>
    <w:tmpl w:val="5EEB5C62"/>
    <w:lvl w:ilvl="0" w:tentative="0">
      <w:start w:val="1"/>
      <w:numFmt w:val="decimal"/>
      <w:lvlText w:val="%1."/>
      <w:lvlJc w:val="left"/>
      <w:pPr>
        <w:ind w:left="638" w:hanging="212"/>
      </w:pPr>
      <w:rPr>
        <w:rFonts w:hint="default" w:ascii="宋体" w:hAnsi="宋体" w:eastAsia="宋体" w:cs="宋体"/>
        <w:w w:val="98"/>
        <w:sz w:val="19"/>
        <w:szCs w:val="19"/>
        <w:lang w:val="zh-CN" w:eastAsia="zh-CN" w:bidi="zh-CN"/>
      </w:rPr>
    </w:lvl>
    <w:lvl w:ilvl="1" w:tentative="0">
      <w:start w:val="0"/>
      <w:numFmt w:val="bullet"/>
      <w:lvlText w:val="•"/>
      <w:lvlJc w:val="left"/>
      <w:pPr>
        <w:ind w:left="1607" w:hanging="212"/>
      </w:pPr>
      <w:rPr>
        <w:rFonts w:hint="default"/>
        <w:lang w:val="zh-CN" w:eastAsia="zh-CN" w:bidi="zh-CN"/>
      </w:rPr>
    </w:lvl>
    <w:lvl w:ilvl="2" w:tentative="0">
      <w:start w:val="0"/>
      <w:numFmt w:val="bullet"/>
      <w:lvlText w:val="•"/>
      <w:lvlJc w:val="left"/>
      <w:pPr>
        <w:ind w:left="2574" w:hanging="212"/>
      </w:pPr>
      <w:rPr>
        <w:rFonts w:hint="default"/>
        <w:lang w:val="zh-CN" w:eastAsia="zh-CN" w:bidi="zh-CN"/>
      </w:rPr>
    </w:lvl>
    <w:lvl w:ilvl="3" w:tentative="0">
      <w:start w:val="0"/>
      <w:numFmt w:val="bullet"/>
      <w:lvlText w:val="•"/>
      <w:lvlJc w:val="left"/>
      <w:pPr>
        <w:ind w:left="3541" w:hanging="212"/>
      </w:pPr>
      <w:rPr>
        <w:rFonts w:hint="default"/>
        <w:lang w:val="zh-CN" w:eastAsia="zh-CN" w:bidi="zh-CN"/>
      </w:rPr>
    </w:lvl>
    <w:lvl w:ilvl="4" w:tentative="0">
      <w:start w:val="0"/>
      <w:numFmt w:val="bullet"/>
      <w:lvlText w:val="•"/>
      <w:lvlJc w:val="left"/>
      <w:pPr>
        <w:ind w:left="4508" w:hanging="212"/>
      </w:pPr>
      <w:rPr>
        <w:rFonts w:hint="default"/>
        <w:lang w:val="zh-CN" w:eastAsia="zh-CN" w:bidi="zh-CN"/>
      </w:rPr>
    </w:lvl>
    <w:lvl w:ilvl="5" w:tentative="0">
      <w:start w:val="0"/>
      <w:numFmt w:val="bullet"/>
      <w:lvlText w:val="•"/>
      <w:lvlJc w:val="left"/>
      <w:pPr>
        <w:ind w:left="5475" w:hanging="212"/>
      </w:pPr>
      <w:rPr>
        <w:rFonts w:hint="default"/>
        <w:lang w:val="zh-CN" w:eastAsia="zh-CN" w:bidi="zh-CN"/>
      </w:rPr>
    </w:lvl>
    <w:lvl w:ilvl="6" w:tentative="0">
      <w:start w:val="0"/>
      <w:numFmt w:val="bullet"/>
      <w:lvlText w:val="•"/>
      <w:lvlJc w:val="left"/>
      <w:pPr>
        <w:ind w:left="6442" w:hanging="212"/>
      </w:pPr>
      <w:rPr>
        <w:rFonts w:hint="default"/>
        <w:lang w:val="zh-CN" w:eastAsia="zh-CN" w:bidi="zh-CN"/>
      </w:rPr>
    </w:lvl>
    <w:lvl w:ilvl="7" w:tentative="0">
      <w:start w:val="0"/>
      <w:numFmt w:val="bullet"/>
      <w:lvlText w:val="•"/>
      <w:lvlJc w:val="left"/>
      <w:pPr>
        <w:ind w:left="7409" w:hanging="212"/>
      </w:pPr>
      <w:rPr>
        <w:rFonts w:hint="default"/>
        <w:lang w:val="zh-CN" w:eastAsia="zh-CN" w:bidi="zh-CN"/>
      </w:rPr>
    </w:lvl>
    <w:lvl w:ilvl="8" w:tentative="0">
      <w:start w:val="0"/>
      <w:numFmt w:val="bullet"/>
      <w:lvlText w:val="•"/>
      <w:lvlJc w:val="left"/>
      <w:pPr>
        <w:ind w:left="8376" w:hanging="212"/>
      </w:pPr>
      <w:rPr>
        <w:rFonts w:hint="default"/>
        <w:lang w:val="zh-CN" w:eastAsia="zh-CN" w:bidi="zh-CN"/>
      </w:r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BE"/>
    <w:rsid w:val="0001020E"/>
    <w:rsid w:val="000134DB"/>
    <w:rsid w:val="00014193"/>
    <w:rsid w:val="000169B3"/>
    <w:rsid w:val="00075299"/>
    <w:rsid w:val="00091EB4"/>
    <w:rsid w:val="00091F40"/>
    <w:rsid w:val="000B050B"/>
    <w:rsid w:val="000B2FAF"/>
    <w:rsid w:val="000B49F0"/>
    <w:rsid w:val="000D5209"/>
    <w:rsid w:val="000D7EF5"/>
    <w:rsid w:val="000E2D35"/>
    <w:rsid w:val="000E38FD"/>
    <w:rsid w:val="000E68BF"/>
    <w:rsid w:val="00103B9B"/>
    <w:rsid w:val="001341E1"/>
    <w:rsid w:val="00167403"/>
    <w:rsid w:val="001B11E4"/>
    <w:rsid w:val="001C0863"/>
    <w:rsid w:val="001D5EEF"/>
    <w:rsid w:val="001D768C"/>
    <w:rsid w:val="001F2286"/>
    <w:rsid w:val="001F5742"/>
    <w:rsid w:val="002139C8"/>
    <w:rsid w:val="00226B91"/>
    <w:rsid w:val="00231768"/>
    <w:rsid w:val="0024345B"/>
    <w:rsid w:val="00257AC1"/>
    <w:rsid w:val="00275AEC"/>
    <w:rsid w:val="00296130"/>
    <w:rsid w:val="002B1ABF"/>
    <w:rsid w:val="002C4A52"/>
    <w:rsid w:val="002D31C8"/>
    <w:rsid w:val="002D38E5"/>
    <w:rsid w:val="002F1254"/>
    <w:rsid w:val="003162B8"/>
    <w:rsid w:val="00323E8D"/>
    <w:rsid w:val="00335546"/>
    <w:rsid w:val="0034281D"/>
    <w:rsid w:val="00356D67"/>
    <w:rsid w:val="00364EF2"/>
    <w:rsid w:val="003830F1"/>
    <w:rsid w:val="00391D88"/>
    <w:rsid w:val="00397C04"/>
    <w:rsid w:val="003A6515"/>
    <w:rsid w:val="003A7892"/>
    <w:rsid w:val="003B343B"/>
    <w:rsid w:val="003B6CB8"/>
    <w:rsid w:val="003F1E66"/>
    <w:rsid w:val="0040084B"/>
    <w:rsid w:val="004021B9"/>
    <w:rsid w:val="00417FE0"/>
    <w:rsid w:val="0043594D"/>
    <w:rsid w:val="004464AA"/>
    <w:rsid w:val="004522AE"/>
    <w:rsid w:val="00462B0D"/>
    <w:rsid w:val="00494F1F"/>
    <w:rsid w:val="004A1476"/>
    <w:rsid w:val="004A267D"/>
    <w:rsid w:val="004A2CFF"/>
    <w:rsid w:val="004A4E29"/>
    <w:rsid w:val="004C652D"/>
    <w:rsid w:val="004C6AF5"/>
    <w:rsid w:val="004E4604"/>
    <w:rsid w:val="004E78AB"/>
    <w:rsid w:val="004E7D39"/>
    <w:rsid w:val="005364A6"/>
    <w:rsid w:val="00550421"/>
    <w:rsid w:val="00565F93"/>
    <w:rsid w:val="005724D0"/>
    <w:rsid w:val="005973F7"/>
    <w:rsid w:val="005B772C"/>
    <w:rsid w:val="005C2D0F"/>
    <w:rsid w:val="005D0BA9"/>
    <w:rsid w:val="005E195E"/>
    <w:rsid w:val="006002FC"/>
    <w:rsid w:val="00604BD9"/>
    <w:rsid w:val="00621A7B"/>
    <w:rsid w:val="00621D41"/>
    <w:rsid w:val="00640C27"/>
    <w:rsid w:val="0064104B"/>
    <w:rsid w:val="00641B23"/>
    <w:rsid w:val="00663D1D"/>
    <w:rsid w:val="00672A34"/>
    <w:rsid w:val="00692AF8"/>
    <w:rsid w:val="006A3A52"/>
    <w:rsid w:val="006A7C7F"/>
    <w:rsid w:val="006B5A70"/>
    <w:rsid w:val="006C1919"/>
    <w:rsid w:val="006C7EE9"/>
    <w:rsid w:val="006F2523"/>
    <w:rsid w:val="006F304F"/>
    <w:rsid w:val="0070567F"/>
    <w:rsid w:val="00722A99"/>
    <w:rsid w:val="007241C6"/>
    <w:rsid w:val="00740B96"/>
    <w:rsid w:val="0075490A"/>
    <w:rsid w:val="00754FE2"/>
    <w:rsid w:val="007645EA"/>
    <w:rsid w:val="0077034F"/>
    <w:rsid w:val="00772FAA"/>
    <w:rsid w:val="00784E0B"/>
    <w:rsid w:val="00795190"/>
    <w:rsid w:val="007D2B42"/>
    <w:rsid w:val="007E4DC7"/>
    <w:rsid w:val="008075BE"/>
    <w:rsid w:val="00826C8D"/>
    <w:rsid w:val="00840039"/>
    <w:rsid w:val="008444FE"/>
    <w:rsid w:val="00857A51"/>
    <w:rsid w:val="0086680E"/>
    <w:rsid w:val="0087572D"/>
    <w:rsid w:val="008820BF"/>
    <w:rsid w:val="00892B51"/>
    <w:rsid w:val="008A7EAB"/>
    <w:rsid w:val="008B2227"/>
    <w:rsid w:val="008B5E62"/>
    <w:rsid w:val="008C28FF"/>
    <w:rsid w:val="008D5D92"/>
    <w:rsid w:val="008E67F6"/>
    <w:rsid w:val="00912F10"/>
    <w:rsid w:val="00920869"/>
    <w:rsid w:val="00923E25"/>
    <w:rsid w:val="00932092"/>
    <w:rsid w:val="00934BA0"/>
    <w:rsid w:val="00942F1D"/>
    <w:rsid w:val="0096440E"/>
    <w:rsid w:val="00964619"/>
    <w:rsid w:val="0096616A"/>
    <w:rsid w:val="0097307E"/>
    <w:rsid w:val="009766DB"/>
    <w:rsid w:val="009821D8"/>
    <w:rsid w:val="009B6D6A"/>
    <w:rsid w:val="009D618F"/>
    <w:rsid w:val="009D70B2"/>
    <w:rsid w:val="009E6E26"/>
    <w:rsid w:val="009F119E"/>
    <w:rsid w:val="009F4405"/>
    <w:rsid w:val="00A00926"/>
    <w:rsid w:val="00A0401B"/>
    <w:rsid w:val="00A2589F"/>
    <w:rsid w:val="00A713D3"/>
    <w:rsid w:val="00A769E7"/>
    <w:rsid w:val="00A82AAC"/>
    <w:rsid w:val="00A870FC"/>
    <w:rsid w:val="00AB4B16"/>
    <w:rsid w:val="00AB62D4"/>
    <w:rsid w:val="00AC7C4F"/>
    <w:rsid w:val="00AD4333"/>
    <w:rsid w:val="00AD4DC5"/>
    <w:rsid w:val="00AF6595"/>
    <w:rsid w:val="00B05427"/>
    <w:rsid w:val="00B23A21"/>
    <w:rsid w:val="00B25779"/>
    <w:rsid w:val="00B25ECE"/>
    <w:rsid w:val="00B75FF4"/>
    <w:rsid w:val="00B83F32"/>
    <w:rsid w:val="00BB2AAC"/>
    <w:rsid w:val="00C03941"/>
    <w:rsid w:val="00C10C46"/>
    <w:rsid w:val="00C16305"/>
    <w:rsid w:val="00C422DA"/>
    <w:rsid w:val="00C5148A"/>
    <w:rsid w:val="00C5232B"/>
    <w:rsid w:val="00C63D4E"/>
    <w:rsid w:val="00C82620"/>
    <w:rsid w:val="00CC0260"/>
    <w:rsid w:val="00CC0E98"/>
    <w:rsid w:val="00CD4B4B"/>
    <w:rsid w:val="00CE0538"/>
    <w:rsid w:val="00D168B2"/>
    <w:rsid w:val="00D315AB"/>
    <w:rsid w:val="00D32CBB"/>
    <w:rsid w:val="00D3391E"/>
    <w:rsid w:val="00D641AD"/>
    <w:rsid w:val="00D84F02"/>
    <w:rsid w:val="00D8548C"/>
    <w:rsid w:val="00D9510B"/>
    <w:rsid w:val="00DB5F8B"/>
    <w:rsid w:val="00DC5D8E"/>
    <w:rsid w:val="00DD01D7"/>
    <w:rsid w:val="00DF39DB"/>
    <w:rsid w:val="00E13D9C"/>
    <w:rsid w:val="00E30DC4"/>
    <w:rsid w:val="00E32B9F"/>
    <w:rsid w:val="00E36631"/>
    <w:rsid w:val="00E37F60"/>
    <w:rsid w:val="00E40478"/>
    <w:rsid w:val="00E46BDF"/>
    <w:rsid w:val="00E52169"/>
    <w:rsid w:val="00E82F38"/>
    <w:rsid w:val="00E84643"/>
    <w:rsid w:val="00E854EA"/>
    <w:rsid w:val="00E94250"/>
    <w:rsid w:val="00EA0719"/>
    <w:rsid w:val="00EA4BB4"/>
    <w:rsid w:val="00EA6878"/>
    <w:rsid w:val="00EB11D2"/>
    <w:rsid w:val="00EB716C"/>
    <w:rsid w:val="00ED2244"/>
    <w:rsid w:val="00EE49EB"/>
    <w:rsid w:val="00F109D3"/>
    <w:rsid w:val="00F1709E"/>
    <w:rsid w:val="00F21F52"/>
    <w:rsid w:val="00F3044B"/>
    <w:rsid w:val="00F37907"/>
    <w:rsid w:val="00F40A8D"/>
    <w:rsid w:val="00F57563"/>
    <w:rsid w:val="00FB0D46"/>
    <w:rsid w:val="00FB0ED6"/>
    <w:rsid w:val="00FC4441"/>
    <w:rsid w:val="00FD4788"/>
    <w:rsid w:val="00FD6D8F"/>
    <w:rsid w:val="00FE2D21"/>
    <w:rsid w:val="00FE7DE2"/>
    <w:rsid w:val="011919CD"/>
    <w:rsid w:val="01BF5692"/>
    <w:rsid w:val="021E64E2"/>
    <w:rsid w:val="03AD3555"/>
    <w:rsid w:val="04B32508"/>
    <w:rsid w:val="04E458C6"/>
    <w:rsid w:val="0510534F"/>
    <w:rsid w:val="05671CFD"/>
    <w:rsid w:val="05CF400C"/>
    <w:rsid w:val="05DC49D1"/>
    <w:rsid w:val="06D228B5"/>
    <w:rsid w:val="07556094"/>
    <w:rsid w:val="07B647CD"/>
    <w:rsid w:val="0835189D"/>
    <w:rsid w:val="098105AC"/>
    <w:rsid w:val="0C243F75"/>
    <w:rsid w:val="0F1F047B"/>
    <w:rsid w:val="101F7D63"/>
    <w:rsid w:val="10984706"/>
    <w:rsid w:val="11A11116"/>
    <w:rsid w:val="11DC2740"/>
    <w:rsid w:val="11F4021B"/>
    <w:rsid w:val="12C00774"/>
    <w:rsid w:val="13464AEF"/>
    <w:rsid w:val="16261A6C"/>
    <w:rsid w:val="16661E93"/>
    <w:rsid w:val="16905BD2"/>
    <w:rsid w:val="16FC3A87"/>
    <w:rsid w:val="17230B90"/>
    <w:rsid w:val="17C80948"/>
    <w:rsid w:val="19E923FA"/>
    <w:rsid w:val="19ED659F"/>
    <w:rsid w:val="1A882E99"/>
    <w:rsid w:val="1B2B072C"/>
    <w:rsid w:val="1D4132E7"/>
    <w:rsid w:val="1EAD4248"/>
    <w:rsid w:val="219C71D3"/>
    <w:rsid w:val="224A54DB"/>
    <w:rsid w:val="2279386C"/>
    <w:rsid w:val="24066D88"/>
    <w:rsid w:val="245E323D"/>
    <w:rsid w:val="24F3034B"/>
    <w:rsid w:val="28F23771"/>
    <w:rsid w:val="29022A5C"/>
    <w:rsid w:val="290A5839"/>
    <w:rsid w:val="2AEA0B0E"/>
    <w:rsid w:val="2F5E7B05"/>
    <w:rsid w:val="30622324"/>
    <w:rsid w:val="30BF5E1F"/>
    <w:rsid w:val="32240F6F"/>
    <w:rsid w:val="33307387"/>
    <w:rsid w:val="34BF23C4"/>
    <w:rsid w:val="354D45A0"/>
    <w:rsid w:val="35526F62"/>
    <w:rsid w:val="37B1573D"/>
    <w:rsid w:val="37CF32DB"/>
    <w:rsid w:val="37E20869"/>
    <w:rsid w:val="382D1B16"/>
    <w:rsid w:val="38426AE1"/>
    <w:rsid w:val="38600230"/>
    <w:rsid w:val="38903F96"/>
    <w:rsid w:val="3B5D01BA"/>
    <w:rsid w:val="3BDA4353"/>
    <w:rsid w:val="3C2F65D2"/>
    <w:rsid w:val="3D7F2A3A"/>
    <w:rsid w:val="3FD4714F"/>
    <w:rsid w:val="403B627D"/>
    <w:rsid w:val="432C5669"/>
    <w:rsid w:val="445C1E73"/>
    <w:rsid w:val="44BD0B9D"/>
    <w:rsid w:val="456968B2"/>
    <w:rsid w:val="45757544"/>
    <w:rsid w:val="48821A7D"/>
    <w:rsid w:val="489113A9"/>
    <w:rsid w:val="4A0A6469"/>
    <w:rsid w:val="4A416E9D"/>
    <w:rsid w:val="4B7B52E0"/>
    <w:rsid w:val="4C1C0024"/>
    <w:rsid w:val="4C9313C1"/>
    <w:rsid w:val="4CC7027D"/>
    <w:rsid w:val="4CF161AB"/>
    <w:rsid w:val="4D866B56"/>
    <w:rsid w:val="4DE305FA"/>
    <w:rsid w:val="4E2B5C1F"/>
    <w:rsid w:val="4F1F53F4"/>
    <w:rsid w:val="4FA950E4"/>
    <w:rsid w:val="4FCF166B"/>
    <w:rsid w:val="4FDF7447"/>
    <w:rsid w:val="513E6134"/>
    <w:rsid w:val="521A7B88"/>
    <w:rsid w:val="52476194"/>
    <w:rsid w:val="52B7253D"/>
    <w:rsid w:val="55572DAA"/>
    <w:rsid w:val="571C7B70"/>
    <w:rsid w:val="57CD0C4A"/>
    <w:rsid w:val="57FE2D41"/>
    <w:rsid w:val="59414E00"/>
    <w:rsid w:val="59C30EF1"/>
    <w:rsid w:val="5B37568D"/>
    <w:rsid w:val="5CE62FC8"/>
    <w:rsid w:val="5D187597"/>
    <w:rsid w:val="5DA70A08"/>
    <w:rsid w:val="5E433598"/>
    <w:rsid w:val="5E9A5F3A"/>
    <w:rsid w:val="5F1B6EE6"/>
    <w:rsid w:val="64A935C5"/>
    <w:rsid w:val="679F0FCB"/>
    <w:rsid w:val="684B23DF"/>
    <w:rsid w:val="6B862051"/>
    <w:rsid w:val="6C1128DE"/>
    <w:rsid w:val="6D884DD1"/>
    <w:rsid w:val="6FE36B69"/>
    <w:rsid w:val="702C31D6"/>
    <w:rsid w:val="709B4412"/>
    <w:rsid w:val="71057A8B"/>
    <w:rsid w:val="758B6831"/>
    <w:rsid w:val="75B11767"/>
    <w:rsid w:val="77411F93"/>
    <w:rsid w:val="77877265"/>
    <w:rsid w:val="778945EA"/>
    <w:rsid w:val="78B9101E"/>
    <w:rsid w:val="79A4413C"/>
    <w:rsid w:val="7A8E12BB"/>
    <w:rsid w:val="7D5320BC"/>
    <w:rsid w:val="7D5D2F04"/>
    <w:rsid w:val="7DBA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7"/>
    <w:qFormat/>
    <w:uiPriority w:val="1"/>
    <w:pPr>
      <w:ind w:left="38"/>
      <w:jc w:val="center"/>
      <w:outlineLvl w:val="0"/>
    </w:pPr>
    <w:rPr>
      <w:rFonts w:ascii="微软雅黑" w:hAnsi="微软雅黑" w:eastAsia="微软雅黑" w:cs="微软雅黑"/>
      <w:b/>
      <w:bCs/>
      <w:sz w:val="44"/>
      <w:szCs w:val="44"/>
    </w:rPr>
  </w:style>
  <w:style w:type="paragraph" w:styleId="3">
    <w:name w:val="heading 2"/>
    <w:basedOn w:val="1"/>
    <w:next w:val="1"/>
    <w:link w:val="48"/>
    <w:qFormat/>
    <w:uiPriority w:val="1"/>
    <w:pPr>
      <w:ind w:left="638"/>
      <w:outlineLvl w:val="1"/>
    </w:pPr>
    <w:rPr>
      <w:rFonts w:ascii="黑体" w:hAnsi="黑体" w:eastAsia="黑体" w:cs="黑体"/>
      <w:b/>
      <w:bCs/>
      <w:sz w:val="32"/>
      <w:szCs w:val="32"/>
    </w:rPr>
  </w:style>
  <w:style w:type="paragraph" w:styleId="4">
    <w:name w:val="heading 3"/>
    <w:basedOn w:val="1"/>
    <w:next w:val="1"/>
    <w:link w:val="49"/>
    <w:qFormat/>
    <w:uiPriority w:val="1"/>
    <w:pPr>
      <w:spacing w:before="41"/>
      <w:ind w:left="957"/>
      <w:outlineLvl w:val="2"/>
    </w:pPr>
    <w:rPr>
      <w:rFonts w:ascii="微软雅黑" w:hAnsi="微软雅黑" w:eastAsia="微软雅黑" w:cs="微软雅黑"/>
      <w:sz w:val="32"/>
      <w:szCs w:val="32"/>
    </w:rPr>
  </w:style>
  <w:style w:type="paragraph" w:styleId="5">
    <w:name w:val="heading 4"/>
    <w:basedOn w:val="1"/>
    <w:next w:val="1"/>
    <w:qFormat/>
    <w:uiPriority w:val="1"/>
    <w:pPr>
      <w:ind w:left="20"/>
      <w:outlineLvl w:val="3"/>
    </w:pPr>
    <w:rPr>
      <w:rFonts w:ascii="Times New Roman" w:hAnsi="Times New Roman" w:eastAsia="Times New Roman" w:cs="Times New Roman"/>
      <w:b/>
      <w:bCs/>
      <w:sz w:val="28"/>
      <w:szCs w:val="28"/>
    </w:rPr>
  </w:style>
  <w:style w:type="paragraph" w:styleId="6">
    <w:name w:val="heading 5"/>
    <w:basedOn w:val="1"/>
    <w:next w:val="1"/>
    <w:link w:val="88"/>
    <w:qFormat/>
    <w:uiPriority w:val="1"/>
    <w:pPr>
      <w:ind w:left="638"/>
      <w:outlineLvl w:val="4"/>
    </w:pPr>
    <w:rPr>
      <w:sz w:val="24"/>
      <w:szCs w:val="24"/>
    </w:rPr>
  </w:style>
  <w:style w:type="paragraph" w:styleId="7">
    <w:name w:val="heading 6"/>
    <w:basedOn w:val="1"/>
    <w:next w:val="1"/>
    <w:link w:val="45"/>
    <w:qFormat/>
    <w:uiPriority w:val="1"/>
    <w:pPr>
      <w:ind w:left="1269" w:hanging="214"/>
      <w:outlineLvl w:val="5"/>
    </w:pPr>
    <w:rPr>
      <w:b/>
      <w:bCs/>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84"/>
    <w:qFormat/>
    <w:uiPriority w:val="0"/>
    <w:pPr>
      <w:ind w:firstLine="420" w:firstLineChars="200"/>
    </w:pPr>
    <w:rPr>
      <w:sz w:val="21"/>
    </w:rPr>
  </w:style>
  <w:style w:type="paragraph" w:styleId="9">
    <w:name w:val="annotation text"/>
    <w:basedOn w:val="1"/>
    <w:link w:val="37"/>
    <w:qFormat/>
    <w:uiPriority w:val="0"/>
  </w:style>
  <w:style w:type="paragraph" w:styleId="10">
    <w:name w:val="Body Text"/>
    <w:basedOn w:val="1"/>
    <w:link w:val="61"/>
    <w:qFormat/>
    <w:uiPriority w:val="1"/>
    <w:rPr>
      <w:sz w:val="21"/>
      <w:szCs w:val="21"/>
    </w:rPr>
  </w:style>
  <w:style w:type="paragraph" w:styleId="11">
    <w:name w:val="Body Text Indent"/>
    <w:basedOn w:val="1"/>
    <w:link w:val="41"/>
    <w:qFormat/>
    <w:uiPriority w:val="99"/>
    <w:pPr>
      <w:autoSpaceDE/>
      <w:autoSpaceDN/>
      <w:spacing w:after="120"/>
      <w:ind w:left="420" w:leftChars="200"/>
      <w:jc w:val="both"/>
    </w:pPr>
    <w:rPr>
      <w:rFonts w:ascii="Times New Roman" w:hAnsi="Times New Roman" w:cs="Times New Roman"/>
      <w:kern w:val="2"/>
      <w:sz w:val="21"/>
      <w:szCs w:val="20"/>
      <w:lang w:val="en-US" w:bidi="ar-SA"/>
    </w:rPr>
  </w:style>
  <w:style w:type="paragraph" w:styleId="12">
    <w:name w:val="Plain Text"/>
    <w:basedOn w:val="1"/>
    <w:link w:val="42"/>
    <w:qFormat/>
    <w:uiPriority w:val="0"/>
    <w:pPr>
      <w:autoSpaceDE/>
      <w:autoSpaceDN/>
      <w:jc w:val="both"/>
    </w:pPr>
    <w:rPr>
      <w:rFonts w:hAnsi="Courier New" w:cs="Courier New"/>
      <w:kern w:val="2"/>
      <w:sz w:val="21"/>
      <w:szCs w:val="21"/>
      <w:lang w:val="en-US" w:bidi="ar-SA"/>
    </w:rPr>
  </w:style>
  <w:style w:type="paragraph" w:styleId="13">
    <w:name w:val="Date"/>
    <w:basedOn w:val="1"/>
    <w:next w:val="1"/>
    <w:link w:val="43"/>
    <w:qFormat/>
    <w:uiPriority w:val="99"/>
    <w:pPr>
      <w:autoSpaceDE/>
      <w:autoSpaceDN/>
      <w:ind w:left="100" w:leftChars="2500"/>
      <w:jc w:val="both"/>
    </w:pPr>
    <w:rPr>
      <w:rFonts w:ascii="Times New Roman" w:hAnsi="Times New Roman" w:cs="Times New Roman"/>
      <w:kern w:val="2"/>
      <w:sz w:val="21"/>
      <w:szCs w:val="20"/>
      <w:lang w:val="en-US" w:bidi="ar-SA"/>
    </w:rPr>
  </w:style>
  <w:style w:type="paragraph" w:styleId="14">
    <w:name w:val="Body Text Indent 2"/>
    <w:basedOn w:val="1"/>
    <w:link w:val="50"/>
    <w:qFormat/>
    <w:uiPriority w:val="0"/>
    <w:pPr>
      <w:spacing w:line="520" w:lineRule="exact"/>
      <w:ind w:firstLine="478" w:firstLineChars="199"/>
    </w:pPr>
    <w:rPr>
      <w:sz w:val="24"/>
    </w:rPr>
  </w:style>
  <w:style w:type="paragraph" w:styleId="15">
    <w:name w:val="Balloon Text"/>
    <w:basedOn w:val="1"/>
    <w:link w:val="39"/>
    <w:qFormat/>
    <w:uiPriority w:val="0"/>
    <w:rPr>
      <w:sz w:val="18"/>
      <w:szCs w:val="18"/>
    </w:rPr>
  </w:style>
  <w:style w:type="paragraph" w:styleId="16">
    <w:name w:val="footer"/>
    <w:basedOn w:val="1"/>
    <w:link w:val="36"/>
    <w:qFormat/>
    <w:uiPriority w:val="0"/>
    <w:pPr>
      <w:tabs>
        <w:tab w:val="center" w:pos="4153"/>
        <w:tab w:val="right" w:pos="8306"/>
      </w:tabs>
      <w:snapToGrid w:val="0"/>
    </w:pPr>
    <w:rPr>
      <w:sz w:val="18"/>
      <w:szCs w:val="18"/>
    </w:rPr>
  </w:style>
  <w:style w:type="paragraph" w:styleId="17">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8729"/>
      </w:tabs>
      <w:autoSpaceDE/>
      <w:autoSpaceDN/>
      <w:spacing w:line="480" w:lineRule="auto"/>
    </w:pPr>
    <w:rPr>
      <w:rFonts w:cs="Times New Roman"/>
      <w:b/>
      <w:caps/>
      <w:kern w:val="2"/>
      <w:sz w:val="28"/>
      <w:szCs w:val="28"/>
      <w:lang w:val="en-US" w:bidi="ar-SA"/>
    </w:rPr>
  </w:style>
  <w:style w:type="paragraph" w:styleId="19">
    <w:name w:val="toc 2"/>
    <w:basedOn w:val="1"/>
    <w:next w:val="1"/>
    <w:unhideWhenUsed/>
    <w:qFormat/>
    <w:uiPriority w:val="0"/>
    <w:pPr>
      <w:autoSpaceDE/>
      <w:autoSpaceDN/>
      <w:ind w:left="420" w:leftChars="200"/>
      <w:jc w:val="both"/>
    </w:pPr>
    <w:rPr>
      <w:rFonts w:ascii="Calibri" w:hAnsi="Calibri" w:cs="Times New Roman"/>
      <w:kern w:val="2"/>
      <w:sz w:val="21"/>
      <w:szCs w:val="20"/>
      <w:lang w:val="en-US" w:bidi="ar-SA"/>
    </w:rPr>
  </w:style>
  <w:style w:type="paragraph" w:styleId="20">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30" w:lineRule="atLeast"/>
    </w:pPr>
    <w:rPr>
      <w:rFonts w:ascii="Arial" w:hAnsi="Arial" w:cs="Arial"/>
      <w:sz w:val="21"/>
      <w:szCs w:val="21"/>
      <w:lang w:val="en-US" w:bidi="ar-SA"/>
    </w:rPr>
  </w:style>
  <w:style w:type="paragraph" w:styleId="21">
    <w:name w:val="Normal (Web)"/>
    <w:basedOn w:val="1"/>
    <w:unhideWhenUsed/>
    <w:qFormat/>
    <w:uiPriority w:val="0"/>
    <w:pPr>
      <w:autoSpaceDE/>
      <w:autoSpaceDN/>
      <w:jc w:val="both"/>
    </w:pPr>
    <w:rPr>
      <w:rFonts w:ascii="Times New Roman" w:hAnsi="Times New Roman" w:cs="Times New Roman"/>
      <w:kern w:val="2"/>
      <w:sz w:val="24"/>
      <w:szCs w:val="20"/>
      <w:lang w:val="en-US" w:bidi="ar-SA"/>
    </w:rPr>
  </w:style>
  <w:style w:type="paragraph" w:styleId="22">
    <w:name w:val="annotation subject"/>
    <w:basedOn w:val="9"/>
    <w:next w:val="9"/>
    <w:link w:val="38"/>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basedOn w:val="25"/>
    <w:qFormat/>
    <w:uiPriority w:val="0"/>
  </w:style>
  <w:style w:type="character" w:styleId="28">
    <w:name w:val="FollowedHyperlink"/>
    <w:qFormat/>
    <w:uiPriority w:val="99"/>
    <w:rPr>
      <w:color w:val="800080"/>
      <w:u w:val="single"/>
    </w:rPr>
  </w:style>
  <w:style w:type="character" w:styleId="29">
    <w:name w:val="Emphasis"/>
    <w:qFormat/>
    <w:uiPriority w:val="20"/>
    <w:rPr>
      <w:i/>
      <w:iCs/>
    </w:rPr>
  </w:style>
  <w:style w:type="character" w:styleId="30">
    <w:name w:val="Hyperlink"/>
    <w:qFormat/>
    <w:uiPriority w:val="99"/>
    <w:rPr>
      <w:rFonts w:cs="Times New Roman"/>
      <w:color w:val="1F4F88"/>
      <w:u w:val="none"/>
    </w:rPr>
  </w:style>
  <w:style w:type="character" w:styleId="31">
    <w:name w:val="annotation reference"/>
    <w:basedOn w:val="25"/>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qFormat/>
    <w:uiPriority w:val="1"/>
    <w:pPr>
      <w:ind w:left="638" w:firstLine="420"/>
    </w:pPr>
  </w:style>
  <w:style w:type="paragraph" w:customStyle="1" w:styleId="34">
    <w:name w:val="Table Paragraph"/>
    <w:basedOn w:val="1"/>
    <w:qFormat/>
    <w:uiPriority w:val="1"/>
  </w:style>
  <w:style w:type="character" w:customStyle="1" w:styleId="35">
    <w:name w:val="页眉 字符"/>
    <w:basedOn w:val="25"/>
    <w:link w:val="17"/>
    <w:qFormat/>
    <w:uiPriority w:val="0"/>
    <w:rPr>
      <w:rFonts w:ascii="宋体" w:hAnsi="宋体" w:eastAsia="宋体" w:cs="宋体"/>
      <w:sz w:val="18"/>
      <w:szCs w:val="18"/>
      <w:lang w:val="zh-CN" w:bidi="zh-CN"/>
    </w:rPr>
  </w:style>
  <w:style w:type="character" w:customStyle="1" w:styleId="36">
    <w:name w:val="页脚 字符"/>
    <w:basedOn w:val="25"/>
    <w:link w:val="16"/>
    <w:qFormat/>
    <w:uiPriority w:val="0"/>
    <w:rPr>
      <w:rFonts w:ascii="宋体" w:hAnsi="宋体" w:eastAsia="宋体" w:cs="宋体"/>
      <w:sz w:val="18"/>
      <w:szCs w:val="18"/>
      <w:lang w:val="zh-CN" w:bidi="zh-CN"/>
    </w:rPr>
  </w:style>
  <w:style w:type="character" w:customStyle="1" w:styleId="37">
    <w:name w:val="批注文字 字符"/>
    <w:basedOn w:val="25"/>
    <w:link w:val="9"/>
    <w:qFormat/>
    <w:uiPriority w:val="0"/>
    <w:rPr>
      <w:rFonts w:ascii="宋体" w:hAnsi="宋体" w:eastAsia="宋体" w:cs="宋体"/>
      <w:sz w:val="22"/>
      <w:szCs w:val="22"/>
      <w:lang w:val="zh-CN" w:bidi="zh-CN"/>
    </w:rPr>
  </w:style>
  <w:style w:type="character" w:customStyle="1" w:styleId="38">
    <w:name w:val="批注主题 字符"/>
    <w:basedOn w:val="37"/>
    <w:link w:val="22"/>
    <w:qFormat/>
    <w:uiPriority w:val="0"/>
    <w:rPr>
      <w:rFonts w:ascii="宋体" w:hAnsi="宋体" w:eastAsia="宋体" w:cs="宋体"/>
      <w:b/>
      <w:bCs/>
      <w:sz w:val="22"/>
      <w:szCs w:val="22"/>
      <w:lang w:val="zh-CN" w:bidi="zh-CN"/>
    </w:rPr>
  </w:style>
  <w:style w:type="character" w:customStyle="1" w:styleId="39">
    <w:name w:val="批注框文本 字符"/>
    <w:basedOn w:val="25"/>
    <w:link w:val="15"/>
    <w:qFormat/>
    <w:uiPriority w:val="0"/>
    <w:rPr>
      <w:rFonts w:ascii="宋体" w:hAnsi="宋体" w:eastAsia="宋体" w:cs="宋体"/>
      <w:sz w:val="18"/>
      <w:szCs w:val="18"/>
      <w:lang w:val="zh-CN" w:bidi="zh-CN"/>
    </w:rPr>
  </w:style>
  <w:style w:type="paragraph" w:customStyle="1" w:styleId="40">
    <w:name w:val="修订1"/>
    <w:hidden/>
    <w:semiHidden/>
    <w:qFormat/>
    <w:uiPriority w:val="99"/>
    <w:rPr>
      <w:rFonts w:ascii="宋体" w:hAnsi="宋体" w:eastAsia="宋体" w:cs="宋体"/>
      <w:sz w:val="22"/>
      <w:szCs w:val="22"/>
      <w:lang w:val="zh-CN" w:eastAsia="zh-CN" w:bidi="zh-CN"/>
    </w:rPr>
  </w:style>
  <w:style w:type="character" w:customStyle="1" w:styleId="41">
    <w:name w:val="正文文本缩进 字符"/>
    <w:basedOn w:val="25"/>
    <w:link w:val="11"/>
    <w:qFormat/>
    <w:uiPriority w:val="99"/>
    <w:rPr>
      <w:rFonts w:ascii="Times New Roman" w:hAnsi="Times New Roman" w:eastAsia="宋体" w:cs="Times New Roman"/>
      <w:kern w:val="2"/>
      <w:sz w:val="21"/>
    </w:rPr>
  </w:style>
  <w:style w:type="character" w:customStyle="1" w:styleId="42">
    <w:name w:val="纯文本 字符"/>
    <w:basedOn w:val="25"/>
    <w:link w:val="12"/>
    <w:qFormat/>
    <w:uiPriority w:val="0"/>
    <w:rPr>
      <w:rFonts w:ascii="宋体" w:hAnsi="Courier New" w:eastAsia="宋体" w:cs="Courier New"/>
      <w:kern w:val="2"/>
      <w:sz w:val="21"/>
      <w:szCs w:val="21"/>
    </w:rPr>
  </w:style>
  <w:style w:type="character" w:customStyle="1" w:styleId="43">
    <w:name w:val="日期 字符"/>
    <w:basedOn w:val="25"/>
    <w:link w:val="13"/>
    <w:qFormat/>
    <w:uiPriority w:val="99"/>
    <w:rPr>
      <w:rFonts w:ascii="Times New Roman" w:hAnsi="Times New Roman" w:eastAsia="宋体" w:cs="Times New Roman"/>
      <w:kern w:val="2"/>
      <w:sz w:val="21"/>
    </w:rPr>
  </w:style>
  <w:style w:type="character" w:customStyle="1" w:styleId="44">
    <w:name w:val="HTML 预设格式 字符"/>
    <w:basedOn w:val="25"/>
    <w:link w:val="20"/>
    <w:qFormat/>
    <w:uiPriority w:val="0"/>
    <w:rPr>
      <w:rFonts w:ascii="Arial" w:hAnsi="Arial" w:eastAsia="宋体" w:cs="Arial"/>
      <w:sz w:val="21"/>
      <w:szCs w:val="21"/>
    </w:rPr>
  </w:style>
  <w:style w:type="character" w:customStyle="1" w:styleId="45">
    <w:name w:val="标题 6 字符"/>
    <w:basedOn w:val="25"/>
    <w:link w:val="7"/>
    <w:qFormat/>
    <w:uiPriority w:val="1"/>
    <w:rPr>
      <w:rFonts w:ascii="宋体" w:hAnsi="宋体" w:eastAsia="宋体" w:cs="宋体"/>
      <w:b/>
      <w:bCs/>
      <w:sz w:val="21"/>
      <w:szCs w:val="21"/>
      <w:lang w:val="zh-CN" w:bidi="zh-CN"/>
    </w:rPr>
  </w:style>
  <w:style w:type="character" w:customStyle="1" w:styleId="46">
    <w:name w:val="font01"/>
    <w:qFormat/>
    <w:uiPriority w:val="0"/>
    <w:rPr>
      <w:rFonts w:hint="eastAsia" w:ascii="宋体" w:hAnsi="宋体" w:eastAsia="宋体" w:cs="宋体"/>
      <w:color w:val="000000"/>
      <w:sz w:val="15"/>
      <w:szCs w:val="15"/>
      <w:u w:val="none"/>
    </w:rPr>
  </w:style>
  <w:style w:type="character" w:customStyle="1" w:styleId="47">
    <w:name w:val="标题 1 字符"/>
    <w:basedOn w:val="25"/>
    <w:link w:val="2"/>
    <w:qFormat/>
    <w:uiPriority w:val="0"/>
    <w:rPr>
      <w:rFonts w:ascii="微软雅黑" w:hAnsi="微软雅黑" w:eastAsia="微软雅黑" w:cs="微软雅黑"/>
      <w:b/>
      <w:bCs/>
      <w:sz w:val="44"/>
      <w:szCs w:val="44"/>
      <w:lang w:val="zh-CN" w:bidi="zh-CN"/>
    </w:rPr>
  </w:style>
  <w:style w:type="character" w:customStyle="1" w:styleId="48">
    <w:name w:val="标题 2 字符"/>
    <w:basedOn w:val="25"/>
    <w:link w:val="3"/>
    <w:qFormat/>
    <w:uiPriority w:val="1"/>
    <w:rPr>
      <w:rFonts w:ascii="黑体" w:hAnsi="黑体" w:eastAsia="黑体" w:cs="黑体"/>
      <w:b/>
      <w:bCs/>
      <w:sz w:val="32"/>
      <w:szCs w:val="32"/>
      <w:lang w:val="zh-CN" w:bidi="zh-CN"/>
    </w:rPr>
  </w:style>
  <w:style w:type="character" w:customStyle="1" w:styleId="49">
    <w:name w:val="标题 3 字符"/>
    <w:basedOn w:val="25"/>
    <w:link w:val="4"/>
    <w:qFormat/>
    <w:uiPriority w:val="9"/>
    <w:rPr>
      <w:rFonts w:ascii="微软雅黑" w:hAnsi="微软雅黑" w:eastAsia="微软雅黑" w:cs="微软雅黑"/>
      <w:sz w:val="32"/>
      <w:szCs w:val="32"/>
      <w:lang w:val="zh-CN" w:bidi="zh-CN"/>
    </w:rPr>
  </w:style>
  <w:style w:type="character" w:customStyle="1" w:styleId="50">
    <w:name w:val="正文文本缩进 2 字符"/>
    <w:basedOn w:val="25"/>
    <w:link w:val="14"/>
    <w:qFormat/>
    <w:uiPriority w:val="0"/>
    <w:rPr>
      <w:rFonts w:ascii="宋体" w:hAnsi="宋体" w:eastAsia="宋体" w:cs="宋体"/>
      <w:sz w:val="24"/>
      <w:szCs w:val="22"/>
      <w:lang w:val="zh-CN" w:bidi="zh-CN"/>
    </w:rPr>
  </w:style>
  <w:style w:type="table" w:customStyle="1" w:styleId="51">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apple-converted-space"/>
    <w:basedOn w:val="25"/>
    <w:qFormat/>
    <w:uiPriority w:val="0"/>
  </w:style>
  <w:style w:type="character" w:customStyle="1" w:styleId="53">
    <w:name w:val="Char Char2"/>
    <w:qFormat/>
    <w:uiPriority w:val="0"/>
    <w:rPr>
      <w:rFonts w:ascii="宋体" w:hAnsi="Courier New" w:cs="宋体"/>
      <w:kern w:val="2"/>
      <w:sz w:val="21"/>
      <w:szCs w:val="21"/>
    </w:rPr>
  </w:style>
  <w:style w:type="character" w:customStyle="1" w:styleId="54">
    <w:name w:val="纯文本 Char"/>
    <w:qFormat/>
    <w:uiPriority w:val="0"/>
    <w:rPr>
      <w:rFonts w:ascii="宋体" w:hAnsi="Courier New" w:eastAsia="宋体"/>
      <w:kern w:val="2"/>
      <w:sz w:val="21"/>
      <w:lang w:val="en-US" w:eastAsia="zh-CN" w:bidi="ar-SA"/>
    </w:rPr>
  </w:style>
  <w:style w:type="character" w:customStyle="1" w:styleId="55">
    <w:name w:val="HTML Markup"/>
    <w:qFormat/>
    <w:uiPriority w:val="0"/>
    <w:rPr>
      <w:vanish/>
      <w:color w:val="FF0000"/>
    </w:rPr>
  </w:style>
  <w:style w:type="character" w:customStyle="1" w:styleId="56">
    <w:name w:val="正文文本缩进 Char"/>
    <w:link w:val="57"/>
    <w:qFormat/>
    <w:uiPriority w:val="0"/>
  </w:style>
  <w:style w:type="paragraph" w:customStyle="1" w:styleId="57">
    <w:name w:val="正文文本缩进1"/>
    <w:basedOn w:val="1"/>
    <w:link w:val="56"/>
    <w:qFormat/>
    <w:uiPriority w:val="0"/>
    <w:pPr>
      <w:autoSpaceDE/>
      <w:autoSpaceDN/>
      <w:spacing w:after="120"/>
      <w:ind w:left="420" w:leftChars="200"/>
      <w:jc w:val="both"/>
    </w:pPr>
    <w:rPr>
      <w:rFonts w:asciiTheme="minorHAnsi" w:hAnsiTheme="minorHAnsi" w:eastAsiaTheme="minorEastAsia" w:cstheme="minorBidi"/>
      <w:sz w:val="20"/>
      <w:szCs w:val="20"/>
      <w:lang w:val="en-US" w:bidi="ar-SA"/>
    </w:rPr>
  </w:style>
  <w:style w:type="character" w:customStyle="1" w:styleId="58">
    <w:name w:val="Char Char3"/>
    <w:qFormat/>
    <w:uiPriority w:val="0"/>
    <w:rPr>
      <w:rFonts w:ascii="宋体" w:hAnsi="Courier New" w:eastAsia="宋体"/>
      <w:kern w:val="2"/>
      <w:sz w:val="21"/>
      <w:lang w:val="en-US" w:eastAsia="zh-CN" w:bidi="ar-SA"/>
    </w:rPr>
  </w:style>
  <w:style w:type="character" w:customStyle="1" w:styleId="59">
    <w:name w:val="font61"/>
    <w:qFormat/>
    <w:uiPriority w:val="0"/>
    <w:rPr>
      <w:rFonts w:hint="eastAsia" w:ascii="宋体" w:hAnsi="宋体" w:eastAsia="宋体" w:cs="宋体"/>
      <w:color w:val="000000"/>
      <w:sz w:val="24"/>
      <w:szCs w:val="24"/>
      <w:u w:val="none"/>
    </w:rPr>
  </w:style>
  <w:style w:type="character" w:customStyle="1" w:styleId="60">
    <w:name w:val="纯文本 Char3"/>
    <w:qFormat/>
    <w:uiPriority w:val="0"/>
    <w:rPr>
      <w:rFonts w:ascii="宋体" w:hAnsi="Courier New" w:eastAsia="宋体"/>
      <w:kern w:val="2"/>
      <w:sz w:val="21"/>
      <w:lang w:val="en-US" w:eastAsia="zh-CN" w:bidi="ar-SA"/>
    </w:rPr>
  </w:style>
  <w:style w:type="character" w:customStyle="1" w:styleId="61">
    <w:name w:val="正文文本 字符"/>
    <w:link w:val="10"/>
    <w:qFormat/>
    <w:uiPriority w:val="1"/>
    <w:rPr>
      <w:rFonts w:ascii="宋体" w:hAnsi="宋体" w:eastAsia="宋体" w:cs="宋体"/>
      <w:sz w:val="21"/>
      <w:szCs w:val="21"/>
      <w:lang w:val="zh-CN" w:bidi="zh-CN"/>
    </w:rPr>
  </w:style>
  <w:style w:type="character" w:customStyle="1" w:styleId="62">
    <w:name w:val="Char Char5"/>
    <w:qFormat/>
    <w:uiPriority w:val="0"/>
    <w:rPr>
      <w:rFonts w:ascii="宋体" w:hAnsi="Courier New" w:eastAsia="宋体"/>
      <w:kern w:val="2"/>
      <w:sz w:val="21"/>
      <w:lang w:val="en-US" w:eastAsia="zh-CN" w:bidi="ar-SA"/>
    </w:rPr>
  </w:style>
  <w:style w:type="character" w:customStyle="1" w:styleId="63">
    <w:name w:val="正文文本 Char"/>
    <w:qFormat/>
    <w:uiPriority w:val="0"/>
    <w:rPr>
      <w:rFonts w:ascii="仿宋_GB2312" w:eastAsia="仿宋_GB2312"/>
      <w:kern w:val="2"/>
      <w:sz w:val="32"/>
    </w:rPr>
  </w:style>
  <w:style w:type="character" w:customStyle="1" w:styleId="64">
    <w:name w:val="批注框文本 Char1"/>
    <w:basedOn w:val="25"/>
    <w:semiHidden/>
    <w:qFormat/>
    <w:uiPriority w:val="99"/>
    <w:rPr>
      <w:rFonts w:ascii="Calibri" w:hAnsi="Calibri" w:eastAsia="宋体" w:cs="Times New Roman"/>
      <w:sz w:val="18"/>
      <w:szCs w:val="18"/>
    </w:rPr>
  </w:style>
  <w:style w:type="character" w:customStyle="1" w:styleId="65">
    <w:name w:val="纯文本 Char2"/>
    <w:basedOn w:val="25"/>
    <w:semiHidden/>
    <w:qFormat/>
    <w:uiPriority w:val="99"/>
    <w:rPr>
      <w:rFonts w:ascii="宋体" w:hAnsi="Courier New" w:eastAsia="宋体" w:cs="Courier New"/>
      <w:szCs w:val="21"/>
    </w:rPr>
  </w:style>
  <w:style w:type="character" w:customStyle="1" w:styleId="66">
    <w:name w:val="页眉 Char1"/>
    <w:basedOn w:val="25"/>
    <w:semiHidden/>
    <w:qFormat/>
    <w:uiPriority w:val="99"/>
    <w:rPr>
      <w:rFonts w:ascii="Calibri" w:hAnsi="Calibri" w:eastAsia="宋体" w:cs="Times New Roman"/>
      <w:sz w:val="18"/>
      <w:szCs w:val="18"/>
    </w:rPr>
  </w:style>
  <w:style w:type="character" w:customStyle="1" w:styleId="67">
    <w:name w:val="正文文本缩进 Char2"/>
    <w:basedOn w:val="25"/>
    <w:semiHidden/>
    <w:qFormat/>
    <w:uiPriority w:val="99"/>
    <w:rPr>
      <w:rFonts w:ascii="Calibri" w:hAnsi="Calibri" w:eastAsia="宋体" w:cs="Times New Roman"/>
      <w:szCs w:val="20"/>
    </w:rPr>
  </w:style>
  <w:style w:type="character" w:customStyle="1" w:styleId="68">
    <w:name w:val="正文文本 Char2"/>
    <w:basedOn w:val="25"/>
    <w:semiHidden/>
    <w:qFormat/>
    <w:uiPriority w:val="99"/>
    <w:rPr>
      <w:rFonts w:ascii="Calibri" w:hAnsi="Calibri" w:eastAsia="宋体" w:cs="Times New Roman"/>
      <w:szCs w:val="20"/>
    </w:rPr>
  </w:style>
  <w:style w:type="character" w:customStyle="1" w:styleId="69">
    <w:name w:val="批注文字 Char1"/>
    <w:basedOn w:val="25"/>
    <w:semiHidden/>
    <w:qFormat/>
    <w:uiPriority w:val="99"/>
    <w:rPr>
      <w:rFonts w:ascii="Calibri" w:hAnsi="Calibri" w:eastAsia="宋体" w:cs="Times New Roman"/>
      <w:szCs w:val="20"/>
    </w:rPr>
  </w:style>
  <w:style w:type="character" w:customStyle="1" w:styleId="70">
    <w:name w:val="页脚 Char1"/>
    <w:basedOn w:val="25"/>
    <w:semiHidden/>
    <w:qFormat/>
    <w:uiPriority w:val="99"/>
    <w:rPr>
      <w:rFonts w:ascii="Calibri" w:hAnsi="Calibri" w:eastAsia="宋体" w:cs="Times New Roman"/>
      <w:sz w:val="18"/>
      <w:szCs w:val="18"/>
    </w:rPr>
  </w:style>
  <w:style w:type="character" w:customStyle="1" w:styleId="71">
    <w:name w:val="批注主题 Char1"/>
    <w:basedOn w:val="69"/>
    <w:semiHidden/>
    <w:qFormat/>
    <w:uiPriority w:val="99"/>
    <w:rPr>
      <w:rFonts w:ascii="Calibri" w:hAnsi="Calibri" w:eastAsia="宋体" w:cs="Times New Roman"/>
      <w:b/>
      <w:bCs/>
      <w:szCs w:val="20"/>
    </w:rPr>
  </w:style>
  <w:style w:type="paragraph" w:customStyle="1" w:styleId="72">
    <w:name w:val="二级列表 Char"/>
    <w:basedOn w:val="1"/>
    <w:qFormat/>
    <w:uiPriority w:val="0"/>
    <w:pPr>
      <w:autoSpaceDE/>
      <w:autoSpaceDN/>
      <w:jc w:val="both"/>
    </w:pPr>
    <w:rPr>
      <w:rFonts w:ascii="Calibri" w:hAnsi="Calibri" w:cs="Times New Roman"/>
      <w:kern w:val="2"/>
      <w:sz w:val="21"/>
      <w:szCs w:val="20"/>
      <w:lang w:val="en-US" w:bidi="ar-SA"/>
    </w:rPr>
  </w:style>
  <w:style w:type="paragraph" w:customStyle="1" w:styleId="73">
    <w:name w:val="列出段落1"/>
    <w:basedOn w:val="1"/>
    <w:qFormat/>
    <w:uiPriority w:val="34"/>
    <w:pPr>
      <w:autoSpaceDE/>
      <w:autoSpaceDN/>
      <w:ind w:firstLine="420" w:firstLineChars="200"/>
      <w:jc w:val="both"/>
    </w:pPr>
    <w:rPr>
      <w:rFonts w:ascii="Calibri" w:hAnsi="Calibri" w:cs="Times New Roman"/>
      <w:kern w:val="2"/>
      <w:sz w:val="21"/>
      <w:lang w:val="en-US" w:bidi="ar-SA"/>
    </w:rPr>
  </w:style>
  <w:style w:type="paragraph" w:customStyle="1" w:styleId="74">
    <w:name w:val="1"/>
    <w:basedOn w:val="1"/>
    <w:qFormat/>
    <w:uiPriority w:val="0"/>
    <w:pPr>
      <w:widowControl/>
      <w:autoSpaceDE/>
      <w:autoSpaceDN/>
      <w:spacing w:before="100" w:beforeAutospacing="1" w:after="100" w:afterAutospacing="1"/>
    </w:pPr>
    <w:rPr>
      <w:rFonts w:hint="eastAsia" w:cs="Times New Roman"/>
      <w:sz w:val="24"/>
      <w:szCs w:val="24"/>
      <w:lang w:val="en-US" w:bidi="ar-SA"/>
    </w:rPr>
  </w:style>
  <w:style w:type="paragraph" w:customStyle="1" w:styleId="75">
    <w:name w:val="Char Char Char Char Char Char1 Char"/>
    <w:basedOn w:val="1"/>
    <w:qFormat/>
    <w:uiPriority w:val="0"/>
    <w:pPr>
      <w:widowControl/>
      <w:autoSpaceDE/>
      <w:autoSpaceDN/>
      <w:spacing w:after="160" w:line="240" w:lineRule="exact"/>
    </w:pPr>
    <w:rPr>
      <w:rFonts w:ascii="Arial" w:hAnsi="Arial" w:eastAsia="Times New Roman" w:cs="Verdana"/>
      <w:b/>
      <w:sz w:val="24"/>
      <w:szCs w:val="24"/>
      <w:lang w:val="en-US" w:eastAsia="en-US" w:bidi="th-TH"/>
    </w:rPr>
  </w:style>
  <w:style w:type="paragraph" w:customStyle="1" w:styleId="7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7">
    <w:name w:val="2"/>
    <w:basedOn w:val="1"/>
    <w:qFormat/>
    <w:uiPriority w:val="0"/>
    <w:pPr>
      <w:widowControl/>
      <w:autoSpaceDE/>
      <w:autoSpaceDN/>
      <w:spacing w:after="160" w:line="240" w:lineRule="exact"/>
    </w:pPr>
    <w:rPr>
      <w:rFonts w:ascii="Arial" w:hAnsi="Arial" w:eastAsia="Times New Roman" w:cs="Verdana"/>
      <w:b/>
      <w:sz w:val="24"/>
      <w:szCs w:val="24"/>
      <w:lang w:val="en-US" w:eastAsia="en-US" w:bidi="th-TH"/>
    </w:rPr>
  </w:style>
  <w:style w:type="paragraph" w:customStyle="1" w:styleId="78">
    <w:name w:val="标题 11"/>
    <w:basedOn w:val="1"/>
    <w:qFormat/>
    <w:uiPriority w:val="1"/>
    <w:pPr>
      <w:spacing w:before="33"/>
      <w:ind w:left="139"/>
      <w:jc w:val="center"/>
      <w:outlineLvl w:val="1"/>
    </w:pPr>
    <w:rPr>
      <w:sz w:val="48"/>
      <w:szCs w:val="48"/>
    </w:rPr>
  </w:style>
  <w:style w:type="paragraph" w:customStyle="1" w:styleId="79">
    <w:name w:val="标题 21"/>
    <w:basedOn w:val="1"/>
    <w:qFormat/>
    <w:uiPriority w:val="1"/>
    <w:pPr>
      <w:ind w:left="118"/>
      <w:outlineLvl w:val="2"/>
    </w:pPr>
    <w:rPr>
      <w:rFonts w:ascii="Microsoft JhengHei" w:hAnsi="Microsoft JhengHei" w:eastAsia="Microsoft JhengHei" w:cs="Microsoft JhengHei"/>
      <w:b/>
      <w:bCs/>
      <w:sz w:val="28"/>
      <w:szCs w:val="28"/>
    </w:rPr>
  </w:style>
  <w:style w:type="paragraph" w:customStyle="1" w:styleId="80">
    <w:name w:val="标题 31"/>
    <w:basedOn w:val="1"/>
    <w:qFormat/>
    <w:uiPriority w:val="1"/>
    <w:pPr>
      <w:ind w:left="541"/>
      <w:outlineLvl w:val="3"/>
    </w:pPr>
    <w:rPr>
      <w:rFonts w:ascii="微软雅黑" w:hAnsi="微软雅黑" w:eastAsia="微软雅黑" w:cs="微软雅黑"/>
      <w:b/>
      <w:bCs/>
      <w:sz w:val="21"/>
      <w:szCs w:val="21"/>
    </w:rPr>
  </w:style>
  <w:style w:type="paragraph" w:styleId="81">
    <w:name w:val="No Spacing"/>
    <w:link w:val="82"/>
    <w:qFormat/>
    <w:uiPriority w:val="1"/>
    <w:rPr>
      <w:rFonts w:asciiTheme="minorHAnsi" w:hAnsiTheme="minorHAnsi" w:eastAsiaTheme="minorEastAsia" w:cstheme="minorBidi"/>
      <w:sz w:val="22"/>
      <w:szCs w:val="22"/>
      <w:lang w:val="en-US" w:eastAsia="zh-CN" w:bidi="ar-SA"/>
    </w:rPr>
  </w:style>
  <w:style w:type="character" w:customStyle="1" w:styleId="82">
    <w:name w:val="无间隔 字符"/>
    <w:basedOn w:val="25"/>
    <w:link w:val="81"/>
    <w:qFormat/>
    <w:uiPriority w:val="1"/>
    <w:rPr>
      <w:sz w:val="22"/>
      <w:szCs w:val="22"/>
    </w:rPr>
  </w:style>
  <w:style w:type="paragraph" w:customStyle="1" w:styleId="8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4">
    <w:name w:val="正文缩进 字符"/>
    <w:link w:val="8"/>
    <w:qFormat/>
    <w:uiPriority w:val="0"/>
    <w:rPr>
      <w:rFonts w:ascii="宋体" w:hAnsi="宋体" w:eastAsia="宋体" w:cs="宋体"/>
      <w:sz w:val="21"/>
      <w:szCs w:val="22"/>
      <w:lang w:val="zh-CN" w:bidi="zh-CN"/>
    </w:rPr>
  </w:style>
  <w:style w:type="character" w:customStyle="1" w:styleId="85">
    <w:name w:val="Char Char51"/>
    <w:qFormat/>
    <w:uiPriority w:val="0"/>
    <w:rPr>
      <w:rFonts w:ascii="宋体" w:hAnsi="Courier New" w:eastAsia="宋体"/>
      <w:kern w:val="2"/>
      <w:sz w:val="21"/>
      <w:lang w:val="en-US" w:eastAsia="zh-CN" w:bidi="ar-SA"/>
    </w:rPr>
  </w:style>
  <w:style w:type="character" w:customStyle="1" w:styleId="86">
    <w:name w:val="Char Char21"/>
    <w:qFormat/>
    <w:uiPriority w:val="0"/>
    <w:rPr>
      <w:rFonts w:ascii="宋体" w:hAnsi="Courier New" w:cs="宋体"/>
      <w:kern w:val="2"/>
      <w:sz w:val="21"/>
      <w:szCs w:val="21"/>
    </w:rPr>
  </w:style>
  <w:style w:type="character" w:customStyle="1" w:styleId="87">
    <w:name w:val="Char Char31"/>
    <w:qFormat/>
    <w:uiPriority w:val="0"/>
    <w:rPr>
      <w:rFonts w:ascii="宋体" w:hAnsi="Courier New" w:eastAsia="宋体"/>
      <w:kern w:val="2"/>
      <w:sz w:val="21"/>
      <w:lang w:val="en-US" w:eastAsia="zh-CN" w:bidi="ar-SA"/>
    </w:rPr>
  </w:style>
  <w:style w:type="character" w:customStyle="1" w:styleId="88">
    <w:name w:val="标题 5 字符"/>
    <w:basedOn w:val="25"/>
    <w:link w:val="6"/>
    <w:qFormat/>
    <w:uiPriority w:val="1"/>
    <w:rPr>
      <w:rFonts w:ascii="宋体" w:hAnsi="宋体" w:eastAsia="宋体" w:cs="宋体"/>
      <w:sz w:val="24"/>
      <w:szCs w:val="24"/>
      <w:lang w:val="zh-CN" w:bidi="zh-CN"/>
    </w:rPr>
  </w:style>
  <w:style w:type="paragraph" w:customStyle="1" w:styleId="89">
    <w:name w:val="msonormal"/>
    <w:basedOn w:val="1"/>
    <w:qFormat/>
    <w:uiPriority w:val="0"/>
    <w:pPr>
      <w:widowControl/>
      <w:autoSpaceDE/>
      <w:autoSpaceDN/>
      <w:spacing w:before="100" w:beforeAutospacing="1" w:after="100" w:afterAutospacing="1"/>
    </w:pPr>
    <w:rPr>
      <w:sz w:val="24"/>
      <w:szCs w:val="24"/>
      <w:lang w:val="en-US" w:bidi="ar-SA"/>
    </w:rPr>
  </w:style>
  <w:style w:type="paragraph" w:customStyle="1" w:styleId="90">
    <w:name w:val="font5"/>
    <w:basedOn w:val="1"/>
    <w:qFormat/>
    <w:uiPriority w:val="0"/>
    <w:pPr>
      <w:widowControl/>
      <w:autoSpaceDE/>
      <w:autoSpaceDN/>
      <w:spacing w:before="100" w:beforeAutospacing="1" w:after="100" w:afterAutospacing="1"/>
    </w:pPr>
    <w:rPr>
      <w:sz w:val="18"/>
      <w:szCs w:val="18"/>
      <w:lang w:val="en-US" w:bidi="ar-SA"/>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92">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val="en-US" w:bidi="ar-SA"/>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bidi="ar-SA"/>
    </w:rPr>
  </w:style>
  <w:style w:type="paragraph" w:customStyle="1" w:styleId="94">
    <w:name w:val="xl68"/>
    <w:basedOn w:val="1"/>
    <w:qFormat/>
    <w:uiPriority w:val="0"/>
    <w:pPr>
      <w:widowControl/>
      <w:pBdr>
        <w:bottom w:val="single" w:color="auto" w:sz="4" w:space="0"/>
      </w:pBdr>
      <w:autoSpaceDE/>
      <w:autoSpaceDN/>
      <w:spacing w:before="100" w:beforeAutospacing="1" w:after="100" w:afterAutospacing="1"/>
      <w:jc w:val="center"/>
    </w:pPr>
    <w:rPr>
      <w:b/>
      <w:bCs/>
      <w:sz w:val="28"/>
      <w:szCs w:val="28"/>
      <w:lang w:val="en-US" w:bidi="ar-SA"/>
    </w:rPr>
  </w:style>
  <w:style w:type="paragraph" w:customStyle="1" w:styleId="95">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sz w:val="24"/>
      <w:szCs w:val="24"/>
      <w:lang w:val="en-US" w:bidi="ar-SA"/>
    </w:rPr>
  </w:style>
  <w:style w:type="paragraph" w:customStyle="1" w:styleId="96">
    <w:name w:val="xl70"/>
    <w:basedOn w:val="1"/>
    <w:qFormat/>
    <w:uiPriority w:val="0"/>
    <w:pPr>
      <w:widowControl/>
      <w:autoSpaceDE/>
      <w:autoSpaceDN/>
      <w:spacing w:before="100" w:beforeAutospacing="1" w:after="100" w:afterAutospacing="1"/>
    </w:pPr>
    <w:rPr>
      <w:b/>
      <w:bCs/>
      <w:sz w:val="24"/>
      <w:szCs w:val="24"/>
      <w:lang w:val="en-US" w:bidi="ar-SA"/>
    </w:rPr>
  </w:style>
  <w:style w:type="paragraph" w:customStyle="1" w:styleId="97">
    <w:name w:val="潍柴文档正文"/>
    <w:basedOn w:val="1"/>
    <w:qFormat/>
    <w:uiPriority w:val="0"/>
    <w:pPr>
      <w:adjustRightInd/>
      <w:spacing w:line="360" w:lineRule="auto"/>
      <w:ind w:firstLine="200" w:firstLineChars="200"/>
      <w:textAlignment w:val="auto"/>
    </w:pPr>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7214</Words>
  <Characters>41121</Characters>
  <Lines>342</Lines>
  <Paragraphs>96</Paragraphs>
  <TotalTime>2</TotalTime>
  <ScaleCrop>false</ScaleCrop>
  <LinksUpToDate>false</LinksUpToDate>
  <CharactersWithSpaces>48239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2020-11-20T02:41:00Z</dcterms:created>
  <dc:creator>YL</dc:creator>
  <cp:lastModifiedBy>小强 </cp:lastModifiedBy>
  <cp:lastPrinted>2020-11-20T07:50:00Z</cp:lastPrinted>
  <dcterms:modified xsi:type="dcterms:W3CDTF">2020-12-12T06:02:45Z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WPS 文字</vt:lpwstr>
  </property>
  <property fmtid="{D5CDD505-2E9C-101B-9397-08002B2CF9AE}" pid="4" name="LastSaved">
    <vt:filetime>2020-08-18T00:00:00Z</vt:filetime>
  </property>
  <property fmtid="{D5CDD505-2E9C-101B-9397-08002B2CF9AE}" pid="5" name="KSOProductBuildVer">
    <vt:lpwstr>2052-11.1.0.10228</vt:lpwstr>
  </property>
</Properties>
</file>