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9AA669">
      <w:pPr>
        <w:jc w:val="center"/>
        <w:rPr>
          <w:rFonts w:asciiTheme="minorEastAsia" w:hAnsiTheme="minorEastAsia"/>
          <w:b/>
          <w:sz w:val="44"/>
          <w:szCs w:val="44"/>
        </w:rPr>
      </w:pPr>
      <w:bookmarkStart w:id="0" w:name="_Hlk132281557"/>
    </w:p>
    <w:p w14:paraId="47943AAF">
      <w:pPr>
        <w:jc w:val="center"/>
        <w:rPr>
          <w:rFonts w:asciiTheme="minorEastAsia" w:hAnsiTheme="minorEastAsia"/>
          <w:b/>
          <w:sz w:val="44"/>
          <w:szCs w:val="44"/>
        </w:rPr>
      </w:pPr>
    </w:p>
    <w:p w14:paraId="0FDDD4D0">
      <w:pPr>
        <w:jc w:val="center"/>
        <w:rPr>
          <w:rFonts w:hint="default" w:eastAsia="宋体"/>
          <w:b/>
          <w:sz w:val="32"/>
          <w:szCs w:val="32"/>
          <w:lang w:val="en-US" w:eastAsia="zh-CN"/>
        </w:rPr>
      </w:pPr>
      <w:r>
        <w:rPr>
          <w:rFonts w:hint="eastAsia" w:ascii="宋体" w:hAnsi="宋体" w:eastAsia="宋体" w:cs="宋体"/>
          <w:b/>
          <w:sz w:val="44"/>
          <w:szCs w:val="44"/>
        </w:rPr>
        <w:t>202</w:t>
      </w:r>
      <w:r>
        <w:rPr>
          <w:rFonts w:hint="eastAsia" w:ascii="宋体" w:hAnsi="宋体" w:eastAsia="宋体" w:cs="宋体"/>
          <w:b/>
          <w:sz w:val="44"/>
          <w:szCs w:val="44"/>
          <w:lang w:val="en-US" w:eastAsia="zh-CN"/>
        </w:rPr>
        <w:t>7</w:t>
      </w:r>
      <w:r>
        <w:rPr>
          <w:rFonts w:hint="eastAsia" w:ascii="宋体" w:hAnsi="宋体" w:eastAsia="宋体" w:cs="宋体"/>
          <w:b/>
          <w:sz w:val="44"/>
          <w:szCs w:val="44"/>
        </w:rPr>
        <w:t>年</w:t>
      </w:r>
      <w:r>
        <w:rPr>
          <w:rFonts w:hint="eastAsia" w:ascii="宋体" w:hAnsi="宋体" w:eastAsia="宋体" w:cs="宋体"/>
          <w:b/>
          <w:sz w:val="44"/>
          <w:szCs w:val="44"/>
          <w:lang w:val="en-US" w:eastAsia="zh-CN"/>
        </w:rPr>
        <w:t>商销合作伙伴大会</w:t>
      </w:r>
    </w:p>
    <w:p w14:paraId="5EFDEFE2">
      <w:pPr>
        <w:jc w:val="center"/>
        <w:rPr>
          <w:b/>
          <w:sz w:val="32"/>
          <w:szCs w:val="32"/>
        </w:rPr>
      </w:pPr>
    </w:p>
    <w:p w14:paraId="1F5FD89B">
      <w:pPr>
        <w:jc w:val="center"/>
        <w:rPr>
          <w:b/>
          <w:sz w:val="32"/>
          <w:szCs w:val="32"/>
        </w:rPr>
      </w:pPr>
    </w:p>
    <w:p w14:paraId="3A101544">
      <w:pPr>
        <w:jc w:val="center"/>
        <w:rPr>
          <w:rFonts w:ascii="黑体" w:eastAsia="黑体"/>
          <w:b/>
          <w:sz w:val="92"/>
          <w:szCs w:val="92"/>
        </w:rPr>
      </w:pPr>
      <w:r>
        <w:rPr>
          <w:rFonts w:hint="eastAsia" w:ascii="黑体" w:eastAsia="黑体"/>
          <w:b/>
          <w:sz w:val="92"/>
          <w:szCs w:val="92"/>
          <w:lang w:val="en-US" w:eastAsia="zh-CN"/>
        </w:rPr>
        <w:t>招标</w:t>
      </w:r>
      <w:r>
        <w:rPr>
          <w:rFonts w:hint="eastAsia" w:ascii="黑体" w:eastAsia="黑体"/>
          <w:b/>
          <w:sz w:val="92"/>
          <w:szCs w:val="92"/>
        </w:rPr>
        <w:t>书</w:t>
      </w:r>
    </w:p>
    <w:p w14:paraId="22B990A4">
      <w:pPr>
        <w:jc w:val="center"/>
        <w:rPr>
          <w:b/>
          <w:sz w:val="32"/>
          <w:szCs w:val="32"/>
        </w:rPr>
      </w:pPr>
    </w:p>
    <w:p w14:paraId="176137C2">
      <w:pPr>
        <w:jc w:val="center"/>
        <w:rPr>
          <w:b/>
          <w:sz w:val="32"/>
          <w:szCs w:val="32"/>
        </w:rPr>
      </w:pPr>
    </w:p>
    <w:p w14:paraId="0BB91C24">
      <w:pPr>
        <w:jc w:val="center"/>
        <w:rPr>
          <w:b/>
          <w:sz w:val="32"/>
          <w:szCs w:val="32"/>
        </w:rPr>
      </w:pPr>
    </w:p>
    <w:p w14:paraId="03F3ED0D">
      <w:pPr>
        <w:jc w:val="center"/>
        <w:rPr>
          <w:b/>
          <w:sz w:val="32"/>
          <w:szCs w:val="32"/>
        </w:rPr>
      </w:pPr>
    </w:p>
    <w:p w14:paraId="4FE76A75">
      <w:pPr>
        <w:jc w:val="center"/>
        <w:rPr>
          <w:b/>
          <w:sz w:val="32"/>
          <w:szCs w:val="32"/>
        </w:rPr>
      </w:pPr>
    </w:p>
    <w:p w14:paraId="655D1152">
      <w:pPr>
        <w:jc w:val="center"/>
        <w:rPr>
          <w:b/>
          <w:sz w:val="32"/>
          <w:szCs w:val="32"/>
        </w:rPr>
      </w:pPr>
    </w:p>
    <w:p w14:paraId="3254D453">
      <w:pPr>
        <w:jc w:val="center"/>
        <w:rPr>
          <w:b/>
          <w:sz w:val="32"/>
          <w:szCs w:val="32"/>
        </w:rPr>
      </w:pPr>
    </w:p>
    <w:p w14:paraId="4DFA221C">
      <w:pPr>
        <w:jc w:val="center"/>
        <w:rPr>
          <w:b/>
          <w:sz w:val="32"/>
          <w:szCs w:val="32"/>
        </w:rPr>
      </w:pPr>
    </w:p>
    <w:p w14:paraId="082732A4">
      <w:pPr>
        <w:jc w:val="center"/>
        <w:rPr>
          <w:b/>
          <w:sz w:val="32"/>
          <w:szCs w:val="32"/>
        </w:rPr>
      </w:pPr>
    </w:p>
    <w:p w14:paraId="59CB2390">
      <w:pPr>
        <w:jc w:val="center"/>
        <w:rPr>
          <w:b/>
          <w:sz w:val="32"/>
          <w:szCs w:val="32"/>
        </w:rPr>
      </w:pPr>
    </w:p>
    <w:p w14:paraId="5E1A9B36">
      <w:pPr>
        <w:jc w:val="center"/>
        <w:rPr>
          <w:rFonts w:ascii="宋体" w:hAnsi="宋体" w:eastAsia="宋体"/>
          <w:b/>
          <w:sz w:val="32"/>
          <w:szCs w:val="32"/>
        </w:rPr>
      </w:pPr>
      <w:r>
        <w:rPr>
          <w:rFonts w:hint="eastAsia" w:ascii="宋体" w:hAnsi="宋体" w:eastAsia="宋体"/>
          <w:b/>
          <w:sz w:val="32"/>
          <w:szCs w:val="32"/>
        </w:rPr>
        <w:t xml:space="preserve"> 招标人：中国重汽集团济南商用车有限公司</w:t>
      </w:r>
    </w:p>
    <w:p w14:paraId="400D0F5D">
      <w:pPr>
        <w:ind w:firstLine="1928" w:firstLineChars="600"/>
        <w:rPr>
          <w:rFonts w:ascii="宋体" w:hAnsi="宋体" w:eastAsia="宋体"/>
          <w:b/>
          <w:sz w:val="32"/>
          <w:szCs w:val="32"/>
        </w:rPr>
      </w:pPr>
      <w:r>
        <w:rPr>
          <w:rFonts w:hint="eastAsia" w:ascii="宋体" w:hAnsi="宋体" w:eastAsia="宋体"/>
          <w:b/>
          <w:sz w:val="32"/>
          <w:szCs w:val="32"/>
        </w:rPr>
        <w:t>日  期：2</w:t>
      </w:r>
      <w:r>
        <w:rPr>
          <w:rFonts w:ascii="宋体" w:hAnsi="宋体" w:eastAsia="宋体"/>
          <w:b/>
          <w:sz w:val="32"/>
          <w:szCs w:val="32"/>
        </w:rPr>
        <w:t>02</w:t>
      </w:r>
      <w:r>
        <w:rPr>
          <w:rFonts w:hint="eastAsia" w:ascii="宋体" w:hAnsi="宋体" w:eastAsia="宋体"/>
          <w:b/>
          <w:sz w:val="32"/>
          <w:szCs w:val="32"/>
          <w:lang w:val="en-US" w:eastAsia="zh-CN"/>
        </w:rPr>
        <w:t>6</w:t>
      </w:r>
      <w:r>
        <w:rPr>
          <w:rFonts w:hint="eastAsia" w:ascii="宋体" w:hAnsi="宋体" w:eastAsia="宋体"/>
          <w:b/>
          <w:sz w:val="32"/>
          <w:szCs w:val="32"/>
        </w:rPr>
        <w:t>年</w:t>
      </w:r>
      <w:r>
        <w:rPr>
          <w:rFonts w:ascii="宋体" w:hAnsi="宋体" w:eastAsia="宋体"/>
          <w:b/>
          <w:sz w:val="32"/>
          <w:szCs w:val="32"/>
        </w:rPr>
        <w:t>1</w:t>
      </w:r>
      <w:r>
        <w:rPr>
          <w:rFonts w:hint="eastAsia" w:ascii="宋体" w:hAnsi="宋体" w:eastAsia="宋体"/>
          <w:b/>
          <w:sz w:val="32"/>
          <w:szCs w:val="32"/>
          <w:lang w:val="en-US" w:eastAsia="zh-CN"/>
        </w:rPr>
        <w:t>0</w:t>
      </w:r>
      <w:r>
        <w:rPr>
          <w:rFonts w:hint="eastAsia" w:ascii="宋体" w:hAnsi="宋体" w:eastAsia="宋体"/>
          <w:b/>
          <w:sz w:val="32"/>
          <w:szCs w:val="32"/>
        </w:rPr>
        <w:t>月</w:t>
      </w:r>
      <w:r>
        <w:rPr>
          <w:rFonts w:hint="eastAsia" w:ascii="宋体" w:hAnsi="宋体" w:eastAsia="宋体"/>
          <w:b/>
          <w:sz w:val="32"/>
          <w:szCs w:val="32"/>
          <w:lang w:val="en-US" w:eastAsia="zh-CN"/>
        </w:rPr>
        <w:t>23</w:t>
      </w:r>
      <w:r>
        <w:rPr>
          <w:rFonts w:hint="eastAsia" w:ascii="宋体" w:hAnsi="宋体" w:eastAsia="宋体"/>
          <w:b/>
          <w:sz w:val="32"/>
          <w:szCs w:val="32"/>
        </w:rPr>
        <w:t>日</w:t>
      </w:r>
    </w:p>
    <w:p w14:paraId="606B32C8">
      <w:pPr>
        <w:rPr>
          <w:rFonts w:ascii="仿宋_GB2312" w:eastAsia="仿宋_GB2312"/>
          <w:sz w:val="28"/>
          <w:szCs w:val="28"/>
        </w:rPr>
      </w:pPr>
    </w:p>
    <w:p w14:paraId="266789EA">
      <w:pPr>
        <w:pStyle w:val="19"/>
        <w:tabs>
          <w:tab w:val="left" w:pos="862"/>
        </w:tabs>
        <w:spacing w:line="460" w:lineRule="exact"/>
        <w:ind w:left="142" w:firstLine="0" w:firstLineChars="0"/>
        <w:rPr>
          <w:rFonts w:ascii="仿宋" w:hAnsi="仿宋" w:eastAsia="仿宋"/>
          <w:b/>
          <w:sz w:val="28"/>
          <w:szCs w:val="28"/>
        </w:rPr>
      </w:pPr>
    </w:p>
    <w:p w14:paraId="41C4C2FC">
      <w:pPr>
        <w:pStyle w:val="19"/>
        <w:tabs>
          <w:tab w:val="left" w:pos="862"/>
        </w:tabs>
        <w:spacing w:line="460" w:lineRule="exact"/>
        <w:ind w:left="142" w:firstLine="0" w:firstLineChars="0"/>
        <w:rPr>
          <w:rFonts w:hint="eastAsia" w:ascii="仿宋" w:hAnsi="仿宋" w:eastAsia="仿宋"/>
          <w:b/>
          <w:sz w:val="28"/>
          <w:szCs w:val="28"/>
        </w:rPr>
      </w:pPr>
    </w:p>
    <w:p w14:paraId="29324D37">
      <w:pPr>
        <w:pStyle w:val="19"/>
        <w:tabs>
          <w:tab w:val="left" w:pos="862"/>
        </w:tabs>
        <w:spacing w:line="460" w:lineRule="exact"/>
        <w:ind w:left="142" w:firstLine="0" w:firstLineChars="0"/>
        <w:rPr>
          <w:rFonts w:hint="eastAsia" w:ascii="仿宋" w:hAnsi="仿宋" w:eastAsia="仿宋"/>
          <w:b/>
          <w:sz w:val="28"/>
          <w:szCs w:val="28"/>
        </w:rPr>
      </w:pPr>
    </w:p>
    <w:p w14:paraId="6A28C3AE">
      <w:pPr>
        <w:pStyle w:val="19"/>
        <w:tabs>
          <w:tab w:val="left" w:pos="862"/>
        </w:tabs>
        <w:spacing w:line="460" w:lineRule="exact"/>
        <w:ind w:left="142" w:firstLine="0" w:firstLineChars="0"/>
        <w:rPr>
          <w:rFonts w:hint="eastAsia" w:ascii="仿宋" w:hAnsi="仿宋" w:eastAsia="仿宋" w:cs="仿宋"/>
          <w:b/>
          <w:sz w:val="24"/>
          <w:szCs w:val="24"/>
        </w:rPr>
      </w:pPr>
      <w:r>
        <w:rPr>
          <w:rFonts w:hint="eastAsia" w:ascii="仿宋" w:hAnsi="仿宋" w:eastAsia="仿宋" w:cs="仿宋"/>
          <w:b/>
          <w:sz w:val="24"/>
          <w:szCs w:val="24"/>
        </w:rPr>
        <w:t>一、投标人须知</w:t>
      </w:r>
    </w:p>
    <w:p w14:paraId="1C5A35B4">
      <w:pPr>
        <w:pStyle w:val="19"/>
        <w:spacing w:line="460" w:lineRule="exact"/>
        <w:ind w:firstLine="560"/>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招标人：中国重汽集团济南商用车有限公司</w:t>
      </w:r>
    </w:p>
    <w:p w14:paraId="2D1EDA80">
      <w:pPr>
        <w:pStyle w:val="19"/>
        <w:spacing w:line="460" w:lineRule="exact"/>
        <w:ind w:firstLine="560"/>
        <w:rPr>
          <w:rFonts w:hint="eastAsia" w:ascii="仿宋" w:hAnsi="仿宋" w:eastAsia="仿宋" w:cs="仿宋"/>
          <w:sz w:val="24"/>
          <w:szCs w:val="24"/>
          <w:lang w:eastAsia="zh-CN"/>
        </w:rPr>
      </w:pPr>
      <w:r>
        <w:rPr>
          <w:rFonts w:hint="eastAsia" w:ascii="仿宋" w:hAnsi="仿宋" w:eastAsia="仿宋" w:cs="仿宋"/>
          <w:sz w:val="24"/>
          <w:szCs w:val="24"/>
        </w:rPr>
        <w:t>2</w:t>
      </w:r>
      <w:r>
        <w:rPr>
          <w:rFonts w:hint="eastAsia" w:ascii="仿宋" w:hAnsi="仿宋" w:eastAsia="仿宋" w:cs="仿宋"/>
          <w:sz w:val="24"/>
          <w:szCs w:val="24"/>
          <w:lang w:eastAsia="zh-CN"/>
        </w:rPr>
        <w:t>、</w:t>
      </w:r>
      <w:r>
        <w:rPr>
          <w:rFonts w:hint="eastAsia" w:ascii="仿宋" w:hAnsi="仿宋" w:eastAsia="仿宋" w:cs="仿宋"/>
          <w:sz w:val="24"/>
          <w:szCs w:val="24"/>
        </w:rPr>
        <w:t>项目名称：</w:t>
      </w:r>
      <w:r>
        <w:rPr>
          <w:rFonts w:hint="eastAsia" w:ascii="仿宋" w:hAnsi="仿宋" w:eastAsia="仿宋" w:cs="仿宋"/>
          <w:sz w:val="24"/>
          <w:szCs w:val="24"/>
          <w:lang w:eastAsia="zh-CN"/>
        </w:rPr>
        <w:t>202</w:t>
      </w:r>
      <w:r>
        <w:rPr>
          <w:rFonts w:hint="eastAsia" w:ascii="仿宋" w:hAnsi="仿宋" w:eastAsia="仿宋" w:cs="仿宋"/>
          <w:sz w:val="24"/>
          <w:szCs w:val="24"/>
          <w:lang w:val="en-US" w:eastAsia="zh-CN"/>
        </w:rPr>
        <w:t>7</w:t>
      </w:r>
      <w:r>
        <w:rPr>
          <w:rFonts w:hint="eastAsia" w:ascii="仿宋" w:hAnsi="仿宋" w:eastAsia="仿宋" w:cs="仿宋"/>
          <w:sz w:val="24"/>
          <w:szCs w:val="24"/>
          <w:lang w:eastAsia="zh-CN"/>
        </w:rPr>
        <w:t>年商销合作伙伴大会</w:t>
      </w:r>
    </w:p>
    <w:p w14:paraId="7F3B66F6">
      <w:pPr>
        <w:pStyle w:val="19"/>
        <w:spacing w:line="460" w:lineRule="exact"/>
        <w:ind w:firstLine="897" w:firstLineChars="374"/>
        <w:rPr>
          <w:rFonts w:hint="eastAsia" w:ascii="仿宋" w:hAnsi="仿宋" w:eastAsia="仿宋" w:cs="仿宋"/>
          <w:sz w:val="24"/>
          <w:szCs w:val="24"/>
          <w:lang w:val="en-US" w:eastAsia="zh-CN"/>
        </w:rPr>
      </w:pPr>
      <w:r>
        <w:rPr>
          <w:rFonts w:hint="eastAsia" w:ascii="仿宋" w:hAnsi="仿宋" w:eastAsia="仿宋" w:cs="仿宋"/>
          <w:sz w:val="24"/>
          <w:szCs w:val="24"/>
        </w:rPr>
        <w:t>招标形式：</w:t>
      </w:r>
      <w:r>
        <w:rPr>
          <w:rFonts w:hint="eastAsia" w:ascii="仿宋" w:hAnsi="仿宋" w:eastAsia="仿宋" w:cs="仿宋"/>
          <w:sz w:val="24"/>
          <w:szCs w:val="24"/>
          <w:lang w:val="en-US" w:eastAsia="zh-CN"/>
        </w:rPr>
        <w:t>公开招标</w:t>
      </w:r>
    </w:p>
    <w:p w14:paraId="0FE0CAEC">
      <w:pPr>
        <w:pStyle w:val="19"/>
        <w:spacing w:line="460" w:lineRule="exact"/>
        <w:ind w:firstLine="560"/>
        <w:rPr>
          <w:rFonts w:hint="eastAsia" w:ascii="仿宋" w:hAnsi="仿宋" w:eastAsia="仿宋" w:cs="仿宋"/>
          <w:sz w:val="24"/>
          <w:szCs w:val="24"/>
          <w:highlight w:val="none"/>
        </w:rPr>
      </w:pPr>
      <w:r>
        <w:rPr>
          <w:rFonts w:hint="eastAsia" w:ascii="仿宋" w:hAnsi="仿宋" w:eastAsia="仿宋" w:cs="仿宋"/>
          <w:sz w:val="24"/>
          <w:szCs w:val="24"/>
          <w:highlight w:val="none"/>
        </w:rPr>
        <w:t>3</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投标内容：</w:t>
      </w:r>
    </w:p>
    <w:p w14:paraId="24424C31">
      <w:pPr>
        <w:pStyle w:val="19"/>
        <w:spacing w:line="460" w:lineRule="exact"/>
        <w:ind w:left="239" w:leftChars="114" w:firstLine="240" w:firstLineChars="100"/>
        <w:rPr>
          <w:rFonts w:hint="eastAsia" w:ascii="仿宋" w:hAnsi="仿宋" w:eastAsia="仿宋" w:cs="仿宋"/>
          <w:sz w:val="24"/>
          <w:szCs w:val="24"/>
          <w:lang w:val="en-US"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）商销合作伙伴大会，</w:t>
      </w:r>
      <w:r>
        <w:rPr>
          <w:rFonts w:hint="eastAsia" w:ascii="仿宋" w:hAnsi="仿宋" w:eastAsia="仿宋" w:cs="仿宋"/>
          <w:sz w:val="24"/>
          <w:szCs w:val="24"/>
          <w:lang w:val="en-US" w:eastAsia="zh-CN"/>
        </w:rPr>
        <w:t>方案策划、活动现场和晚宴布展、活动执行、颁奖视频的剪辑和制作、会议所需PPT的美化、以及传播保障等。</w:t>
      </w:r>
    </w:p>
    <w:p w14:paraId="34CE96F4">
      <w:pPr>
        <w:pStyle w:val="19"/>
        <w:spacing w:line="460" w:lineRule="exact"/>
        <w:ind w:firstLine="56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（2）获奖经销商摄影和修图。</w:t>
      </w:r>
    </w:p>
    <w:p w14:paraId="76D97A5B">
      <w:pPr>
        <w:pStyle w:val="19"/>
        <w:spacing w:line="460" w:lineRule="exact"/>
        <w:ind w:firstLine="56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lang w:eastAsia="zh-CN"/>
        </w:rPr>
        <w:t>商销合作伙伴大会</w:t>
      </w:r>
      <w:r>
        <w:rPr>
          <w:rFonts w:hint="eastAsia" w:ascii="仿宋" w:hAnsi="仿宋" w:eastAsia="仿宋" w:cs="仿宋"/>
          <w:sz w:val="24"/>
          <w:szCs w:val="24"/>
          <w:highlight w:val="none"/>
          <w:lang w:val="en-US" w:eastAsia="zh-CN"/>
        </w:rPr>
        <w:t>活动环节礼品采购。</w:t>
      </w:r>
    </w:p>
    <w:p w14:paraId="3F9AB2CF">
      <w:pPr>
        <w:pStyle w:val="19"/>
        <w:spacing w:line="460" w:lineRule="exact"/>
        <w:ind w:firstLine="560"/>
        <w:rPr>
          <w:rFonts w:hint="eastAsia"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eastAsia="zh-CN"/>
        </w:rPr>
        <w:t>、</w:t>
      </w:r>
      <w:r>
        <w:rPr>
          <w:rFonts w:hint="eastAsia" w:ascii="仿宋" w:hAnsi="仿宋" w:eastAsia="仿宋" w:cs="仿宋"/>
          <w:sz w:val="24"/>
          <w:szCs w:val="24"/>
        </w:rPr>
        <w:t>项目周期：</w:t>
      </w:r>
      <w:r>
        <w:rPr>
          <w:rFonts w:hint="eastAsia" w:ascii="仿宋" w:hAnsi="仿宋" w:eastAsia="仿宋" w:cs="仿宋"/>
          <w:sz w:val="24"/>
          <w:szCs w:val="24"/>
          <w:lang w:eastAsia="zh-CN"/>
        </w:rPr>
        <w:t>2026</w:t>
      </w:r>
      <w:r>
        <w:rPr>
          <w:rFonts w:hint="eastAsia" w:ascii="仿宋" w:hAnsi="仿宋" w:eastAsia="仿宋" w:cs="仿宋"/>
          <w:sz w:val="24"/>
          <w:szCs w:val="24"/>
        </w:rPr>
        <w:t>年</w:t>
      </w:r>
      <w:r>
        <w:rPr>
          <w:rFonts w:hint="eastAsia" w:ascii="仿宋" w:hAnsi="仿宋" w:eastAsia="仿宋" w:cs="仿宋"/>
          <w:sz w:val="24"/>
          <w:szCs w:val="24"/>
          <w:lang w:val="en-US" w:eastAsia="zh-CN"/>
        </w:rPr>
        <w:t>12</w:t>
      </w:r>
      <w:r>
        <w:rPr>
          <w:rFonts w:hint="eastAsia" w:ascii="仿宋" w:hAnsi="仿宋" w:eastAsia="仿宋" w:cs="仿宋"/>
          <w:sz w:val="24"/>
          <w:szCs w:val="24"/>
        </w:rPr>
        <w:t>月</w:t>
      </w:r>
      <w:r>
        <w:rPr>
          <w:rFonts w:hint="eastAsia" w:ascii="仿宋" w:hAnsi="仿宋" w:eastAsia="仿宋" w:cs="仿宋"/>
          <w:sz w:val="24"/>
          <w:szCs w:val="24"/>
          <w:lang w:val="en-US" w:eastAsia="zh-CN"/>
        </w:rPr>
        <w:t>10</w:t>
      </w:r>
      <w:r>
        <w:rPr>
          <w:rFonts w:hint="eastAsia" w:ascii="仿宋" w:hAnsi="仿宋" w:eastAsia="仿宋" w:cs="仿宋"/>
          <w:sz w:val="24"/>
          <w:szCs w:val="24"/>
        </w:rPr>
        <w:t>日-</w:t>
      </w:r>
      <w:r>
        <w:rPr>
          <w:rFonts w:hint="eastAsia" w:ascii="仿宋" w:hAnsi="仿宋" w:eastAsia="仿宋" w:cs="仿宋"/>
          <w:sz w:val="24"/>
          <w:szCs w:val="24"/>
          <w:lang w:eastAsia="zh-CN"/>
        </w:rPr>
        <w:t>2026</w:t>
      </w:r>
      <w:r>
        <w:rPr>
          <w:rFonts w:hint="eastAsia" w:ascii="仿宋" w:hAnsi="仿宋" w:eastAsia="仿宋" w:cs="仿宋"/>
          <w:sz w:val="24"/>
          <w:szCs w:val="24"/>
        </w:rPr>
        <w:t>年</w:t>
      </w:r>
      <w:r>
        <w:rPr>
          <w:rFonts w:hint="eastAsia" w:ascii="仿宋" w:hAnsi="仿宋" w:eastAsia="仿宋" w:cs="仿宋"/>
          <w:sz w:val="24"/>
          <w:szCs w:val="24"/>
          <w:lang w:val="en-US" w:eastAsia="zh-CN"/>
        </w:rPr>
        <w:t>12</w:t>
      </w:r>
      <w:r>
        <w:rPr>
          <w:rFonts w:hint="eastAsia" w:ascii="仿宋" w:hAnsi="仿宋" w:eastAsia="仿宋" w:cs="仿宋"/>
          <w:sz w:val="24"/>
          <w:szCs w:val="24"/>
        </w:rPr>
        <w:t>月</w:t>
      </w:r>
      <w:r>
        <w:rPr>
          <w:rFonts w:hint="eastAsia" w:ascii="仿宋" w:hAnsi="仿宋" w:eastAsia="仿宋" w:cs="仿宋"/>
          <w:sz w:val="24"/>
          <w:szCs w:val="24"/>
          <w:lang w:val="en-US" w:eastAsia="zh-CN"/>
        </w:rPr>
        <w:t>21</w:t>
      </w:r>
      <w:r>
        <w:rPr>
          <w:rFonts w:hint="eastAsia" w:ascii="仿宋" w:hAnsi="仿宋" w:eastAsia="仿宋" w:cs="仿宋"/>
          <w:sz w:val="24"/>
          <w:szCs w:val="24"/>
        </w:rPr>
        <w:t>日（具体时间以中标后合同约定的时间为准）。</w:t>
      </w:r>
    </w:p>
    <w:p w14:paraId="7AC3C083">
      <w:pPr>
        <w:pStyle w:val="19"/>
        <w:spacing w:line="460" w:lineRule="exact"/>
        <w:ind w:firstLine="560"/>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eastAsia="zh-CN"/>
        </w:rPr>
        <w:t>、</w:t>
      </w:r>
      <w:r>
        <w:rPr>
          <w:rFonts w:hint="eastAsia" w:ascii="仿宋" w:hAnsi="仿宋" w:eastAsia="仿宋" w:cs="仿宋"/>
          <w:sz w:val="24"/>
          <w:szCs w:val="24"/>
        </w:rPr>
        <w:t>报价方式：投标人报价包含不含税金额、税率及价格合计金额（人民币），报价应包括合同签订到交付验收、执行过程中所包含的所有费用（包含但不限于：工商、税务、利润及人工等全部费用）投标人无论是否中标、是否签署合同，对获得的招标人商业信息（包括但不限于文字、图形、技术信息等所有资料）不会用于本次投标项目以外事项，违者应承担全部法律责任。</w:t>
      </w:r>
    </w:p>
    <w:p w14:paraId="2FB12BCD">
      <w:pPr>
        <w:pStyle w:val="3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420" w:leftChars="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6、投标报名：</w:t>
      </w:r>
    </w:p>
    <w:p w14:paraId="60D62968">
      <w:pPr>
        <w:pStyle w:val="3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420" w:leftChars="0"/>
        <w:jc w:val="both"/>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应标截止时间：</w:t>
      </w:r>
      <w:r>
        <w:rPr>
          <w:rFonts w:hint="eastAsia" w:ascii="仿宋" w:hAnsi="仿宋" w:eastAsia="仿宋" w:cs="仿宋"/>
          <w:sz w:val="24"/>
          <w:szCs w:val="24"/>
          <w:highlight w:val="yellow"/>
          <w:u w:val="single"/>
          <w:lang w:eastAsia="zh-CN"/>
        </w:rPr>
        <w:t>2026</w:t>
      </w:r>
      <w:r>
        <w:rPr>
          <w:rFonts w:hint="eastAsia" w:ascii="仿宋" w:hAnsi="仿宋" w:eastAsia="仿宋" w:cs="仿宋"/>
          <w:sz w:val="24"/>
          <w:szCs w:val="24"/>
          <w:highlight w:val="yellow"/>
          <w:u w:val="single"/>
        </w:rPr>
        <w:t>年</w:t>
      </w:r>
      <w:r>
        <w:rPr>
          <w:rFonts w:hint="eastAsia" w:ascii="仿宋" w:hAnsi="仿宋" w:eastAsia="仿宋" w:cs="仿宋"/>
          <w:sz w:val="24"/>
          <w:szCs w:val="24"/>
          <w:highlight w:val="yellow"/>
          <w:u w:val="single"/>
          <w:lang w:val="en-US" w:eastAsia="zh-CN"/>
        </w:rPr>
        <w:t>11</w:t>
      </w:r>
      <w:r>
        <w:rPr>
          <w:rFonts w:hint="eastAsia" w:ascii="仿宋" w:hAnsi="仿宋" w:eastAsia="仿宋" w:cs="仿宋"/>
          <w:sz w:val="24"/>
          <w:szCs w:val="24"/>
          <w:highlight w:val="yellow"/>
          <w:u w:val="single"/>
        </w:rPr>
        <w:t>月</w:t>
      </w:r>
      <w:r>
        <w:rPr>
          <w:rFonts w:hint="eastAsia" w:ascii="仿宋" w:hAnsi="仿宋" w:eastAsia="仿宋" w:cs="仿宋"/>
          <w:sz w:val="24"/>
          <w:szCs w:val="24"/>
          <w:highlight w:val="yellow"/>
          <w:u w:val="single"/>
          <w:lang w:val="en-US" w:eastAsia="zh-CN"/>
        </w:rPr>
        <w:t>3</w:t>
      </w:r>
      <w:r>
        <w:rPr>
          <w:rFonts w:hint="eastAsia" w:ascii="仿宋" w:hAnsi="仿宋" w:eastAsia="仿宋" w:cs="仿宋"/>
          <w:sz w:val="24"/>
          <w:szCs w:val="24"/>
          <w:highlight w:val="yellow"/>
          <w:u w:val="single"/>
        </w:rPr>
        <w:t>日</w:t>
      </w:r>
      <w:r>
        <w:rPr>
          <w:rFonts w:hint="eastAsia" w:ascii="仿宋" w:hAnsi="仿宋" w:eastAsia="仿宋" w:cs="仿宋"/>
          <w:sz w:val="24"/>
          <w:szCs w:val="24"/>
          <w:highlight w:val="yellow"/>
          <w:u w:val="single"/>
          <w:lang w:val="en-US" w:eastAsia="zh-CN"/>
        </w:rPr>
        <w:t>17:00:00（北京时间）</w:t>
      </w:r>
      <w:r>
        <w:rPr>
          <w:rFonts w:hint="eastAsia" w:ascii="仿宋" w:hAnsi="仿宋" w:eastAsia="仿宋" w:cs="仿宋"/>
          <w:sz w:val="24"/>
          <w:szCs w:val="24"/>
          <w:highlight w:val="yellow"/>
          <w:lang w:val="en-US" w:eastAsia="zh-CN"/>
        </w:rPr>
        <w:br w:type="textWrapping"/>
      </w:r>
      <w:r>
        <w:rPr>
          <w:rFonts w:hint="eastAsia" w:ascii="仿宋" w:hAnsi="仿宋" w:eastAsia="仿宋" w:cs="仿宋"/>
          <w:sz w:val="24"/>
          <w:szCs w:val="24"/>
          <w:lang w:val="en-US" w:eastAsia="zh-CN"/>
        </w:rPr>
        <w:tab/>
      </w:r>
      <w:r>
        <w:rPr>
          <w:rFonts w:hint="eastAsia" w:ascii="仿宋" w:hAnsi="仿宋" w:eastAsia="仿宋" w:cs="仿宋"/>
          <w:sz w:val="24"/>
          <w:szCs w:val="24"/>
          <w:highlight w:val="none"/>
          <w:lang w:val="en-US" w:eastAsia="zh-CN"/>
        </w:rPr>
        <w:t>报名方式：拟投标人根据招标人在中国重汽官网公开媒体上发布的招标信息，在</w:t>
      </w:r>
      <w:r>
        <w:rPr>
          <w:rFonts w:hint="eastAsia" w:ascii="仿宋" w:hAnsi="仿宋" w:eastAsia="仿宋" w:cs="仿宋"/>
          <w:b/>
          <w:bCs/>
          <w:sz w:val="24"/>
          <w:szCs w:val="24"/>
          <w:highlight w:val="none"/>
          <w:lang w:val="en-US" w:eastAsia="zh-CN"/>
        </w:rPr>
        <w:t>“中国重汽e采通”</w:t>
      </w:r>
      <w:r>
        <w:rPr>
          <w:rFonts w:hint="eastAsia" w:ascii="仿宋" w:hAnsi="仿宋" w:eastAsia="仿宋" w:cs="仿宋"/>
          <w:sz w:val="24"/>
          <w:szCs w:val="24"/>
          <w:highlight w:val="none"/>
          <w:lang w:val="en-US" w:eastAsia="zh-CN"/>
        </w:rPr>
        <w:t>平台报名。具体流程如下：</w:t>
      </w:r>
    </w:p>
    <w:p w14:paraId="3491A152">
      <w:pPr>
        <w:pStyle w:val="34"/>
        <w:keepNext w:val="0"/>
        <w:keepLines w:val="0"/>
        <w:pageBreakBefore w:val="0"/>
        <w:widowControl w:val="0"/>
        <w:numPr>
          <w:ilvl w:val="0"/>
          <w:numId w:val="0"/>
        </w:numPr>
        <w:kinsoku/>
        <w:wordWrap/>
        <w:overflowPunct/>
        <w:topLinePunct w:val="0"/>
        <w:autoSpaceDE/>
        <w:autoSpaceDN/>
        <w:bidi w:val="0"/>
        <w:adjustRightInd/>
        <w:snapToGrid/>
        <w:spacing w:before="79" w:beforeLines="25" w:line="440" w:lineRule="exact"/>
        <w:ind w:left="420" w:leftChars="200" w:firstLine="480" w:firstLineChars="200"/>
        <w:jc w:val="both"/>
        <w:textAlignment w:val="auto"/>
        <w:outlineLvl w:val="9"/>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（1）系统注册与信息维护</w:t>
      </w:r>
    </w:p>
    <w:p w14:paraId="1FF88592">
      <w:pPr>
        <w:pStyle w:val="3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1050" w:leftChars="500" w:firstLine="482" w:firstLineChars="200"/>
        <w:jc w:val="both"/>
        <w:textAlignment w:val="auto"/>
        <w:rPr>
          <w:rFonts w:hint="eastAsia" w:ascii="仿宋" w:hAnsi="仿宋" w:eastAsia="仿宋" w:cs="仿宋"/>
          <w:sz w:val="24"/>
          <w:szCs w:val="24"/>
          <w:highlight w:val="none"/>
          <w:lang w:val="en-US" w:eastAsia="zh-CN"/>
        </w:rPr>
      </w:pPr>
      <w:r>
        <w:rPr>
          <w:rFonts w:hint="eastAsia" w:ascii="仿宋" w:hAnsi="仿宋" w:eastAsia="仿宋" w:cs="仿宋"/>
          <w:b/>
          <w:bCs/>
          <w:sz w:val="24"/>
          <w:szCs w:val="24"/>
          <w:highlight w:val="none"/>
          <w:lang w:val="en-US" w:eastAsia="zh-CN"/>
        </w:rPr>
        <w:t>已注册供应商：</w:t>
      </w:r>
      <w:r>
        <w:rPr>
          <w:rFonts w:hint="eastAsia" w:ascii="仿宋" w:hAnsi="仿宋" w:eastAsia="仿宋" w:cs="仿宋"/>
          <w:sz w:val="24"/>
          <w:szCs w:val="24"/>
          <w:highlight w:val="none"/>
          <w:lang w:val="en-US" w:eastAsia="zh-CN"/>
        </w:rPr>
        <w:t>请登录系统核对系统中</w:t>
      </w:r>
      <w:r>
        <w:rPr>
          <w:rFonts w:hint="eastAsia" w:ascii="仿宋" w:hAnsi="仿宋" w:eastAsia="仿宋" w:cs="仿宋"/>
          <w:b/>
          <w:bCs/>
          <w:sz w:val="24"/>
          <w:szCs w:val="24"/>
          <w:highlight w:val="none"/>
          <w:lang w:val="en-US" w:eastAsia="zh-CN"/>
        </w:rPr>
        <w:t>2023-2025年度财务数据</w:t>
      </w:r>
      <w:r>
        <w:rPr>
          <w:rFonts w:hint="eastAsia" w:ascii="仿宋" w:hAnsi="仿宋" w:eastAsia="仿宋" w:cs="仿宋"/>
          <w:sz w:val="24"/>
          <w:szCs w:val="24"/>
          <w:highlight w:val="none"/>
          <w:lang w:val="en-US" w:eastAsia="zh-CN"/>
        </w:rPr>
        <w:t>。如尚未填写或信息不全，请参照《SRM非生产供应商注册手册》及时进行补充与更新，确保信息真实、完整。</w:t>
      </w:r>
    </w:p>
    <w:p w14:paraId="515DD3BC">
      <w:pPr>
        <w:pStyle w:val="34"/>
        <w:keepNext w:val="0"/>
        <w:keepLines w:val="0"/>
        <w:pageBreakBefore w:val="0"/>
        <w:widowControl w:val="0"/>
        <w:numPr>
          <w:ilvl w:val="0"/>
          <w:numId w:val="0"/>
        </w:numPr>
        <w:kinsoku/>
        <w:wordWrap/>
        <w:overflowPunct/>
        <w:topLinePunct w:val="0"/>
        <w:autoSpaceDE/>
        <w:autoSpaceDN/>
        <w:bidi w:val="0"/>
        <w:adjustRightInd/>
        <w:snapToGrid/>
        <w:spacing w:before="79" w:beforeLines="25" w:line="440" w:lineRule="exact"/>
        <w:ind w:left="420" w:leftChars="200" w:firstLine="480" w:firstLineChars="200"/>
        <w:jc w:val="both"/>
        <w:textAlignment w:val="auto"/>
        <w:outlineLvl w:val="9"/>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（2）应标流程</w:t>
      </w:r>
    </w:p>
    <w:p w14:paraId="7A0EECAB">
      <w:pPr>
        <w:pStyle w:val="3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1050" w:leftChars="500" w:firstLine="480" w:firstLineChars="200"/>
        <w:jc w:val="both"/>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财务数据维护完成后，参照《SRM系统供应商用户手册》登录平台，进入“供应商应标”模块，选择对应项目点击“应标”，并按照本文件</w:t>
      </w:r>
      <w:r>
        <w:rPr>
          <w:rFonts w:hint="eastAsia" w:ascii="仿宋" w:hAnsi="仿宋" w:eastAsia="仿宋" w:cs="仿宋"/>
          <w:b/>
          <w:bCs/>
          <w:sz w:val="24"/>
          <w:szCs w:val="24"/>
          <w:highlight w:val="none"/>
          <w:lang w:val="en-US" w:eastAsia="zh-CN"/>
        </w:rPr>
        <w:t>“五、投标人资格及要求”的第5条</w:t>
      </w:r>
      <w:r>
        <w:rPr>
          <w:rFonts w:hint="eastAsia" w:ascii="仿宋" w:hAnsi="仿宋" w:eastAsia="仿宋" w:cs="仿宋"/>
          <w:sz w:val="24"/>
          <w:szCs w:val="24"/>
          <w:highlight w:val="none"/>
          <w:lang w:val="en-US" w:eastAsia="zh-CN"/>
        </w:rPr>
        <w:t>准备资料并上传。资质审查通过后，视为报名成功。</w:t>
      </w:r>
    </w:p>
    <w:p w14:paraId="6C035143">
      <w:pPr>
        <w:pStyle w:val="3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1050" w:leftChars="500" w:firstLine="480" w:firstLineChars="200"/>
        <w:jc w:val="both"/>
        <w:textAlignment w:val="auto"/>
        <w:rPr>
          <w:rFonts w:hint="eastAsia" w:ascii="仿宋" w:hAnsi="仿宋" w:eastAsia="仿宋" w:cs="仿宋"/>
          <w:b/>
          <w:bCs/>
          <w:sz w:val="24"/>
          <w:szCs w:val="24"/>
          <w:highlight w:val="none"/>
          <w:lang w:val="en-US" w:eastAsia="zh-CN"/>
        </w:rPr>
      </w:pPr>
      <w:r>
        <w:rPr>
          <w:rFonts w:hint="eastAsia" w:ascii="仿宋" w:hAnsi="仿宋" w:eastAsia="仿宋" w:cs="仿宋"/>
          <w:sz w:val="24"/>
          <w:szCs w:val="24"/>
          <w:highlight w:val="none"/>
          <w:lang w:val="en-US" w:eastAsia="zh-CN"/>
        </w:rPr>
        <w:t>如资质文件被退回，请按审核意见修改后重新上传。请注意：</w:t>
      </w:r>
      <w:r>
        <w:rPr>
          <w:rFonts w:hint="eastAsia" w:ascii="仿宋" w:hAnsi="仿宋" w:eastAsia="仿宋" w:cs="仿宋"/>
          <w:b/>
          <w:bCs/>
          <w:sz w:val="24"/>
          <w:szCs w:val="24"/>
          <w:highlight w:val="none"/>
          <w:lang w:val="en-US" w:eastAsia="zh-CN"/>
        </w:rPr>
        <w:t>应标截止时间后将无法再次上传或修改应标文件。</w:t>
      </w:r>
    </w:p>
    <w:p w14:paraId="189CDE75">
      <w:pPr>
        <w:pStyle w:val="19"/>
        <w:spacing w:line="460" w:lineRule="exact"/>
        <w:ind w:firstLine="560"/>
        <w:rPr>
          <w:rFonts w:hint="eastAsia" w:ascii="仿宋" w:hAnsi="仿宋" w:eastAsia="仿宋" w:cs="仿宋"/>
          <w:sz w:val="24"/>
          <w:szCs w:val="24"/>
          <w:lang w:val="en-US" w:eastAsia="zh-CN"/>
        </w:rPr>
      </w:pPr>
      <w:r>
        <w:rPr>
          <w:rFonts w:hint="eastAsia" w:ascii="仿宋" w:hAnsi="仿宋" w:eastAsia="仿宋" w:cs="仿宋"/>
          <w:b/>
          <w:bCs/>
          <w:sz w:val="24"/>
          <w:szCs w:val="24"/>
          <w:highlight w:val="none"/>
        </w:rPr>
        <w:t>注：请务必在应标截止时间前完成</w:t>
      </w:r>
      <w:r>
        <w:rPr>
          <w:rFonts w:hint="eastAsia" w:ascii="仿宋" w:hAnsi="仿宋" w:eastAsia="仿宋" w:cs="仿宋"/>
          <w:b/>
          <w:bCs/>
          <w:sz w:val="24"/>
          <w:szCs w:val="24"/>
          <w:highlight w:val="none"/>
          <w:lang w:val="en-US" w:eastAsia="zh-CN"/>
        </w:rPr>
        <w:t>财务数据变更</w:t>
      </w:r>
      <w:r>
        <w:rPr>
          <w:rFonts w:hint="eastAsia" w:ascii="仿宋" w:hAnsi="仿宋" w:eastAsia="仿宋" w:cs="仿宋"/>
          <w:b/>
          <w:bCs/>
          <w:sz w:val="24"/>
          <w:szCs w:val="24"/>
          <w:highlight w:val="none"/>
        </w:rPr>
        <w:t>及应标操作，</w:t>
      </w:r>
      <w:r>
        <w:rPr>
          <w:rFonts w:hint="eastAsia" w:ascii="仿宋" w:hAnsi="仿宋" w:eastAsia="仿宋" w:cs="仿宋"/>
          <w:b/>
          <w:bCs/>
          <w:sz w:val="24"/>
          <w:szCs w:val="24"/>
          <w:highlight w:val="none"/>
          <w:lang w:val="en-US" w:eastAsia="zh-CN"/>
        </w:rPr>
        <w:t>财务数据变更审核需1-2日</w:t>
      </w:r>
      <w:r>
        <w:rPr>
          <w:rFonts w:hint="eastAsia" w:ascii="仿宋" w:hAnsi="仿宋" w:eastAsia="仿宋" w:cs="仿宋"/>
          <w:b/>
          <w:bCs/>
          <w:sz w:val="24"/>
          <w:szCs w:val="24"/>
          <w:highlight w:val="none"/>
        </w:rPr>
        <w:t>，应标截止时间精确到秒，逾期将无法应标。请自行掌握时间，避免无法应标。</w:t>
      </w:r>
    </w:p>
    <w:p w14:paraId="6D1876FA">
      <w:pPr>
        <w:pStyle w:val="19"/>
        <w:spacing w:line="460" w:lineRule="exact"/>
        <w:ind w:firstLine="560"/>
        <w:rPr>
          <w:rFonts w:hint="eastAsia" w:ascii="仿宋" w:hAnsi="仿宋" w:eastAsia="仿宋" w:cs="仿宋"/>
          <w:sz w:val="24"/>
          <w:szCs w:val="24"/>
        </w:rPr>
      </w:pPr>
      <w:r>
        <w:rPr>
          <w:rFonts w:hint="eastAsia" w:ascii="仿宋" w:hAnsi="仿宋" w:eastAsia="仿宋" w:cs="仿宋"/>
          <w:sz w:val="24"/>
          <w:szCs w:val="24"/>
          <w:lang w:val="en-US" w:eastAsia="zh-CN"/>
        </w:rPr>
        <w:t>7</w:t>
      </w:r>
      <w:r>
        <w:rPr>
          <w:rFonts w:hint="eastAsia" w:ascii="仿宋" w:hAnsi="仿宋" w:eastAsia="仿宋" w:cs="仿宋"/>
          <w:sz w:val="24"/>
          <w:szCs w:val="24"/>
          <w:lang w:eastAsia="zh-CN"/>
        </w:rPr>
        <w:t>、</w:t>
      </w:r>
      <w:r>
        <w:rPr>
          <w:rFonts w:hint="eastAsia" w:ascii="仿宋" w:hAnsi="仿宋" w:eastAsia="仿宋" w:cs="仿宋"/>
          <w:sz w:val="24"/>
          <w:szCs w:val="24"/>
        </w:rPr>
        <w:t>投标截止：</w:t>
      </w:r>
      <w:r>
        <w:rPr>
          <w:rFonts w:hint="eastAsia" w:ascii="仿宋" w:hAnsi="仿宋" w:eastAsia="仿宋" w:cs="仿宋"/>
          <w:sz w:val="24"/>
          <w:szCs w:val="24"/>
          <w:lang w:val="en-US" w:eastAsia="zh-CN"/>
        </w:rPr>
        <w:t>2026年11月9日17:00:00（北京时间）</w:t>
      </w:r>
      <w:r>
        <w:rPr>
          <w:rFonts w:hint="eastAsia" w:ascii="仿宋" w:hAnsi="仿宋" w:eastAsia="仿宋" w:cs="仿宋"/>
          <w:sz w:val="24"/>
          <w:szCs w:val="24"/>
        </w:rPr>
        <w:t>。</w:t>
      </w:r>
    </w:p>
    <w:p w14:paraId="44588821">
      <w:pPr>
        <w:pStyle w:val="19"/>
        <w:spacing w:line="460" w:lineRule="exact"/>
        <w:ind w:firstLine="560"/>
        <w:rPr>
          <w:rFonts w:hint="eastAsia" w:ascii="仿宋" w:hAnsi="仿宋" w:eastAsia="仿宋" w:cs="仿宋"/>
          <w:sz w:val="24"/>
          <w:szCs w:val="24"/>
        </w:rPr>
      </w:pPr>
      <w:r>
        <w:rPr>
          <w:rFonts w:hint="eastAsia" w:ascii="仿宋" w:hAnsi="仿宋" w:eastAsia="仿宋" w:cs="仿宋"/>
          <w:sz w:val="24"/>
          <w:szCs w:val="24"/>
          <w:lang w:val="en-US" w:eastAsia="zh-CN"/>
        </w:rPr>
        <w:t>8</w:t>
      </w:r>
      <w:r>
        <w:rPr>
          <w:rFonts w:hint="eastAsia" w:ascii="仿宋" w:hAnsi="仿宋" w:eastAsia="仿宋" w:cs="仿宋"/>
          <w:sz w:val="24"/>
          <w:szCs w:val="24"/>
          <w:lang w:eastAsia="zh-CN"/>
        </w:rPr>
        <w:t>、</w:t>
      </w:r>
      <w:r>
        <w:rPr>
          <w:rFonts w:hint="eastAsia" w:ascii="仿宋" w:hAnsi="仿宋" w:eastAsia="仿宋" w:cs="仿宋"/>
          <w:sz w:val="24"/>
          <w:szCs w:val="24"/>
        </w:rPr>
        <w:t>开标会</w:t>
      </w:r>
    </w:p>
    <w:p w14:paraId="5D320F7F">
      <w:pPr>
        <w:pStyle w:val="19"/>
        <w:spacing w:line="460" w:lineRule="exact"/>
        <w:ind w:left="720" w:firstLine="0" w:firstLineChars="0"/>
        <w:rPr>
          <w:rFonts w:hint="eastAsia" w:ascii="仿宋" w:hAnsi="仿宋" w:eastAsia="仿宋" w:cs="仿宋"/>
          <w:sz w:val="24"/>
          <w:szCs w:val="24"/>
          <w:lang w:val="en-US"/>
        </w:rPr>
      </w:pPr>
      <w:r>
        <w:rPr>
          <w:rFonts w:hint="eastAsia" w:ascii="仿宋" w:hAnsi="仿宋" w:eastAsia="仿宋" w:cs="仿宋"/>
          <w:sz w:val="24"/>
          <w:szCs w:val="24"/>
        </w:rPr>
        <w:t>时间：</w:t>
      </w:r>
      <w:r>
        <w:rPr>
          <w:rFonts w:hint="eastAsia" w:ascii="仿宋" w:hAnsi="仿宋" w:eastAsia="仿宋" w:cs="仿宋"/>
          <w:sz w:val="24"/>
          <w:szCs w:val="24"/>
          <w:lang w:val="en-US" w:eastAsia="zh-CN"/>
        </w:rPr>
        <w:t>2026年11月10日9:00:00（北京时间），若有变动，另行通知</w:t>
      </w:r>
    </w:p>
    <w:p w14:paraId="051C3048">
      <w:pPr>
        <w:pStyle w:val="19"/>
        <w:spacing w:line="460" w:lineRule="exact"/>
        <w:ind w:left="720" w:firstLine="0" w:firstLineChars="0"/>
        <w:rPr>
          <w:rFonts w:hint="eastAsia" w:ascii="仿宋" w:hAnsi="仿宋" w:eastAsia="仿宋" w:cs="仿宋"/>
          <w:kern w:val="2"/>
          <w:sz w:val="24"/>
          <w:szCs w:val="24"/>
          <w:lang w:val="en-US" w:eastAsia="zh-CN" w:bidi="ar-SA"/>
        </w:rPr>
      </w:pPr>
      <w:r>
        <w:rPr>
          <w:rFonts w:hint="eastAsia" w:ascii="仿宋" w:hAnsi="仿宋" w:eastAsia="仿宋" w:cs="仿宋"/>
          <w:sz w:val="24"/>
          <w:szCs w:val="24"/>
        </w:rPr>
        <w:t>地点：</w:t>
      </w:r>
      <w:r>
        <w:rPr>
          <w:rFonts w:hint="eastAsia" w:ascii="仿宋" w:hAnsi="仿宋" w:eastAsia="仿宋" w:cs="仿宋"/>
          <w:kern w:val="2"/>
          <w:sz w:val="24"/>
          <w:szCs w:val="24"/>
          <w:lang w:val="en-US" w:eastAsia="zh-CN" w:bidi="ar-SA"/>
        </w:rPr>
        <w:t>济南市高新区华奥路777号</w:t>
      </w:r>
    </w:p>
    <w:p w14:paraId="2006F4D5">
      <w:pPr>
        <w:pStyle w:val="19"/>
        <w:spacing w:line="460" w:lineRule="exact"/>
        <w:ind w:left="720" w:firstLine="0" w:firstLineChars="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开标方式：线上招标。</w:t>
      </w:r>
    </w:p>
    <w:p w14:paraId="21BD0B77">
      <w:pPr>
        <w:pStyle w:val="19"/>
        <w:numPr>
          <w:ilvl w:val="0"/>
          <w:numId w:val="0"/>
        </w:numPr>
        <w:tabs>
          <w:tab w:val="left" w:pos="312"/>
        </w:tabs>
        <w:spacing w:line="460" w:lineRule="exact"/>
        <w:ind w:left="560" w:leftChars="0"/>
        <w:rPr>
          <w:rFonts w:hint="eastAsia" w:ascii="仿宋" w:hAnsi="仿宋" w:eastAsia="仿宋" w:cs="仿宋"/>
          <w:sz w:val="24"/>
          <w:szCs w:val="24"/>
        </w:rPr>
      </w:pPr>
      <w:r>
        <w:rPr>
          <w:rFonts w:hint="eastAsia" w:ascii="仿宋" w:hAnsi="仿宋" w:eastAsia="仿宋" w:cs="仿宋"/>
          <w:sz w:val="24"/>
          <w:szCs w:val="24"/>
          <w:lang w:val="en-US" w:eastAsia="zh-CN"/>
        </w:rPr>
        <w:t>9、</w:t>
      </w:r>
      <w:r>
        <w:rPr>
          <w:rFonts w:hint="eastAsia" w:ascii="仿宋" w:hAnsi="仿宋" w:eastAsia="仿宋" w:cs="仿宋"/>
          <w:sz w:val="24"/>
          <w:szCs w:val="24"/>
        </w:rPr>
        <w:t>评标方法：合理最低价中标</w:t>
      </w:r>
      <w:r>
        <w:rPr>
          <w:rFonts w:hint="eastAsia" w:ascii="仿宋" w:hAnsi="仿宋" w:eastAsia="仿宋" w:cs="仿宋"/>
          <w:sz w:val="24"/>
          <w:szCs w:val="24"/>
          <w:lang w:eastAsia="zh-CN"/>
        </w:rPr>
        <w:t>。</w:t>
      </w:r>
      <w:r>
        <w:rPr>
          <w:rFonts w:hint="eastAsia" w:ascii="仿宋" w:hAnsi="仿宋" w:eastAsia="仿宋" w:cs="仿宋"/>
          <w:b w:val="0"/>
          <w:bCs/>
          <w:sz w:val="24"/>
          <w:szCs w:val="24"/>
          <w:highlight w:val="none"/>
          <w:u w:val="single"/>
          <w:lang w:val="en-US" w:eastAsia="zh-CN"/>
        </w:rPr>
        <w:t>本次招标采用合理最低价法进行评标。本着公平、公正、公开的原则，选择合理最低价确定中标人，对未中标单位不做任何解释。</w:t>
      </w:r>
    </w:p>
    <w:p w14:paraId="51AC993D">
      <w:pPr>
        <w:pStyle w:val="19"/>
        <w:numPr>
          <w:ilvl w:val="0"/>
          <w:numId w:val="0"/>
        </w:numPr>
        <w:tabs>
          <w:tab w:val="left" w:pos="312"/>
        </w:tabs>
        <w:spacing w:line="460" w:lineRule="exact"/>
        <w:ind w:left="560" w:left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10、商务联系人：张立明   </w:t>
      </w:r>
      <w:r>
        <w:rPr>
          <w:rFonts w:hint="eastAsia" w:ascii="仿宋" w:hAnsi="仿宋" w:eastAsia="仿宋" w:cs="仿宋"/>
          <w:sz w:val="24"/>
          <w:szCs w:val="24"/>
        </w:rPr>
        <w:t>电话：</w:t>
      </w:r>
      <w:r>
        <w:rPr>
          <w:rFonts w:hint="eastAsia" w:ascii="仿宋" w:hAnsi="仿宋" w:eastAsia="仿宋" w:cs="仿宋"/>
          <w:sz w:val="24"/>
          <w:szCs w:val="24"/>
          <w:lang w:val="en-US" w:eastAsia="zh-CN"/>
        </w:rPr>
        <w:t xml:space="preserve">15863137090   </w:t>
      </w:r>
    </w:p>
    <w:p w14:paraId="17F1CF92">
      <w:pPr>
        <w:pStyle w:val="19"/>
        <w:spacing w:line="460" w:lineRule="exact"/>
        <w:ind w:left="958" w:leftChars="456" w:firstLine="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技术</w:t>
      </w:r>
      <w:r>
        <w:rPr>
          <w:rFonts w:hint="eastAsia" w:ascii="仿宋" w:hAnsi="仿宋" w:eastAsia="仿宋" w:cs="仿宋"/>
          <w:sz w:val="24"/>
          <w:szCs w:val="24"/>
        </w:rPr>
        <w:t>联系人：</w:t>
      </w:r>
      <w:r>
        <w:rPr>
          <w:rFonts w:hint="eastAsia" w:ascii="仿宋" w:hAnsi="仿宋" w:eastAsia="仿宋" w:cs="仿宋"/>
          <w:sz w:val="24"/>
          <w:szCs w:val="24"/>
          <w:lang w:val="en-US" w:eastAsia="zh-CN"/>
        </w:rPr>
        <w:t xml:space="preserve">张蕊   </w:t>
      </w:r>
      <w:r>
        <w:rPr>
          <w:rFonts w:hint="eastAsia" w:ascii="仿宋" w:hAnsi="仿宋" w:eastAsia="仿宋" w:cs="仿宋"/>
          <w:sz w:val="24"/>
          <w:szCs w:val="24"/>
        </w:rPr>
        <w:t>电话：</w:t>
      </w:r>
      <w:r>
        <w:rPr>
          <w:rFonts w:hint="eastAsia" w:ascii="仿宋" w:hAnsi="仿宋" w:eastAsia="仿宋" w:cs="仿宋"/>
          <w:sz w:val="24"/>
          <w:szCs w:val="24"/>
          <w:lang w:val="en-US" w:eastAsia="zh-CN"/>
        </w:rPr>
        <w:t>18253155285</w:t>
      </w:r>
    </w:p>
    <w:p w14:paraId="2DC106E1">
      <w:pPr>
        <w:pStyle w:val="19"/>
        <w:spacing w:line="460" w:lineRule="exact"/>
        <w:rPr>
          <w:rFonts w:hint="eastAsia" w:ascii="仿宋" w:hAnsi="仿宋" w:eastAsia="仿宋" w:cs="仿宋"/>
          <w:sz w:val="24"/>
          <w:szCs w:val="24"/>
          <w:highlight w:val="none"/>
          <w:lang w:val="en-US" w:eastAsia="zh-CN"/>
        </w:rPr>
      </w:pPr>
      <w:r>
        <w:rPr>
          <w:rFonts w:hint="eastAsia" w:ascii="仿宋" w:hAnsi="仿宋" w:eastAsia="仿宋" w:cs="仿宋"/>
          <w:sz w:val="24"/>
          <w:szCs w:val="24"/>
          <w:lang w:val="en-US" w:eastAsia="zh-CN"/>
        </w:rPr>
        <w:t>11、</w:t>
      </w:r>
      <w:r>
        <w:rPr>
          <w:rFonts w:hint="eastAsia" w:ascii="仿宋" w:hAnsi="仿宋" w:eastAsia="仿宋" w:cs="仿宋"/>
          <w:sz w:val="24"/>
          <w:szCs w:val="24"/>
          <w:highlight w:val="none"/>
          <w:lang w:val="en-US" w:eastAsia="zh-CN"/>
        </w:rPr>
        <w:t>疑问提交</w:t>
      </w:r>
    </w:p>
    <w:p w14:paraId="6F38B2E2">
      <w:pPr>
        <w:pStyle w:val="34"/>
        <w:keepNext w:val="0"/>
        <w:keepLines w:val="0"/>
        <w:pageBreakBefore w:val="0"/>
        <w:widowControl w:val="0"/>
        <w:numPr>
          <w:ilvl w:val="1"/>
          <w:numId w:val="2"/>
        </w:numPr>
        <w:kinsoku/>
        <w:wordWrap/>
        <w:overflowPunct/>
        <w:topLinePunct w:val="0"/>
        <w:autoSpaceDE/>
        <w:autoSpaceDN/>
        <w:bidi w:val="0"/>
        <w:adjustRightInd/>
        <w:snapToGrid/>
        <w:spacing w:line="440" w:lineRule="exact"/>
        <w:ind w:left="0" w:leftChars="0" w:firstLine="420" w:firstLineChars="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提交截止时间：</w:t>
      </w:r>
      <w:r>
        <w:rPr>
          <w:rFonts w:hint="eastAsia" w:ascii="仿宋" w:hAnsi="仿宋" w:eastAsia="仿宋" w:cs="仿宋"/>
          <w:sz w:val="24"/>
          <w:szCs w:val="24"/>
          <w:highlight w:val="none"/>
          <w:u w:val="single"/>
          <w:lang w:val="en-US" w:eastAsia="zh-CN"/>
        </w:rPr>
        <w:t>2026年11月9日17:00:00（北京时间）</w:t>
      </w:r>
    </w:p>
    <w:p w14:paraId="7860A805">
      <w:pPr>
        <w:pStyle w:val="34"/>
        <w:keepNext w:val="0"/>
        <w:keepLines w:val="0"/>
        <w:pageBreakBefore w:val="0"/>
        <w:widowControl w:val="0"/>
        <w:numPr>
          <w:ilvl w:val="1"/>
          <w:numId w:val="2"/>
        </w:numPr>
        <w:kinsoku/>
        <w:wordWrap/>
        <w:overflowPunct/>
        <w:topLinePunct w:val="0"/>
        <w:autoSpaceDE/>
        <w:autoSpaceDN/>
        <w:bidi w:val="0"/>
        <w:adjustRightInd/>
        <w:snapToGrid/>
        <w:spacing w:line="440" w:lineRule="exact"/>
        <w:ind w:left="0" w:leftChars="0" w:firstLine="420" w:firstLineChars="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提交方式：将答疑问题以word文件格式发送至联系人邮件内，并电话联系工作人员查收，</w:t>
      </w:r>
      <w:r>
        <w:rPr>
          <w:rFonts w:hint="eastAsia" w:ascii="仿宋" w:hAnsi="仿宋" w:eastAsia="仿宋" w:cs="仿宋"/>
          <w:b/>
          <w:bCs/>
          <w:sz w:val="24"/>
          <w:szCs w:val="24"/>
          <w:highlight w:val="none"/>
          <w:lang w:val="en-US" w:eastAsia="zh-CN"/>
        </w:rPr>
        <w:t>邮件名格式为：XXX公司（五个字以内公司简称）XX项目答疑文件。同时必须在邮件中以文字方式提供投标人全称、投标授权人姓名、联系方式（固定电话、手机、电子邮箱），并提供法定代表人授权委托书。</w:t>
      </w:r>
    </w:p>
    <w:p w14:paraId="3961A6EF">
      <w:pPr>
        <w:pStyle w:val="19"/>
        <w:numPr>
          <w:ilvl w:val="0"/>
          <w:numId w:val="3"/>
        </w:numPr>
        <w:tabs>
          <w:tab w:val="left" w:pos="862"/>
        </w:tabs>
        <w:spacing w:line="460" w:lineRule="exact"/>
        <w:ind w:left="862" w:leftChars="0" w:hanging="720" w:firstLineChars="0"/>
        <w:rPr>
          <w:rFonts w:hint="eastAsia" w:ascii="仿宋" w:hAnsi="仿宋" w:eastAsia="仿宋" w:cs="仿宋"/>
          <w:b/>
          <w:sz w:val="24"/>
          <w:szCs w:val="24"/>
        </w:rPr>
      </w:pPr>
      <w:r>
        <w:rPr>
          <w:rFonts w:hint="eastAsia" w:ascii="仿宋" w:hAnsi="仿宋" w:eastAsia="仿宋" w:cs="仿宋"/>
          <w:b/>
          <w:sz w:val="24"/>
          <w:szCs w:val="24"/>
        </w:rPr>
        <w:t>项目说明</w:t>
      </w:r>
    </w:p>
    <w:p w14:paraId="5084966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sz w:val="24"/>
          <w:szCs w:val="24"/>
          <w:lang w:eastAsia="zh-CN"/>
        </w:rPr>
      </w:pPr>
      <w:r>
        <w:rPr>
          <w:rFonts w:hint="eastAsia" w:ascii="仿宋" w:hAnsi="仿宋" w:eastAsia="仿宋" w:cs="仿宋"/>
          <w:sz w:val="24"/>
          <w:szCs w:val="24"/>
        </w:rPr>
        <w:t>公司领导：</w:t>
      </w:r>
    </w:p>
    <w:p w14:paraId="52FD47A4">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仿宋" w:hAnsi="仿宋" w:eastAsia="仿宋" w:cs="仿宋"/>
          <w:sz w:val="24"/>
          <w:szCs w:val="24"/>
          <w:lang w:eastAsia="zh-CN"/>
        </w:rPr>
      </w:pPr>
      <w:r>
        <w:rPr>
          <w:rFonts w:hint="eastAsia" w:ascii="仿宋" w:hAnsi="仿宋" w:eastAsia="仿宋" w:cs="仿宋"/>
          <w:sz w:val="24"/>
          <w:szCs w:val="24"/>
        </w:rPr>
        <w:t>为展现中国重汽在科技创新、智能化发展及多能源技术领域的最新成果，深化产业链协同与生态合作，提升品牌影响力与文化价值，</w:t>
      </w:r>
      <w:r>
        <w:rPr>
          <w:rFonts w:hint="eastAsia" w:ascii="仿宋" w:hAnsi="仿宋" w:eastAsia="仿宋" w:cs="仿宋"/>
          <w:sz w:val="24"/>
          <w:szCs w:val="24"/>
          <w:lang w:val="en-US" w:eastAsia="zh-CN"/>
        </w:rPr>
        <w:t>根据公司安排，</w:t>
      </w:r>
      <w:r>
        <w:rPr>
          <w:rFonts w:hint="eastAsia" w:ascii="仿宋" w:hAnsi="仿宋" w:eastAsia="仿宋" w:cs="仿宋"/>
          <w:sz w:val="24"/>
          <w:szCs w:val="24"/>
        </w:rPr>
        <w:t>计划于2026年12月1</w:t>
      </w:r>
      <w:r>
        <w:rPr>
          <w:rFonts w:hint="eastAsia" w:ascii="仿宋" w:hAnsi="仿宋" w:eastAsia="仿宋" w:cs="仿宋"/>
          <w:sz w:val="24"/>
          <w:szCs w:val="24"/>
          <w:lang w:val="en-US" w:eastAsia="zh-CN"/>
        </w:rPr>
        <w:t>9</w:t>
      </w:r>
      <w:r>
        <w:rPr>
          <w:rFonts w:hint="eastAsia" w:ascii="仿宋" w:hAnsi="仿宋" w:eastAsia="仿宋" w:cs="仿宋"/>
          <w:sz w:val="24"/>
          <w:szCs w:val="24"/>
        </w:rPr>
        <w:t>日</w:t>
      </w:r>
      <w:r>
        <w:rPr>
          <w:rFonts w:hint="eastAsia" w:ascii="仿宋" w:hAnsi="仿宋" w:eastAsia="仿宋" w:cs="仿宋"/>
          <w:sz w:val="24"/>
          <w:szCs w:val="24"/>
          <w:lang w:eastAsia="zh-CN"/>
        </w:rPr>
        <w:t>至</w:t>
      </w:r>
      <w:r>
        <w:rPr>
          <w:rFonts w:hint="eastAsia" w:ascii="仿宋" w:hAnsi="仿宋" w:eastAsia="仿宋" w:cs="仿宋"/>
          <w:sz w:val="24"/>
          <w:szCs w:val="24"/>
        </w:rPr>
        <w:t>2</w:t>
      </w:r>
      <w:r>
        <w:rPr>
          <w:rFonts w:hint="eastAsia" w:ascii="仿宋" w:hAnsi="仿宋" w:eastAsia="仿宋" w:cs="仿宋"/>
          <w:sz w:val="24"/>
          <w:szCs w:val="24"/>
          <w:lang w:val="en-US" w:eastAsia="zh-CN"/>
        </w:rPr>
        <w:t>1</w:t>
      </w:r>
      <w:r>
        <w:rPr>
          <w:rFonts w:hint="eastAsia" w:ascii="仿宋" w:hAnsi="仿宋" w:eastAsia="仿宋" w:cs="仿宋"/>
          <w:sz w:val="24"/>
          <w:szCs w:val="24"/>
        </w:rPr>
        <w:t>日在</w:t>
      </w:r>
      <w:r>
        <w:rPr>
          <w:rFonts w:hint="eastAsia" w:ascii="仿宋" w:hAnsi="仿宋" w:eastAsia="仿宋" w:cs="仿宋"/>
          <w:sz w:val="24"/>
          <w:szCs w:val="24"/>
          <w:lang w:val="en-US" w:eastAsia="zh-CN"/>
        </w:rPr>
        <w:t>美豪丽致酒店</w:t>
      </w:r>
      <w:r>
        <w:rPr>
          <w:rFonts w:hint="eastAsia" w:ascii="仿宋" w:hAnsi="仿宋" w:eastAsia="仿宋" w:cs="仿宋"/>
          <w:sz w:val="24"/>
          <w:szCs w:val="24"/>
        </w:rPr>
        <w:t>举办中国重汽集团</w:t>
      </w:r>
      <w:r>
        <w:rPr>
          <w:rFonts w:hint="eastAsia" w:ascii="仿宋" w:hAnsi="仿宋" w:eastAsia="仿宋" w:cs="仿宋"/>
          <w:sz w:val="24"/>
          <w:szCs w:val="24"/>
          <w:lang w:val="en-US" w:eastAsia="zh-CN"/>
        </w:rPr>
        <w:t>济南商用车销售部</w:t>
      </w:r>
      <w:r>
        <w:rPr>
          <w:rFonts w:hint="eastAsia" w:ascii="仿宋" w:hAnsi="仿宋" w:eastAsia="仿宋" w:cs="仿宋"/>
          <w:sz w:val="24"/>
          <w:szCs w:val="24"/>
        </w:rPr>
        <w:t>2027年合作伙伴大会</w:t>
      </w:r>
      <w:r>
        <w:rPr>
          <w:rFonts w:hint="eastAsia" w:ascii="仿宋" w:hAnsi="仿宋" w:eastAsia="仿宋" w:cs="仿宋"/>
          <w:sz w:val="24"/>
          <w:szCs w:val="24"/>
          <w:lang w:eastAsia="zh-CN"/>
        </w:rPr>
        <w:t>。</w:t>
      </w:r>
    </w:p>
    <w:p w14:paraId="341F7466">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仿宋" w:hAnsi="仿宋" w:eastAsia="仿宋" w:cs="仿宋"/>
          <w:sz w:val="24"/>
          <w:szCs w:val="24"/>
          <w:lang w:val="en-US" w:eastAsia="zh-CN"/>
        </w:rPr>
      </w:pPr>
      <w:r>
        <w:rPr>
          <w:rFonts w:hint="eastAsia" w:ascii="仿宋" w:hAnsi="仿宋" w:eastAsia="仿宋" w:cs="仿宋"/>
          <w:b w:val="0"/>
          <w:bCs w:val="0"/>
          <w:sz w:val="24"/>
          <w:szCs w:val="24"/>
          <w:lang w:val="en-US" w:eastAsia="zh-CN"/>
        </w:rPr>
        <w:t>1</w:t>
      </w:r>
      <w:r>
        <w:rPr>
          <w:rFonts w:hint="eastAsia" w:ascii="仿宋" w:hAnsi="仿宋" w:eastAsia="仿宋" w:cs="仿宋"/>
          <w:b w:val="0"/>
          <w:bCs w:val="0"/>
          <w:sz w:val="24"/>
          <w:szCs w:val="24"/>
        </w:rPr>
        <w:t>、会议主题</w:t>
      </w:r>
      <w:r>
        <w:rPr>
          <w:rFonts w:hint="eastAsia" w:ascii="仿宋" w:hAnsi="仿宋" w:eastAsia="仿宋" w:cs="仿宋"/>
          <w:b w:val="0"/>
          <w:bCs w:val="0"/>
          <w:sz w:val="24"/>
          <w:szCs w:val="24"/>
          <w:lang w:eastAsia="zh-CN"/>
        </w:rPr>
        <w:t>：</w:t>
      </w:r>
      <w:r>
        <w:rPr>
          <w:rFonts w:hint="eastAsia" w:ascii="仿宋" w:hAnsi="仿宋" w:eastAsia="仿宋" w:cs="仿宋"/>
          <w:sz w:val="24"/>
          <w:szCs w:val="24"/>
        </w:rPr>
        <w:t>科技引领 全链共赢</w:t>
      </w:r>
    </w:p>
    <w:p w14:paraId="4D1BDF7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 xml:space="preserve">    2</w:t>
      </w:r>
      <w:r>
        <w:rPr>
          <w:rFonts w:hint="eastAsia" w:ascii="仿宋" w:hAnsi="仿宋" w:eastAsia="仿宋" w:cs="仿宋"/>
          <w:b w:val="0"/>
          <w:bCs w:val="0"/>
          <w:sz w:val="24"/>
          <w:szCs w:val="24"/>
        </w:rPr>
        <w:t>、会议时间</w:t>
      </w: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rPr>
        <w:t>12月</w:t>
      </w:r>
      <w:r>
        <w:rPr>
          <w:rFonts w:hint="eastAsia" w:ascii="仿宋" w:hAnsi="仿宋" w:eastAsia="仿宋" w:cs="仿宋"/>
          <w:b w:val="0"/>
          <w:bCs w:val="0"/>
          <w:sz w:val="24"/>
          <w:szCs w:val="24"/>
          <w:lang w:val="en-US" w:eastAsia="zh-CN"/>
        </w:rPr>
        <w:t>1</w:t>
      </w:r>
      <w:r>
        <w:rPr>
          <w:rFonts w:hint="eastAsia" w:ascii="仿宋" w:hAnsi="仿宋" w:eastAsia="仿宋" w:cs="仿宋"/>
          <w:b w:val="0"/>
          <w:bCs w:val="0"/>
          <w:sz w:val="24"/>
          <w:szCs w:val="24"/>
        </w:rPr>
        <w:t>9日</w:t>
      </w:r>
      <w:r>
        <w:rPr>
          <w:rFonts w:hint="eastAsia" w:ascii="仿宋" w:hAnsi="仿宋" w:eastAsia="仿宋" w:cs="仿宋"/>
          <w:b w:val="0"/>
          <w:bCs w:val="0"/>
          <w:sz w:val="24"/>
          <w:szCs w:val="24"/>
          <w:lang w:val="en-US" w:eastAsia="zh-CN"/>
        </w:rPr>
        <w:t>-21日</w:t>
      </w:r>
    </w:p>
    <w:p w14:paraId="050290C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val="en-US" w:eastAsia="zh-CN"/>
        </w:rPr>
        <w:t xml:space="preserve">    3</w:t>
      </w:r>
      <w:r>
        <w:rPr>
          <w:rFonts w:hint="eastAsia" w:ascii="仿宋" w:hAnsi="仿宋" w:eastAsia="仿宋" w:cs="仿宋"/>
          <w:b w:val="0"/>
          <w:bCs w:val="0"/>
          <w:sz w:val="24"/>
          <w:szCs w:val="24"/>
        </w:rPr>
        <w:t>、会议地点</w:t>
      </w:r>
      <w:r>
        <w:rPr>
          <w:rFonts w:hint="eastAsia" w:ascii="仿宋" w:hAnsi="仿宋" w:eastAsia="仿宋" w:cs="仿宋"/>
          <w:b w:val="0"/>
          <w:bCs w:val="0"/>
          <w:sz w:val="24"/>
          <w:szCs w:val="24"/>
          <w:lang w:eastAsia="zh-CN"/>
        </w:rPr>
        <w:t>：美豪丽致酒店</w:t>
      </w:r>
    </w:p>
    <w:p w14:paraId="745CA438">
      <w:pPr>
        <w:pStyle w:val="19"/>
        <w:numPr>
          <w:ilvl w:val="0"/>
          <w:numId w:val="3"/>
        </w:numPr>
        <w:tabs>
          <w:tab w:val="left" w:pos="862"/>
        </w:tabs>
        <w:spacing w:line="460" w:lineRule="exact"/>
        <w:ind w:left="862" w:leftChars="0" w:hanging="720" w:firstLineChars="0"/>
        <w:rPr>
          <w:rFonts w:hint="eastAsia" w:ascii="仿宋" w:hAnsi="仿宋" w:eastAsia="仿宋" w:cs="仿宋"/>
          <w:b/>
          <w:sz w:val="24"/>
          <w:szCs w:val="24"/>
        </w:rPr>
      </w:pPr>
      <w:r>
        <w:rPr>
          <w:rFonts w:hint="eastAsia" w:ascii="仿宋" w:hAnsi="仿宋" w:eastAsia="仿宋" w:cs="仿宋"/>
          <w:b/>
          <w:sz w:val="24"/>
          <w:szCs w:val="24"/>
        </w:rPr>
        <w:t>标的内容</w:t>
      </w:r>
    </w:p>
    <w:p w14:paraId="7DA7A3B5">
      <w:pPr>
        <w:pStyle w:val="19"/>
        <w:numPr>
          <w:ilvl w:val="0"/>
          <w:numId w:val="0"/>
        </w:numPr>
        <w:tabs>
          <w:tab w:val="left" w:pos="862"/>
        </w:tabs>
        <w:spacing w:line="460" w:lineRule="exact"/>
        <w:ind w:leftChars="0"/>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会议流程：</w:t>
      </w:r>
    </w:p>
    <w:p w14:paraId="4D4B7A9C">
      <w:pPr>
        <w:pStyle w:val="19"/>
        <w:numPr>
          <w:ilvl w:val="0"/>
          <w:numId w:val="0"/>
        </w:numPr>
        <w:tabs>
          <w:tab w:val="left" w:pos="862"/>
        </w:tabs>
        <w:spacing w:line="460" w:lineRule="exact"/>
        <w:ind w:leftChars="0"/>
        <w:rPr>
          <w:rFonts w:hint="eastAsia" w:ascii="仿宋" w:hAnsi="仿宋" w:eastAsia="仿宋" w:cs="仿宋"/>
          <w:sz w:val="24"/>
          <w:szCs w:val="24"/>
          <w:lang w:eastAsia="zh-CN"/>
          <w:woUserID w:val="1"/>
        </w:rPr>
      </w:pPr>
      <w:r>
        <w:rPr>
          <w:rFonts w:hint="eastAsia" w:ascii="仿宋" w:hAnsi="仿宋" w:eastAsia="仿宋" w:cs="仿宋"/>
          <w:sz w:val="24"/>
          <w:szCs w:val="24"/>
          <w:lang w:val="en-US" w:eastAsia="zh-CN"/>
          <w:woUserID w:val="1"/>
        </w:rPr>
        <w:t>12月19-21日</w:t>
      </w:r>
      <w:r>
        <w:rPr>
          <w:rFonts w:hint="eastAsia" w:ascii="仿宋" w:hAnsi="仿宋" w:eastAsia="仿宋" w:cs="仿宋"/>
          <w:sz w:val="24"/>
          <w:szCs w:val="24"/>
          <w:lang w:eastAsia="zh-CN"/>
          <w:woUserID w:val="1"/>
        </w:rPr>
        <w:t>大会议程</w:t>
      </w:r>
    </w:p>
    <w:tbl>
      <w:tblPr>
        <w:tblStyle w:val="12"/>
        <w:tblW w:w="9718" w:type="dxa"/>
        <w:tblInd w:w="0" w:type="dxa"/>
        <w:tblLayout w:type="autofit"/>
        <w:tblCellMar>
          <w:top w:w="0" w:type="dxa"/>
          <w:left w:w="108" w:type="dxa"/>
          <w:bottom w:w="0" w:type="dxa"/>
          <w:right w:w="108" w:type="dxa"/>
        </w:tblCellMar>
      </w:tblPr>
      <w:tblGrid>
        <w:gridCol w:w="1413"/>
        <w:gridCol w:w="1394"/>
        <w:gridCol w:w="1404"/>
        <w:gridCol w:w="5507"/>
      </w:tblGrid>
      <w:tr w14:paraId="3618F7FF">
        <w:tblPrEx>
          <w:tblCellMar>
            <w:top w:w="0" w:type="dxa"/>
            <w:left w:w="108" w:type="dxa"/>
            <w:bottom w:w="0" w:type="dxa"/>
            <w:right w:w="108" w:type="dxa"/>
          </w:tblCellMar>
        </w:tblPrEx>
        <w:trPr>
          <w:trHeight w:val="388" w:hRule="atLeast"/>
        </w:trPr>
        <w:tc>
          <w:tcPr>
            <w:tcW w:w="1413" w:type="dxa"/>
            <w:tcBorders>
              <w:top w:val="single" w:color="auto" w:sz="4" w:space="0"/>
              <w:left w:val="single" w:color="auto" w:sz="4" w:space="0"/>
              <w:bottom w:val="single" w:color="auto" w:sz="4" w:space="0"/>
              <w:right w:val="single" w:color="auto" w:sz="4" w:space="0"/>
            </w:tcBorders>
            <w:shd w:val="clear" w:color="000000" w:fill="auto"/>
            <w:vAlign w:val="center"/>
          </w:tcPr>
          <w:p w14:paraId="548B4418">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b w:val="0"/>
                <w:bCs w:val="0"/>
                <w:color w:val="auto"/>
                <w:sz w:val="22"/>
                <w:szCs w:val="22"/>
              </w:rPr>
            </w:pPr>
            <w:bookmarkStart w:id="1" w:name="_Hlk97552819"/>
            <w:r>
              <w:rPr>
                <w:rFonts w:hint="eastAsia" w:ascii="仿宋" w:hAnsi="仿宋" w:eastAsia="仿宋" w:cs="仿宋"/>
                <w:b w:val="0"/>
                <w:bCs w:val="0"/>
                <w:color w:val="auto"/>
                <w:sz w:val="22"/>
                <w:szCs w:val="22"/>
              </w:rPr>
              <w:t>日期</w:t>
            </w:r>
          </w:p>
        </w:tc>
        <w:tc>
          <w:tcPr>
            <w:tcW w:w="1394" w:type="dxa"/>
            <w:tcBorders>
              <w:top w:val="single" w:color="auto" w:sz="4" w:space="0"/>
              <w:left w:val="nil"/>
              <w:bottom w:val="single" w:color="auto" w:sz="4" w:space="0"/>
              <w:right w:val="single" w:color="auto" w:sz="4" w:space="0"/>
            </w:tcBorders>
            <w:shd w:val="clear" w:color="000000" w:fill="auto"/>
            <w:vAlign w:val="center"/>
          </w:tcPr>
          <w:p w14:paraId="470667BC">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环节流程</w:t>
            </w:r>
          </w:p>
        </w:tc>
        <w:tc>
          <w:tcPr>
            <w:tcW w:w="1404" w:type="dxa"/>
            <w:tcBorders>
              <w:top w:val="single" w:color="auto" w:sz="4" w:space="0"/>
              <w:left w:val="nil"/>
              <w:bottom w:val="single" w:color="auto" w:sz="4" w:space="0"/>
              <w:right w:val="single" w:color="auto" w:sz="4" w:space="0"/>
            </w:tcBorders>
            <w:shd w:val="clear" w:color="000000" w:fill="auto"/>
            <w:vAlign w:val="center"/>
          </w:tcPr>
          <w:p w14:paraId="58464D2C">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时间</w:t>
            </w:r>
          </w:p>
        </w:tc>
        <w:tc>
          <w:tcPr>
            <w:tcW w:w="5507" w:type="dxa"/>
            <w:tcBorders>
              <w:top w:val="single" w:color="auto" w:sz="4" w:space="0"/>
              <w:left w:val="nil"/>
              <w:bottom w:val="single" w:color="auto" w:sz="4" w:space="0"/>
              <w:right w:val="single" w:color="auto" w:sz="4" w:space="0"/>
            </w:tcBorders>
            <w:shd w:val="clear" w:color="000000" w:fill="auto"/>
            <w:vAlign w:val="center"/>
          </w:tcPr>
          <w:p w14:paraId="7CE6789F">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内容</w:t>
            </w:r>
          </w:p>
        </w:tc>
      </w:tr>
      <w:tr w14:paraId="75050DCB">
        <w:tblPrEx>
          <w:tblCellMar>
            <w:top w:w="0" w:type="dxa"/>
            <w:left w:w="108" w:type="dxa"/>
            <w:bottom w:w="0" w:type="dxa"/>
            <w:right w:w="108" w:type="dxa"/>
          </w:tblCellMar>
        </w:tblPrEx>
        <w:trPr>
          <w:trHeight w:val="333" w:hRule="atLeast"/>
        </w:trPr>
        <w:tc>
          <w:tcPr>
            <w:tcW w:w="1413" w:type="dxa"/>
            <w:vMerge w:val="restart"/>
            <w:tcBorders>
              <w:top w:val="nil"/>
              <w:left w:val="single" w:color="auto" w:sz="4" w:space="0"/>
              <w:bottom w:val="single" w:color="auto" w:sz="4" w:space="0"/>
              <w:right w:val="single" w:color="auto" w:sz="4" w:space="0"/>
            </w:tcBorders>
            <w:shd w:val="clear" w:color="auto" w:fill="auto"/>
            <w:vAlign w:val="center"/>
          </w:tcPr>
          <w:p w14:paraId="1C726E06">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12月19日上午美豪丽致酒店 </w:t>
            </w:r>
          </w:p>
        </w:tc>
        <w:tc>
          <w:tcPr>
            <w:tcW w:w="1394" w:type="dxa"/>
            <w:vMerge w:val="restart"/>
            <w:tcBorders>
              <w:top w:val="nil"/>
              <w:left w:val="single" w:color="auto" w:sz="4" w:space="0"/>
              <w:bottom w:val="single" w:color="auto" w:sz="4" w:space="0"/>
              <w:right w:val="single" w:color="auto" w:sz="4" w:space="0"/>
            </w:tcBorders>
            <w:shd w:val="clear" w:color="auto" w:fill="auto"/>
            <w:vAlign w:val="center"/>
          </w:tcPr>
          <w:p w14:paraId="1B268A01">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商用车销售部合作伙伴大会</w:t>
            </w:r>
          </w:p>
        </w:tc>
        <w:tc>
          <w:tcPr>
            <w:tcW w:w="1404" w:type="dxa"/>
            <w:tcBorders>
              <w:top w:val="nil"/>
              <w:left w:val="nil"/>
              <w:bottom w:val="single" w:color="auto" w:sz="4" w:space="0"/>
              <w:right w:val="single" w:color="auto" w:sz="4" w:space="0"/>
            </w:tcBorders>
            <w:shd w:val="clear" w:color="auto" w:fill="auto"/>
            <w:vAlign w:val="center"/>
          </w:tcPr>
          <w:p w14:paraId="0B5BC060">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08:30-08:55</w:t>
            </w:r>
          </w:p>
        </w:tc>
        <w:tc>
          <w:tcPr>
            <w:tcW w:w="5507" w:type="dxa"/>
            <w:tcBorders>
              <w:top w:val="nil"/>
              <w:left w:val="nil"/>
              <w:bottom w:val="single" w:color="auto" w:sz="4" w:space="0"/>
              <w:right w:val="single" w:color="auto" w:sz="4" w:space="0"/>
            </w:tcBorders>
            <w:shd w:val="clear" w:color="auto" w:fill="auto"/>
            <w:vAlign w:val="center"/>
          </w:tcPr>
          <w:p w14:paraId="23334041">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暖场视频</w:t>
            </w:r>
          </w:p>
        </w:tc>
      </w:tr>
      <w:tr w14:paraId="57104AD6">
        <w:tblPrEx>
          <w:tblCellMar>
            <w:top w:w="0" w:type="dxa"/>
            <w:left w:w="108" w:type="dxa"/>
            <w:bottom w:w="0" w:type="dxa"/>
            <w:right w:w="108" w:type="dxa"/>
          </w:tblCellMar>
        </w:tblPrEx>
        <w:trPr>
          <w:trHeight w:val="333" w:hRule="atLeast"/>
        </w:trPr>
        <w:tc>
          <w:tcPr>
            <w:tcW w:w="1413" w:type="dxa"/>
            <w:vMerge w:val="continue"/>
            <w:tcBorders>
              <w:top w:val="nil"/>
              <w:left w:val="single" w:color="auto" w:sz="4" w:space="0"/>
              <w:bottom w:val="single" w:color="auto" w:sz="4" w:space="0"/>
              <w:right w:val="single" w:color="auto" w:sz="4" w:space="0"/>
            </w:tcBorders>
            <w:vAlign w:val="center"/>
          </w:tcPr>
          <w:p w14:paraId="00450165">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p>
        </w:tc>
        <w:tc>
          <w:tcPr>
            <w:tcW w:w="1394" w:type="dxa"/>
            <w:vMerge w:val="continue"/>
            <w:tcBorders>
              <w:top w:val="nil"/>
              <w:left w:val="single" w:color="auto" w:sz="4" w:space="0"/>
              <w:bottom w:val="single" w:color="auto" w:sz="4" w:space="0"/>
              <w:right w:val="single" w:color="auto" w:sz="4" w:space="0"/>
            </w:tcBorders>
            <w:vAlign w:val="center"/>
          </w:tcPr>
          <w:p w14:paraId="0CCE670D">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p>
        </w:tc>
        <w:tc>
          <w:tcPr>
            <w:tcW w:w="1404" w:type="dxa"/>
            <w:tcBorders>
              <w:top w:val="nil"/>
              <w:left w:val="nil"/>
              <w:bottom w:val="single" w:color="auto" w:sz="4" w:space="0"/>
              <w:right w:val="single" w:color="auto" w:sz="4" w:space="0"/>
            </w:tcBorders>
            <w:shd w:val="clear" w:color="auto" w:fill="auto"/>
            <w:vAlign w:val="center"/>
          </w:tcPr>
          <w:p w14:paraId="6FC147AC">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08:55-09:00</w:t>
            </w:r>
          </w:p>
        </w:tc>
        <w:tc>
          <w:tcPr>
            <w:tcW w:w="5507" w:type="dxa"/>
            <w:tcBorders>
              <w:top w:val="nil"/>
              <w:left w:val="nil"/>
              <w:bottom w:val="single" w:color="auto" w:sz="4" w:space="0"/>
              <w:right w:val="single" w:color="auto" w:sz="4" w:space="0"/>
            </w:tcBorders>
            <w:shd w:val="clear" w:color="auto" w:fill="auto"/>
            <w:vAlign w:val="center"/>
          </w:tcPr>
          <w:p w14:paraId="7B4391FE">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主持人开场</w:t>
            </w:r>
          </w:p>
        </w:tc>
      </w:tr>
      <w:tr w14:paraId="3F6162BC">
        <w:tblPrEx>
          <w:tblCellMar>
            <w:top w:w="0" w:type="dxa"/>
            <w:left w:w="108" w:type="dxa"/>
            <w:bottom w:w="0" w:type="dxa"/>
            <w:right w:w="108" w:type="dxa"/>
          </w:tblCellMar>
        </w:tblPrEx>
        <w:trPr>
          <w:trHeight w:val="333" w:hRule="atLeast"/>
        </w:trPr>
        <w:tc>
          <w:tcPr>
            <w:tcW w:w="1413" w:type="dxa"/>
            <w:vMerge w:val="continue"/>
            <w:tcBorders>
              <w:top w:val="nil"/>
              <w:left w:val="single" w:color="auto" w:sz="4" w:space="0"/>
              <w:bottom w:val="single" w:color="auto" w:sz="4" w:space="0"/>
              <w:right w:val="single" w:color="auto" w:sz="4" w:space="0"/>
            </w:tcBorders>
            <w:vAlign w:val="center"/>
          </w:tcPr>
          <w:p w14:paraId="3D29A65E">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p>
        </w:tc>
        <w:tc>
          <w:tcPr>
            <w:tcW w:w="1394" w:type="dxa"/>
            <w:vMerge w:val="continue"/>
            <w:tcBorders>
              <w:top w:val="nil"/>
              <w:left w:val="single" w:color="auto" w:sz="4" w:space="0"/>
              <w:bottom w:val="single" w:color="auto" w:sz="4" w:space="0"/>
              <w:right w:val="single" w:color="auto" w:sz="4" w:space="0"/>
            </w:tcBorders>
            <w:vAlign w:val="center"/>
          </w:tcPr>
          <w:p w14:paraId="6C793F66">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p>
        </w:tc>
        <w:tc>
          <w:tcPr>
            <w:tcW w:w="1404" w:type="dxa"/>
            <w:tcBorders>
              <w:top w:val="nil"/>
              <w:left w:val="nil"/>
              <w:bottom w:val="single" w:color="auto" w:sz="4" w:space="0"/>
              <w:right w:val="single" w:color="auto" w:sz="4" w:space="0"/>
            </w:tcBorders>
            <w:shd w:val="clear" w:color="auto" w:fill="auto"/>
            <w:vAlign w:val="center"/>
          </w:tcPr>
          <w:p w14:paraId="52D17A0E">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09:00-10:00</w:t>
            </w:r>
          </w:p>
        </w:tc>
        <w:tc>
          <w:tcPr>
            <w:tcW w:w="5507" w:type="dxa"/>
            <w:tcBorders>
              <w:top w:val="nil"/>
              <w:left w:val="nil"/>
              <w:bottom w:val="single" w:color="auto" w:sz="4" w:space="0"/>
              <w:right w:val="single" w:color="auto" w:sz="4" w:space="0"/>
            </w:tcBorders>
            <w:shd w:val="clear" w:color="auto" w:fill="auto"/>
            <w:vAlign w:val="center"/>
          </w:tcPr>
          <w:p w14:paraId="2D1C1163">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总经理工作报告</w:t>
            </w:r>
          </w:p>
        </w:tc>
      </w:tr>
      <w:tr w14:paraId="3D6A06AF">
        <w:tblPrEx>
          <w:tblCellMar>
            <w:top w:w="0" w:type="dxa"/>
            <w:left w:w="108" w:type="dxa"/>
            <w:bottom w:w="0" w:type="dxa"/>
            <w:right w:w="108" w:type="dxa"/>
          </w:tblCellMar>
        </w:tblPrEx>
        <w:trPr>
          <w:trHeight w:val="333" w:hRule="atLeast"/>
        </w:trPr>
        <w:tc>
          <w:tcPr>
            <w:tcW w:w="1413" w:type="dxa"/>
            <w:vMerge w:val="continue"/>
            <w:tcBorders>
              <w:top w:val="nil"/>
              <w:left w:val="single" w:color="auto" w:sz="4" w:space="0"/>
              <w:bottom w:val="single" w:color="auto" w:sz="4" w:space="0"/>
              <w:right w:val="single" w:color="auto" w:sz="4" w:space="0"/>
            </w:tcBorders>
            <w:vAlign w:val="center"/>
          </w:tcPr>
          <w:p w14:paraId="63EA05DE">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p>
        </w:tc>
        <w:tc>
          <w:tcPr>
            <w:tcW w:w="1394" w:type="dxa"/>
            <w:vMerge w:val="continue"/>
            <w:tcBorders>
              <w:top w:val="nil"/>
              <w:left w:val="single" w:color="auto" w:sz="4" w:space="0"/>
              <w:bottom w:val="single" w:color="auto" w:sz="4" w:space="0"/>
              <w:right w:val="single" w:color="auto" w:sz="4" w:space="0"/>
            </w:tcBorders>
            <w:vAlign w:val="center"/>
          </w:tcPr>
          <w:p w14:paraId="7084B3FC">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p>
        </w:tc>
        <w:tc>
          <w:tcPr>
            <w:tcW w:w="1404" w:type="dxa"/>
            <w:tcBorders>
              <w:top w:val="nil"/>
              <w:left w:val="nil"/>
              <w:bottom w:val="single" w:color="auto" w:sz="4" w:space="0"/>
              <w:right w:val="single" w:color="auto" w:sz="4" w:space="0"/>
            </w:tcBorders>
            <w:shd w:val="clear" w:color="auto" w:fill="auto"/>
            <w:vAlign w:val="center"/>
          </w:tcPr>
          <w:p w14:paraId="026A5DE0">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10:00-10:10</w:t>
            </w:r>
          </w:p>
        </w:tc>
        <w:tc>
          <w:tcPr>
            <w:tcW w:w="5507" w:type="dxa"/>
            <w:tcBorders>
              <w:top w:val="nil"/>
              <w:left w:val="nil"/>
              <w:bottom w:val="single" w:color="auto" w:sz="4" w:space="0"/>
              <w:right w:val="single" w:color="auto" w:sz="4" w:space="0"/>
            </w:tcBorders>
            <w:shd w:val="clear" w:color="auto" w:fill="auto"/>
            <w:vAlign w:val="center"/>
          </w:tcPr>
          <w:p w14:paraId="240F158A">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宣读奖励文件</w:t>
            </w:r>
          </w:p>
        </w:tc>
      </w:tr>
      <w:tr w14:paraId="357D58CF">
        <w:tblPrEx>
          <w:tblCellMar>
            <w:top w:w="0" w:type="dxa"/>
            <w:left w:w="108" w:type="dxa"/>
            <w:bottom w:w="0" w:type="dxa"/>
            <w:right w:w="108" w:type="dxa"/>
          </w:tblCellMar>
        </w:tblPrEx>
        <w:trPr>
          <w:trHeight w:val="333" w:hRule="atLeast"/>
        </w:trPr>
        <w:tc>
          <w:tcPr>
            <w:tcW w:w="1413" w:type="dxa"/>
            <w:vMerge w:val="continue"/>
            <w:tcBorders>
              <w:top w:val="nil"/>
              <w:left w:val="single" w:color="auto" w:sz="4" w:space="0"/>
              <w:bottom w:val="single" w:color="auto" w:sz="4" w:space="0"/>
              <w:right w:val="single" w:color="auto" w:sz="4" w:space="0"/>
            </w:tcBorders>
            <w:vAlign w:val="center"/>
          </w:tcPr>
          <w:p w14:paraId="1E5EF20C">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p>
        </w:tc>
        <w:tc>
          <w:tcPr>
            <w:tcW w:w="1394" w:type="dxa"/>
            <w:vMerge w:val="continue"/>
            <w:tcBorders>
              <w:top w:val="nil"/>
              <w:left w:val="single" w:color="auto" w:sz="4" w:space="0"/>
              <w:bottom w:val="single" w:color="auto" w:sz="4" w:space="0"/>
              <w:right w:val="single" w:color="auto" w:sz="4" w:space="0"/>
            </w:tcBorders>
            <w:vAlign w:val="center"/>
          </w:tcPr>
          <w:p w14:paraId="028CF784">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p>
        </w:tc>
        <w:tc>
          <w:tcPr>
            <w:tcW w:w="1404" w:type="dxa"/>
            <w:tcBorders>
              <w:top w:val="nil"/>
              <w:left w:val="nil"/>
              <w:bottom w:val="single" w:color="auto" w:sz="4" w:space="0"/>
              <w:right w:val="single" w:color="auto" w:sz="4" w:space="0"/>
            </w:tcBorders>
            <w:shd w:val="clear" w:color="auto" w:fill="auto"/>
            <w:vAlign w:val="center"/>
          </w:tcPr>
          <w:p w14:paraId="35F3D4D1">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10:10-10:30</w:t>
            </w:r>
          </w:p>
        </w:tc>
        <w:tc>
          <w:tcPr>
            <w:tcW w:w="5507" w:type="dxa"/>
            <w:tcBorders>
              <w:top w:val="nil"/>
              <w:left w:val="nil"/>
              <w:bottom w:val="single" w:color="auto" w:sz="4" w:space="0"/>
              <w:right w:val="single" w:color="auto" w:sz="4" w:space="0"/>
            </w:tcBorders>
            <w:shd w:val="clear" w:color="auto" w:fill="auto"/>
            <w:vAlign w:val="center"/>
          </w:tcPr>
          <w:p w14:paraId="42FE1579">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获奖单位颁奖</w:t>
            </w:r>
          </w:p>
        </w:tc>
      </w:tr>
      <w:tr w14:paraId="31EF432F">
        <w:tblPrEx>
          <w:tblCellMar>
            <w:top w:w="0" w:type="dxa"/>
            <w:left w:w="108" w:type="dxa"/>
            <w:bottom w:w="0" w:type="dxa"/>
            <w:right w:w="108" w:type="dxa"/>
          </w:tblCellMar>
        </w:tblPrEx>
        <w:trPr>
          <w:trHeight w:val="333" w:hRule="atLeast"/>
        </w:trPr>
        <w:tc>
          <w:tcPr>
            <w:tcW w:w="1413" w:type="dxa"/>
            <w:vMerge w:val="continue"/>
            <w:tcBorders>
              <w:top w:val="nil"/>
              <w:left w:val="single" w:color="auto" w:sz="4" w:space="0"/>
              <w:bottom w:val="single" w:color="auto" w:sz="4" w:space="0"/>
              <w:right w:val="single" w:color="auto" w:sz="4" w:space="0"/>
            </w:tcBorders>
            <w:vAlign w:val="center"/>
          </w:tcPr>
          <w:p w14:paraId="58335C11">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p>
        </w:tc>
        <w:tc>
          <w:tcPr>
            <w:tcW w:w="1394" w:type="dxa"/>
            <w:vMerge w:val="continue"/>
            <w:tcBorders>
              <w:top w:val="nil"/>
              <w:left w:val="single" w:color="auto" w:sz="4" w:space="0"/>
              <w:bottom w:val="single" w:color="auto" w:sz="4" w:space="0"/>
              <w:right w:val="single" w:color="auto" w:sz="4" w:space="0"/>
            </w:tcBorders>
            <w:vAlign w:val="center"/>
          </w:tcPr>
          <w:p w14:paraId="2CBC9997">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p>
        </w:tc>
        <w:tc>
          <w:tcPr>
            <w:tcW w:w="1404" w:type="dxa"/>
            <w:tcBorders>
              <w:top w:val="nil"/>
              <w:left w:val="nil"/>
              <w:bottom w:val="single" w:color="auto" w:sz="4" w:space="0"/>
              <w:right w:val="single" w:color="auto" w:sz="4" w:space="0"/>
            </w:tcBorders>
            <w:shd w:val="clear" w:color="auto" w:fill="auto"/>
            <w:vAlign w:val="center"/>
          </w:tcPr>
          <w:p w14:paraId="01541EAE">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10:30-1</w:t>
            </w:r>
            <w:r>
              <w:rPr>
                <w:rFonts w:hint="eastAsia" w:ascii="仿宋" w:hAnsi="仿宋" w:eastAsia="仿宋" w:cs="仿宋"/>
                <w:color w:val="000000"/>
                <w:sz w:val="21"/>
                <w:szCs w:val="21"/>
                <w:lang w:val="en-US" w:eastAsia="zh-CN"/>
              </w:rPr>
              <w:t>1</w:t>
            </w:r>
            <w:r>
              <w:rPr>
                <w:rFonts w:hint="eastAsia" w:ascii="仿宋" w:hAnsi="仿宋" w:eastAsia="仿宋" w:cs="仿宋"/>
                <w:color w:val="000000"/>
                <w:sz w:val="21"/>
                <w:szCs w:val="21"/>
              </w:rPr>
              <w:t>:</w:t>
            </w:r>
            <w:r>
              <w:rPr>
                <w:rFonts w:hint="eastAsia" w:ascii="仿宋" w:hAnsi="仿宋" w:eastAsia="仿宋" w:cs="仿宋"/>
                <w:color w:val="000000"/>
                <w:sz w:val="21"/>
                <w:szCs w:val="21"/>
                <w:lang w:val="en-US" w:eastAsia="zh-CN"/>
              </w:rPr>
              <w:t>0</w:t>
            </w:r>
            <w:r>
              <w:rPr>
                <w:rFonts w:hint="eastAsia" w:ascii="仿宋" w:hAnsi="仿宋" w:eastAsia="仿宋" w:cs="仿宋"/>
                <w:color w:val="000000"/>
                <w:sz w:val="21"/>
                <w:szCs w:val="21"/>
              </w:rPr>
              <w:t>0</w:t>
            </w:r>
          </w:p>
        </w:tc>
        <w:tc>
          <w:tcPr>
            <w:tcW w:w="5507" w:type="dxa"/>
            <w:tcBorders>
              <w:top w:val="nil"/>
              <w:left w:val="nil"/>
              <w:bottom w:val="single" w:color="auto" w:sz="4" w:space="0"/>
              <w:right w:val="single" w:color="auto" w:sz="4" w:space="0"/>
            </w:tcBorders>
            <w:shd w:val="clear" w:color="auto" w:fill="auto"/>
            <w:vAlign w:val="center"/>
          </w:tcPr>
          <w:p w14:paraId="2496F8AC">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2027年汕德卡产品规划</w:t>
            </w:r>
          </w:p>
        </w:tc>
      </w:tr>
      <w:tr w14:paraId="3BF7A0CB">
        <w:tblPrEx>
          <w:tblCellMar>
            <w:top w:w="0" w:type="dxa"/>
            <w:left w:w="108" w:type="dxa"/>
            <w:bottom w:w="0" w:type="dxa"/>
            <w:right w:w="108" w:type="dxa"/>
          </w:tblCellMar>
        </w:tblPrEx>
        <w:trPr>
          <w:trHeight w:val="333" w:hRule="atLeast"/>
        </w:trPr>
        <w:tc>
          <w:tcPr>
            <w:tcW w:w="1413" w:type="dxa"/>
            <w:vMerge w:val="continue"/>
            <w:tcBorders>
              <w:top w:val="nil"/>
              <w:left w:val="single" w:color="auto" w:sz="4" w:space="0"/>
              <w:bottom w:val="single" w:color="auto" w:sz="4" w:space="0"/>
              <w:right w:val="single" w:color="auto" w:sz="4" w:space="0"/>
            </w:tcBorders>
            <w:vAlign w:val="center"/>
          </w:tcPr>
          <w:p w14:paraId="567B6064">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p>
        </w:tc>
        <w:tc>
          <w:tcPr>
            <w:tcW w:w="1394" w:type="dxa"/>
            <w:vMerge w:val="continue"/>
            <w:tcBorders>
              <w:top w:val="nil"/>
              <w:left w:val="single" w:color="auto" w:sz="4" w:space="0"/>
              <w:bottom w:val="single" w:color="auto" w:sz="4" w:space="0"/>
              <w:right w:val="single" w:color="auto" w:sz="4" w:space="0"/>
            </w:tcBorders>
            <w:vAlign w:val="center"/>
          </w:tcPr>
          <w:p w14:paraId="0ABD9138">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p>
        </w:tc>
        <w:tc>
          <w:tcPr>
            <w:tcW w:w="1404" w:type="dxa"/>
            <w:tcBorders>
              <w:top w:val="nil"/>
              <w:left w:val="nil"/>
              <w:bottom w:val="single" w:color="auto" w:sz="4" w:space="0"/>
              <w:right w:val="single" w:color="auto" w:sz="4" w:space="0"/>
            </w:tcBorders>
            <w:shd w:val="clear" w:color="auto" w:fill="auto"/>
            <w:vAlign w:val="center"/>
          </w:tcPr>
          <w:p w14:paraId="5E0A5648">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rPr>
              <w:t>1</w:t>
            </w:r>
            <w:r>
              <w:rPr>
                <w:rFonts w:hint="eastAsia" w:ascii="仿宋" w:hAnsi="仿宋" w:eastAsia="仿宋" w:cs="仿宋"/>
                <w:color w:val="000000"/>
                <w:sz w:val="21"/>
                <w:szCs w:val="21"/>
                <w:lang w:val="en-US" w:eastAsia="zh-CN"/>
              </w:rPr>
              <w:t>1</w:t>
            </w:r>
            <w:r>
              <w:rPr>
                <w:rFonts w:hint="eastAsia" w:ascii="仿宋" w:hAnsi="仿宋" w:eastAsia="仿宋" w:cs="仿宋"/>
                <w:color w:val="000000"/>
                <w:sz w:val="21"/>
                <w:szCs w:val="21"/>
              </w:rPr>
              <w:t>:</w:t>
            </w:r>
            <w:r>
              <w:rPr>
                <w:rFonts w:hint="eastAsia" w:ascii="仿宋" w:hAnsi="仿宋" w:eastAsia="仿宋" w:cs="仿宋"/>
                <w:color w:val="000000"/>
                <w:sz w:val="21"/>
                <w:szCs w:val="21"/>
                <w:lang w:val="en-US" w:eastAsia="zh-CN"/>
              </w:rPr>
              <w:t>0</w:t>
            </w:r>
            <w:r>
              <w:rPr>
                <w:rFonts w:hint="eastAsia" w:ascii="仿宋" w:hAnsi="仿宋" w:eastAsia="仿宋" w:cs="仿宋"/>
                <w:color w:val="000000"/>
                <w:sz w:val="21"/>
                <w:szCs w:val="21"/>
              </w:rPr>
              <w:t>0-11:</w:t>
            </w:r>
            <w:r>
              <w:rPr>
                <w:rFonts w:hint="eastAsia" w:ascii="仿宋" w:hAnsi="仿宋" w:eastAsia="仿宋" w:cs="仿宋"/>
                <w:color w:val="000000"/>
                <w:sz w:val="21"/>
                <w:szCs w:val="21"/>
                <w:lang w:val="en-US" w:eastAsia="zh-CN"/>
              </w:rPr>
              <w:t>20</w:t>
            </w:r>
          </w:p>
        </w:tc>
        <w:tc>
          <w:tcPr>
            <w:tcW w:w="5507" w:type="dxa"/>
            <w:tcBorders>
              <w:top w:val="nil"/>
              <w:left w:val="nil"/>
              <w:bottom w:val="single" w:color="auto" w:sz="4" w:space="0"/>
              <w:right w:val="single" w:color="auto" w:sz="4" w:space="0"/>
            </w:tcBorders>
            <w:shd w:val="clear" w:color="auto" w:fill="auto"/>
            <w:vAlign w:val="center"/>
          </w:tcPr>
          <w:p w14:paraId="393DF338">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lang w:val="en-US"/>
              </w:rPr>
            </w:pPr>
            <w:r>
              <w:rPr>
                <w:rFonts w:hint="eastAsia" w:ascii="仿宋" w:hAnsi="仿宋" w:eastAsia="仿宋" w:cs="仿宋"/>
                <w:color w:val="000000"/>
                <w:sz w:val="21"/>
                <w:szCs w:val="21"/>
              </w:rPr>
              <w:t>2027年商务政策</w:t>
            </w:r>
            <w:r>
              <w:rPr>
                <w:rFonts w:hint="eastAsia" w:ascii="仿宋" w:hAnsi="仿宋" w:eastAsia="仿宋" w:cs="仿宋"/>
                <w:color w:val="000000"/>
                <w:sz w:val="21"/>
                <w:szCs w:val="21"/>
                <w:lang w:val="en-US" w:eastAsia="zh-CN"/>
              </w:rPr>
              <w:t>及服务政策解读</w:t>
            </w:r>
          </w:p>
        </w:tc>
      </w:tr>
      <w:tr w14:paraId="373A2ECC">
        <w:tblPrEx>
          <w:tblCellMar>
            <w:top w:w="0" w:type="dxa"/>
            <w:left w:w="108" w:type="dxa"/>
            <w:bottom w:w="0" w:type="dxa"/>
            <w:right w:w="108" w:type="dxa"/>
          </w:tblCellMar>
        </w:tblPrEx>
        <w:trPr>
          <w:trHeight w:val="333" w:hRule="atLeast"/>
        </w:trPr>
        <w:tc>
          <w:tcPr>
            <w:tcW w:w="1413" w:type="dxa"/>
            <w:vMerge w:val="continue"/>
            <w:tcBorders>
              <w:top w:val="nil"/>
              <w:left w:val="single" w:color="auto" w:sz="4" w:space="0"/>
              <w:bottom w:val="single" w:color="auto" w:sz="4" w:space="0"/>
              <w:right w:val="single" w:color="auto" w:sz="4" w:space="0"/>
            </w:tcBorders>
            <w:vAlign w:val="center"/>
          </w:tcPr>
          <w:p w14:paraId="5CCE4A39">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p>
        </w:tc>
        <w:tc>
          <w:tcPr>
            <w:tcW w:w="1394" w:type="dxa"/>
            <w:vMerge w:val="continue"/>
            <w:tcBorders>
              <w:top w:val="nil"/>
              <w:left w:val="single" w:color="auto" w:sz="4" w:space="0"/>
              <w:bottom w:val="single" w:color="auto" w:sz="4" w:space="0"/>
              <w:right w:val="single" w:color="auto" w:sz="4" w:space="0"/>
            </w:tcBorders>
            <w:vAlign w:val="center"/>
          </w:tcPr>
          <w:p w14:paraId="2861A4B4">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p>
        </w:tc>
        <w:tc>
          <w:tcPr>
            <w:tcW w:w="1404" w:type="dxa"/>
            <w:tcBorders>
              <w:top w:val="nil"/>
              <w:left w:val="nil"/>
              <w:bottom w:val="single" w:color="auto" w:sz="4" w:space="0"/>
              <w:right w:val="single" w:color="auto" w:sz="4" w:space="0"/>
            </w:tcBorders>
            <w:shd w:val="clear" w:color="auto" w:fill="auto"/>
            <w:vAlign w:val="center"/>
          </w:tcPr>
          <w:p w14:paraId="0DE387E0">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11:</w:t>
            </w:r>
            <w:r>
              <w:rPr>
                <w:rFonts w:hint="eastAsia" w:ascii="仿宋" w:hAnsi="仿宋" w:eastAsia="仿宋" w:cs="仿宋"/>
                <w:color w:val="000000"/>
                <w:sz w:val="21"/>
                <w:szCs w:val="21"/>
                <w:lang w:val="en-US" w:eastAsia="zh-CN"/>
              </w:rPr>
              <w:t>20</w:t>
            </w:r>
            <w:r>
              <w:rPr>
                <w:rFonts w:hint="eastAsia" w:ascii="仿宋" w:hAnsi="仿宋" w:eastAsia="仿宋" w:cs="仿宋"/>
                <w:color w:val="000000"/>
                <w:sz w:val="21"/>
                <w:szCs w:val="21"/>
              </w:rPr>
              <w:t>-1</w:t>
            </w:r>
            <w:r>
              <w:rPr>
                <w:rFonts w:hint="eastAsia" w:ascii="仿宋" w:hAnsi="仿宋" w:eastAsia="仿宋" w:cs="仿宋"/>
                <w:color w:val="000000"/>
                <w:sz w:val="21"/>
                <w:szCs w:val="21"/>
                <w:lang w:val="en-US" w:eastAsia="zh-CN"/>
              </w:rPr>
              <w:t>1</w:t>
            </w:r>
            <w:r>
              <w:rPr>
                <w:rFonts w:hint="eastAsia" w:ascii="仿宋" w:hAnsi="仿宋" w:eastAsia="仿宋" w:cs="仿宋"/>
                <w:color w:val="000000"/>
                <w:sz w:val="21"/>
                <w:szCs w:val="21"/>
              </w:rPr>
              <w:t>:</w:t>
            </w:r>
            <w:r>
              <w:rPr>
                <w:rFonts w:hint="eastAsia" w:ascii="仿宋" w:hAnsi="仿宋" w:eastAsia="仿宋" w:cs="仿宋"/>
                <w:color w:val="000000"/>
                <w:sz w:val="21"/>
                <w:szCs w:val="21"/>
                <w:lang w:val="en-US" w:eastAsia="zh-CN"/>
              </w:rPr>
              <w:t>5</w:t>
            </w:r>
            <w:r>
              <w:rPr>
                <w:rFonts w:hint="eastAsia" w:ascii="仿宋" w:hAnsi="仿宋" w:eastAsia="仿宋" w:cs="仿宋"/>
                <w:color w:val="000000"/>
                <w:sz w:val="21"/>
                <w:szCs w:val="21"/>
              </w:rPr>
              <w:t>0</w:t>
            </w:r>
          </w:p>
        </w:tc>
        <w:tc>
          <w:tcPr>
            <w:tcW w:w="5507" w:type="dxa"/>
            <w:tcBorders>
              <w:top w:val="nil"/>
              <w:left w:val="nil"/>
              <w:bottom w:val="single" w:color="auto" w:sz="4" w:space="0"/>
              <w:right w:val="single" w:color="auto" w:sz="4" w:space="0"/>
            </w:tcBorders>
            <w:shd w:val="clear" w:color="auto" w:fill="auto"/>
            <w:vAlign w:val="center"/>
          </w:tcPr>
          <w:p w14:paraId="214DE644">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集团领导总结讲话</w:t>
            </w:r>
          </w:p>
        </w:tc>
      </w:tr>
      <w:tr w14:paraId="2C83DF69">
        <w:tblPrEx>
          <w:tblCellMar>
            <w:top w:w="0" w:type="dxa"/>
            <w:left w:w="108" w:type="dxa"/>
            <w:bottom w:w="0" w:type="dxa"/>
            <w:right w:w="108" w:type="dxa"/>
          </w:tblCellMar>
        </w:tblPrEx>
        <w:trPr>
          <w:trHeight w:val="333" w:hRule="atLeast"/>
        </w:trPr>
        <w:tc>
          <w:tcPr>
            <w:tcW w:w="1413" w:type="dxa"/>
            <w:vMerge w:val="continue"/>
            <w:tcBorders>
              <w:top w:val="nil"/>
              <w:left w:val="single" w:color="auto" w:sz="4" w:space="0"/>
              <w:bottom w:val="single" w:color="auto" w:sz="4" w:space="0"/>
              <w:right w:val="single" w:color="auto" w:sz="4" w:space="0"/>
            </w:tcBorders>
            <w:vAlign w:val="center"/>
          </w:tcPr>
          <w:p w14:paraId="082EB21B">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p>
        </w:tc>
        <w:tc>
          <w:tcPr>
            <w:tcW w:w="1394" w:type="dxa"/>
            <w:vMerge w:val="continue"/>
            <w:tcBorders>
              <w:top w:val="nil"/>
              <w:left w:val="single" w:color="auto" w:sz="4" w:space="0"/>
              <w:bottom w:val="single" w:color="auto" w:sz="4" w:space="0"/>
              <w:right w:val="single" w:color="auto" w:sz="4" w:space="0"/>
            </w:tcBorders>
            <w:vAlign w:val="center"/>
          </w:tcPr>
          <w:p w14:paraId="529D8F71">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p>
        </w:tc>
        <w:tc>
          <w:tcPr>
            <w:tcW w:w="1404" w:type="dxa"/>
            <w:tcBorders>
              <w:top w:val="nil"/>
              <w:left w:val="nil"/>
              <w:bottom w:val="single" w:color="auto" w:sz="4" w:space="0"/>
              <w:right w:val="single" w:color="auto" w:sz="4" w:space="0"/>
            </w:tcBorders>
            <w:shd w:val="clear" w:color="auto" w:fill="auto"/>
            <w:vAlign w:val="center"/>
          </w:tcPr>
          <w:p w14:paraId="75F2A2BC">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rPr>
              <w:t>11:</w:t>
            </w:r>
            <w:r>
              <w:rPr>
                <w:rFonts w:hint="eastAsia" w:ascii="仿宋" w:hAnsi="仿宋" w:eastAsia="仿宋" w:cs="仿宋"/>
                <w:color w:val="000000"/>
                <w:sz w:val="21"/>
                <w:szCs w:val="21"/>
                <w:lang w:val="en-US" w:eastAsia="zh-CN"/>
              </w:rPr>
              <w:t>5</w:t>
            </w:r>
            <w:r>
              <w:rPr>
                <w:rFonts w:hint="eastAsia" w:ascii="仿宋" w:hAnsi="仿宋" w:eastAsia="仿宋" w:cs="仿宋"/>
                <w:color w:val="000000"/>
                <w:sz w:val="21"/>
                <w:szCs w:val="21"/>
              </w:rPr>
              <w:t>0-11:5</w:t>
            </w:r>
            <w:r>
              <w:rPr>
                <w:rFonts w:hint="eastAsia" w:ascii="仿宋" w:hAnsi="仿宋" w:eastAsia="仿宋" w:cs="仿宋"/>
                <w:color w:val="000000"/>
                <w:sz w:val="21"/>
                <w:szCs w:val="21"/>
                <w:lang w:val="en-US" w:eastAsia="zh-CN"/>
              </w:rPr>
              <w:t>5</w:t>
            </w:r>
          </w:p>
        </w:tc>
        <w:tc>
          <w:tcPr>
            <w:tcW w:w="5507" w:type="dxa"/>
            <w:tcBorders>
              <w:top w:val="nil"/>
              <w:left w:val="nil"/>
              <w:bottom w:val="single" w:color="auto" w:sz="4" w:space="0"/>
              <w:right w:val="single" w:color="auto" w:sz="4" w:space="0"/>
            </w:tcBorders>
            <w:shd w:val="clear" w:color="auto" w:fill="auto"/>
            <w:vAlign w:val="center"/>
          </w:tcPr>
          <w:p w14:paraId="31B77FE6">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主持人宣布上午会议结束</w:t>
            </w:r>
          </w:p>
        </w:tc>
      </w:tr>
      <w:tr w14:paraId="2F6D0FA5">
        <w:tblPrEx>
          <w:tblCellMar>
            <w:top w:w="0" w:type="dxa"/>
            <w:left w:w="108" w:type="dxa"/>
            <w:bottom w:w="0" w:type="dxa"/>
            <w:right w:w="108" w:type="dxa"/>
          </w:tblCellMar>
        </w:tblPrEx>
        <w:trPr>
          <w:trHeight w:val="333" w:hRule="atLeast"/>
        </w:trPr>
        <w:tc>
          <w:tcPr>
            <w:tcW w:w="1413" w:type="dxa"/>
            <w:tcBorders>
              <w:top w:val="nil"/>
              <w:left w:val="single" w:color="auto" w:sz="4" w:space="0"/>
              <w:bottom w:val="single" w:color="auto" w:sz="4" w:space="0"/>
              <w:right w:val="single" w:color="auto" w:sz="4" w:space="0"/>
            </w:tcBorders>
            <w:shd w:val="clear" w:color="auto" w:fill="auto"/>
            <w:vAlign w:val="center"/>
          </w:tcPr>
          <w:p w14:paraId="00DBC2A7">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12月19日中午</w:t>
            </w:r>
          </w:p>
        </w:tc>
        <w:tc>
          <w:tcPr>
            <w:tcW w:w="1394" w:type="dxa"/>
            <w:tcBorders>
              <w:top w:val="nil"/>
              <w:left w:val="nil"/>
              <w:bottom w:val="single" w:color="auto" w:sz="4" w:space="0"/>
              <w:right w:val="single" w:color="auto" w:sz="4" w:space="0"/>
            </w:tcBorders>
            <w:shd w:val="clear" w:color="auto" w:fill="auto"/>
            <w:vAlign w:val="center"/>
          </w:tcPr>
          <w:p w14:paraId="0F5063F4">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午餐</w:t>
            </w:r>
          </w:p>
        </w:tc>
        <w:tc>
          <w:tcPr>
            <w:tcW w:w="1404" w:type="dxa"/>
            <w:tcBorders>
              <w:top w:val="nil"/>
              <w:left w:val="nil"/>
              <w:bottom w:val="single" w:color="auto" w:sz="4" w:space="0"/>
              <w:right w:val="single" w:color="auto" w:sz="4" w:space="0"/>
            </w:tcBorders>
            <w:shd w:val="clear" w:color="auto" w:fill="auto"/>
            <w:vAlign w:val="center"/>
          </w:tcPr>
          <w:p w14:paraId="1E087902">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12:00-13:00</w:t>
            </w:r>
          </w:p>
        </w:tc>
        <w:tc>
          <w:tcPr>
            <w:tcW w:w="5507" w:type="dxa"/>
            <w:tcBorders>
              <w:top w:val="nil"/>
              <w:left w:val="nil"/>
              <w:bottom w:val="single" w:color="auto" w:sz="4" w:space="0"/>
              <w:right w:val="single" w:color="auto" w:sz="4" w:space="0"/>
            </w:tcBorders>
            <w:shd w:val="clear" w:color="auto" w:fill="auto"/>
            <w:vAlign w:val="center"/>
          </w:tcPr>
          <w:p w14:paraId="072AA196">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自助午餐</w:t>
            </w:r>
          </w:p>
        </w:tc>
      </w:tr>
      <w:tr w14:paraId="67B86294">
        <w:tblPrEx>
          <w:tblCellMar>
            <w:top w:w="0" w:type="dxa"/>
            <w:left w:w="108" w:type="dxa"/>
            <w:bottom w:w="0" w:type="dxa"/>
            <w:right w:w="108" w:type="dxa"/>
          </w:tblCellMar>
        </w:tblPrEx>
        <w:trPr>
          <w:trHeight w:val="333" w:hRule="atLeast"/>
        </w:trPr>
        <w:tc>
          <w:tcPr>
            <w:tcW w:w="1413" w:type="dxa"/>
            <w:vMerge w:val="restart"/>
            <w:tcBorders>
              <w:top w:val="nil"/>
              <w:left w:val="single" w:color="auto" w:sz="4" w:space="0"/>
              <w:bottom w:val="single" w:color="auto" w:sz="4" w:space="0"/>
              <w:right w:val="single" w:color="auto" w:sz="4" w:space="0"/>
            </w:tcBorders>
            <w:shd w:val="clear" w:color="auto" w:fill="auto"/>
            <w:vAlign w:val="center"/>
          </w:tcPr>
          <w:p w14:paraId="4FD86E86">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12月19日下午 </w:t>
            </w:r>
            <w:r>
              <w:rPr>
                <w:rFonts w:hint="eastAsia" w:ascii="仿宋" w:hAnsi="仿宋" w:eastAsia="仿宋" w:cs="仿宋"/>
                <w:color w:val="000000"/>
                <w:sz w:val="21"/>
                <w:szCs w:val="21"/>
              </w:rPr>
              <w:br w:type="textWrapping"/>
            </w:r>
            <w:r>
              <w:rPr>
                <w:rFonts w:hint="eastAsia" w:ascii="仿宋" w:hAnsi="仿宋" w:eastAsia="仿宋" w:cs="仿宋"/>
                <w:color w:val="000000"/>
                <w:sz w:val="21"/>
                <w:szCs w:val="21"/>
              </w:rPr>
              <w:t>美豪丽致酒店</w:t>
            </w:r>
          </w:p>
        </w:tc>
        <w:tc>
          <w:tcPr>
            <w:tcW w:w="1394" w:type="dxa"/>
            <w:vMerge w:val="restart"/>
            <w:tcBorders>
              <w:top w:val="nil"/>
              <w:left w:val="single" w:color="auto" w:sz="4" w:space="0"/>
              <w:bottom w:val="single" w:color="auto" w:sz="4" w:space="0"/>
              <w:right w:val="single" w:color="auto" w:sz="4" w:space="0"/>
            </w:tcBorders>
            <w:shd w:val="clear" w:color="auto" w:fill="auto"/>
            <w:vAlign w:val="center"/>
          </w:tcPr>
          <w:p w14:paraId="3DE6E1A3">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商用车销售部合作伙伴大会</w:t>
            </w:r>
          </w:p>
        </w:tc>
        <w:tc>
          <w:tcPr>
            <w:tcW w:w="1404" w:type="dxa"/>
            <w:tcBorders>
              <w:top w:val="nil"/>
              <w:left w:val="nil"/>
              <w:bottom w:val="single" w:color="auto" w:sz="4" w:space="0"/>
              <w:right w:val="single" w:color="auto" w:sz="4" w:space="0"/>
            </w:tcBorders>
            <w:shd w:val="clear" w:color="auto" w:fill="auto"/>
            <w:vAlign w:val="center"/>
          </w:tcPr>
          <w:p w14:paraId="2240B575">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13:30-13:55</w:t>
            </w:r>
          </w:p>
        </w:tc>
        <w:tc>
          <w:tcPr>
            <w:tcW w:w="5507" w:type="dxa"/>
            <w:tcBorders>
              <w:top w:val="nil"/>
              <w:left w:val="nil"/>
              <w:bottom w:val="single" w:color="auto" w:sz="4" w:space="0"/>
              <w:right w:val="single" w:color="auto" w:sz="4" w:space="0"/>
            </w:tcBorders>
            <w:shd w:val="clear" w:color="auto" w:fill="auto"/>
            <w:vAlign w:val="center"/>
          </w:tcPr>
          <w:p w14:paraId="1C9EEAF5">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暖场视频</w:t>
            </w:r>
          </w:p>
        </w:tc>
      </w:tr>
      <w:tr w14:paraId="06B1082E">
        <w:tblPrEx>
          <w:tblCellMar>
            <w:top w:w="0" w:type="dxa"/>
            <w:left w:w="108" w:type="dxa"/>
            <w:bottom w:w="0" w:type="dxa"/>
            <w:right w:w="108" w:type="dxa"/>
          </w:tblCellMar>
        </w:tblPrEx>
        <w:trPr>
          <w:trHeight w:val="333" w:hRule="atLeast"/>
        </w:trPr>
        <w:tc>
          <w:tcPr>
            <w:tcW w:w="1413" w:type="dxa"/>
            <w:vMerge w:val="continue"/>
            <w:tcBorders>
              <w:top w:val="nil"/>
              <w:left w:val="single" w:color="auto" w:sz="4" w:space="0"/>
              <w:bottom w:val="single" w:color="auto" w:sz="4" w:space="0"/>
              <w:right w:val="single" w:color="auto" w:sz="4" w:space="0"/>
            </w:tcBorders>
            <w:vAlign w:val="center"/>
          </w:tcPr>
          <w:p w14:paraId="56D423CB">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p>
        </w:tc>
        <w:tc>
          <w:tcPr>
            <w:tcW w:w="1394" w:type="dxa"/>
            <w:vMerge w:val="continue"/>
            <w:tcBorders>
              <w:top w:val="nil"/>
              <w:left w:val="single" w:color="auto" w:sz="4" w:space="0"/>
              <w:bottom w:val="single" w:color="auto" w:sz="4" w:space="0"/>
              <w:right w:val="single" w:color="auto" w:sz="4" w:space="0"/>
            </w:tcBorders>
            <w:vAlign w:val="center"/>
          </w:tcPr>
          <w:p w14:paraId="73F69609">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p>
        </w:tc>
        <w:tc>
          <w:tcPr>
            <w:tcW w:w="1404" w:type="dxa"/>
            <w:tcBorders>
              <w:top w:val="nil"/>
              <w:left w:val="nil"/>
              <w:bottom w:val="single" w:color="auto" w:sz="4" w:space="0"/>
              <w:right w:val="single" w:color="auto" w:sz="4" w:space="0"/>
            </w:tcBorders>
            <w:shd w:val="clear" w:color="auto" w:fill="auto"/>
            <w:vAlign w:val="center"/>
          </w:tcPr>
          <w:p w14:paraId="736E6165">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13:55-14:00</w:t>
            </w:r>
          </w:p>
        </w:tc>
        <w:tc>
          <w:tcPr>
            <w:tcW w:w="5507" w:type="dxa"/>
            <w:tcBorders>
              <w:top w:val="nil"/>
              <w:left w:val="nil"/>
              <w:bottom w:val="single" w:color="auto" w:sz="4" w:space="0"/>
              <w:right w:val="single" w:color="auto" w:sz="4" w:space="0"/>
            </w:tcBorders>
            <w:shd w:val="clear" w:color="auto" w:fill="auto"/>
            <w:vAlign w:val="center"/>
          </w:tcPr>
          <w:p w14:paraId="0BB6E95B">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主持人开场</w:t>
            </w:r>
          </w:p>
        </w:tc>
      </w:tr>
      <w:tr w14:paraId="77C8C46F">
        <w:tblPrEx>
          <w:tblCellMar>
            <w:top w:w="0" w:type="dxa"/>
            <w:left w:w="108" w:type="dxa"/>
            <w:bottom w:w="0" w:type="dxa"/>
            <w:right w:w="108" w:type="dxa"/>
          </w:tblCellMar>
        </w:tblPrEx>
        <w:trPr>
          <w:trHeight w:val="333" w:hRule="atLeast"/>
        </w:trPr>
        <w:tc>
          <w:tcPr>
            <w:tcW w:w="1413" w:type="dxa"/>
            <w:vMerge w:val="continue"/>
            <w:tcBorders>
              <w:top w:val="nil"/>
              <w:left w:val="single" w:color="auto" w:sz="4" w:space="0"/>
              <w:bottom w:val="single" w:color="auto" w:sz="4" w:space="0"/>
              <w:right w:val="single" w:color="auto" w:sz="4" w:space="0"/>
            </w:tcBorders>
            <w:vAlign w:val="center"/>
          </w:tcPr>
          <w:p w14:paraId="278873C4">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p>
        </w:tc>
        <w:tc>
          <w:tcPr>
            <w:tcW w:w="1394" w:type="dxa"/>
            <w:vMerge w:val="continue"/>
            <w:tcBorders>
              <w:top w:val="nil"/>
              <w:left w:val="single" w:color="auto" w:sz="4" w:space="0"/>
              <w:bottom w:val="single" w:color="auto" w:sz="4" w:space="0"/>
              <w:right w:val="single" w:color="auto" w:sz="4" w:space="0"/>
            </w:tcBorders>
            <w:vAlign w:val="center"/>
          </w:tcPr>
          <w:p w14:paraId="7E5C0B5C">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p>
        </w:tc>
        <w:tc>
          <w:tcPr>
            <w:tcW w:w="1404" w:type="dxa"/>
            <w:tcBorders>
              <w:top w:val="nil"/>
              <w:left w:val="nil"/>
              <w:bottom w:val="single" w:color="auto" w:sz="4" w:space="0"/>
              <w:right w:val="single" w:color="auto" w:sz="4" w:space="0"/>
            </w:tcBorders>
            <w:shd w:val="clear" w:color="auto" w:fill="auto"/>
            <w:vAlign w:val="center"/>
          </w:tcPr>
          <w:p w14:paraId="3B1405D2">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14:00-14:30</w:t>
            </w:r>
          </w:p>
        </w:tc>
        <w:tc>
          <w:tcPr>
            <w:tcW w:w="5507" w:type="dxa"/>
            <w:tcBorders>
              <w:top w:val="nil"/>
              <w:left w:val="nil"/>
              <w:bottom w:val="single" w:color="auto" w:sz="4" w:space="0"/>
              <w:right w:val="single" w:color="auto" w:sz="4" w:space="0"/>
            </w:tcBorders>
            <w:shd w:val="clear" w:color="auto" w:fill="auto"/>
            <w:vAlign w:val="center"/>
          </w:tcPr>
          <w:p w14:paraId="72AE7290">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2027年牵引车营销策略及产品规划</w:t>
            </w:r>
          </w:p>
        </w:tc>
      </w:tr>
      <w:tr w14:paraId="0EC9E2EC">
        <w:tblPrEx>
          <w:tblCellMar>
            <w:top w:w="0" w:type="dxa"/>
            <w:left w:w="108" w:type="dxa"/>
            <w:bottom w:w="0" w:type="dxa"/>
            <w:right w:w="108" w:type="dxa"/>
          </w:tblCellMar>
        </w:tblPrEx>
        <w:trPr>
          <w:trHeight w:val="333" w:hRule="atLeast"/>
        </w:trPr>
        <w:tc>
          <w:tcPr>
            <w:tcW w:w="1413" w:type="dxa"/>
            <w:vMerge w:val="continue"/>
            <w:tcBorders>
              <w:top w:val="nil"/>
              <w:left w:val="single" w:color="auto" w:sz="4" w:space="0"/>
              <w:bottom w:val="single" w:color="auto" w:sz="4" w:space="0"/>
              <w:right w:val="single" w:color="auto" w:sz="4" w:space="0"/>
            </w:tcBorders>
            <w:vAlign w:val="center"/>
          </w:tcPr>
          <w:p w14:paraId="5AB547BB">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p>
        </w:tc>
        <w:tc>
          <w:tcPr>
            <w:tcW w:w="1394" w:type="dxa"/>
            <w:vMerge w:val="continue"/>
            <w:tcBorders>
              <w:top w:val="nil"/>
              <w:left w:val="single" w:color="auto" w:sz="4" w:space="0"/>
              <w:bottom w:val="single" w:color="auto" w:sz="4" w:space="0"/>
              <w:right w:val="single" w:color="auto" w:sz="4" w:space="0"/>
            </w:tcBorders>
            <w:vAlign w:val="center"/>
          </w:tcPr>
          <w:p w14:paraId="60FF9B26">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p>
        </w:tc>
        <w:tc>
          <w:tcPr>
            <w:tcW w:w="1404" w:type="dxa"/>
            <w:tcBorders>
              <w:top w:val="nil"/>
              <w:left w:val="nil"/>
              <w:bottom w:val="single" w:color="auto" w:sz="4" w:space="0"/>
              <w:right w:val="single" w:color="auto" w:sz="4" w:space="0"/>
            </w:tcBorders>
            <w:shd w:val="clear" w:color="auto" w:fill="auto"/>
            <w:vAlign w:val="center"/>
          </w:tcPr>
          <w:p w14:paraId="2238C80A">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14:30-14:50</w:t>
            </w:r>
          </w:p>
        </w:tc>
        <w:tc>
          <w:tcPr>
            <w:tcW w:w="5507" w:type="dxa"/>
            <w:tcBorders>
              <w:top w:val="nil"/>
              <w:left w:val="nil"/>
              <w:bottom w:val="single" w:color="auto" w:sz="4" w:space="0"/>
              <w:right w:val="single" w:color="auto" w:sz="4" w:space="0"/>
            </w:tcBorders>
            <w:shd w:val="clear" w:color="auto" w:fill="auto"/>
            <w:vAlign w:val="center"/>
          </w:tcPr>
          <w:p w14:paraId="6294E780">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2027年载货车营销策略及产品规划</w:t>
            </w:r>
          </w:p>
        </w:tc>
      </w:tr>
      <w:tr w14:paraId="3E1C7524">
        <w:tblPrEx>
          <w:tblCellMar>
            <w:top w:w="0" w:type="dxa"/>
            <w:left w:w="108" w:type="dxa"/>
            <w:bottom w:w="0" w:type="dxa"/>
            <w:right w:w="108" w:type="dxa"/>
          </w:tblCellMar>
        </w:tblPrEx>
        <w:trPr>
          <w:trHeight w:val="333" w:hRule="atLeast"/>
        </w:trPr>
        <w:tc>
          <w:tcPr>
            <w:tcW w:w="1413" w:type="dxa"/>
            <w:vMerge w:val="continue"/>
            <w:tcBorders>
              <w:top w:val="nil"/>
              <w:left w:val="single" w:color="auto" w:sz="4" w:space="0"/>
              <w:bottom w:val="single" w:color="auto" w:sz="4" w:space="0"/>
              <w:right w:val="single" w:color="auto" w:sz="4" w:space="0"/>
            </w:tcBorders>
            <w:vAlign w:val="center"/>
          </w:tcPr>
          <w:p w14:paraId="3C15E881">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p>
        </w:tc>
        <w:tc>
          <w:tcPr>
            <w:tcW w:w="1394" w:type="dxa"/>
            <w:vMerge w:val="continue"/>
            <w:tcBorders>
              <w:top w:val="nil"/>
              <w:left w:val="single" w:color="auto" w:sz="4" w:space="0"/>
              <w:bottom w:val="single" w:color="auto" w:sz="4" w:space="0"/>
              <w:right w:val="single" w:color="auto" w:sz="4" w:space="0"/>
            </w:tcBorders>
            <w:vAlign w:val="center"/>
          </w:tcPr>
          <w:p w14:paraId="53D701E1">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p>
        </w:tc>
        <w:tc>
          <w:tcPr>
            <w:tcW w:w="1404" w:type="dxa"/>
            <w:tcBorders>
              <w:top w:val="nil"/>
              <w:left w:val="nil"/>
              <w:bottom w:val="single" w:color="auto" w:sz="4" w:space="0"/>
              <w:right w:val="single" w:color="auto" w:sz="4" w:space="0"/>
            </w:tcBorders>
            <w:shd w:val="clear" w:color="auto" w:fill="auto"/>
            <w:vAlign w:val="center"/>
          </w:tcPr>
          <w:p w14:paraId="36391408">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14:50-15:10</w:t>
            </w:r>
          </w:p>
        </w:tc>
        <w:tc>
          <w:tcPr>
            <w:tcW w:w="5507" w:type="dxa"/>
            <w:tcBorders>
              <w:top w:val="nil"/>
              <w:left w:val="nil"/>
              <w:bottom w:val="single" w:color="auto" w:sz="4" w:space="0"/>
              <w:right w:val="single" w:color="auto" w:sz="4" w:space="0"/>
            </w:tcBorders>
            <w:shd w:val="clear" w:color="auto" w:fill="auto"/>
            <w:vAlign w:val="center"/>
          </w:tcPr>
          <w:p w14:paraId="6ACA4F8B">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2027年专用车营销策略及产品规划</w:t>
            </w:r>
          </w:p>
        </w:tc>
      </w:tr>
      <w:tr w14:paraId="065DC45B">
        <w:tblPrEx>
          <w:tblCellMar>
            <w:top w:w="0" w:type="dxa"/>
            <w:left w:w="108" w:type="dxa"/>
            <w:bottom w:w="0" w:type="dxa"/>
            <w:right w:w="108" w:type="dxa"/>
          </w:tblCellMar>
        </w:tblPrEx>
        <w:trPr>
          <w:trHeight w:val="333" w:hRule="atLeast"/>
        </w:trPr>
        <w:tc>
          <w:tcPr>
            <w:tcW w:w="1413" w:type="dxa"/>
            <w:vMerge w:val="continue"/>
            <w:tcBorders>
              <w:top w:val="nil"/>
              <w:left w:val="single" w:color="auto" w:sz="4" w:space="0"/>
              <w:bottom w:val="single" w:color="auto" w:sz="4" w:space="0"/>
              <w:right w:val="single" w:color="auto" w:sz="4" w:space="0"/>
            </w:tcBorders>
            <w:vAlign w:val="center"/>
          </w:tcPr>
          <w:p w14:paraId="79C82FFC">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p>
        </w:tc>
        <w:tc>
          <w:tcPr>
            <w:tcW w:w="1394" w:type="dxa"/>
            <w:vMerge w:val="continue"/>
            <w:tcBorders>
              <w:top w:val="nil"/>
              <w:left w:val="single" w:color="auto" w:sz="4" w:space="0"/>
              <w:bottom w:val="single" w:color="auto" w:sz="4" w:space="0"/>
              <w:right w:val="single" w:color="auto" w:sz="4" w:space="0"/>
            </w:tcBorders>
            <w:vAlign w:val="center"/>
          </w:tcPr>
          <w:p w14:paraId="341DB78A">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p>
        </w:tc>
        <w:tc>
          <w:tcPr>
            <w:tcW w:w="1404" w:type="dxa"/>
            <w:tcBorders>
              <w:top w:val="nil"/>
              <w:left w:val="nil"/>
              <w:bottom w:val="single" w:color="auto" w:sz="4" w:space="0"/>
              <w:right w:val="single" w:color="auto" w:sz="4" w:space="0"/>
            </w:tcBorders>
            <w:shd w:val="clear" w:color="auto" w:fill="auto"/>
            <w:vAlign w:val="center"/>
          </w:tcPr>
          <w:p w14:paraId="3EB04C9A">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15:10-15:30</w:t>
            </w:r>
          </w:p>
        </w:tc>
        <w:tc>
          <w:tcPr>
            <w:tcW w:w="5507" w:type="dxa"/>
            <w:tcBorders>
              <w:top w:val="nil"/>
              <w:left w:val="nil"/>
              <w:bottom w:val="single" w:color="auto" w:sz="4" w:space="0"/>
              <w:right w:val="single" w:color="auto" w:sz="4" w:space="0"/>
            </w:tcBorders>
            <w:shd w:val="clear" w:color="auto" w:fill="auto"/>
            <w:vAlign w:val="center"/>
          </w:tcPr>
          <w:p w14:paraId="5C0D1BB1">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2027年工程车营销策略及产品规划</w:t>
            </w:r>
          </w:p>
        </w:tc>
      </w:tr>
      <w:tr w14:paraId="0E6609F9">
        <w:tblPrEx>
          <w:tblCellMar>
            <w:top w:w="0" w:type="dxa"/>
            <w:left w:w="108" w:type="dxa"/>
            <w:bottom w:w="0" w:type="dxa"/>
            <w:right w:w="108" w:type="dxa"/>
          </w:tblCellMar>
        </w:tblPrEx>
        <w:trPr>
          <w:trHeight w:val="333" w:hRule="atLeast"/>
        </w:trPr>
        <w:tc>
          <w:tcPr>
            <w:tcW w:w="1413" w:type="dxa"/>
            <w:vMerge w:val="continue"/>
            <w:tcBorders>
              <w:top w:val="nil"/>
              <w:left w:val="single" w:color="auto" w:sz="4" w:space="0"/>
              <w:bottom w:val="single" w:color="auto" w:sz="4" w:space="0"/>
              <w:right w:val="single" w:color="auto" w:sz="4" w:space="0"/>
            </w:tcBorders>
            <w:vAlign w:val="center"/>
          </w:tcPr>
          <w:p w14:paraId="7DCA8931">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p>
        </w:tc>
        <w:tc>
          <w:tcPr>
            <w:tcW w:w="1394" w:type="dxa"/>
            <w:vMerge w:val="continue"/>
            <w:tcBorders>
              <w:top w:val="nil"/>
              <w:left w:val="single" w:color="auto" w:sz="4" w:space="0"/>
              <w:bottom w:val="single" w:color="auto" w:sz="4" w:space="0"/>
              <w:right w:val="single" w:color="auto" w:sz="4" w:space="0"/>
            </w:tcBorders>
            <w:vAlign w:val="center"/>
          </w:tcPr>
          <w:p w14:paraId="2DAE1826">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p>
        </w:tc>
        <w:tc>
          <w:tcPr>
            <w:tcW w:w="1404" w:type="dxa"/>
            <w:tcBorders>
              <w:top w:val="nil"/>
              <w:left w:val="nil"/>
              <w:bottom w:val="single" w:color="auto" w:sz="4" w:space="0"/>
              <w:right w:val="single" w:color="auto" w:sz="4" w:space="0"/>
            </w:tcBorders>
            <w:shd w:val="clear" w:color="auto" w:fill="auto"/>
            <w:vAlign w:val="center"/>
          </w:tcPr>
          <w:p w14:paraId="6F2BCF87">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15:30-15:45</w:t>
            </w:r>
          </w:p>
        </w:tc>
        <w:tc>
          <w:tcPr>
            <w:tcW w:w="5507" w:type="dxa"/>
            <w:tcBorders>
              <w:top w:val="nil"/>
              <w:left w:val="nil"/>
              <w:bottom w:val="single" w:color="auto" w:sz="4" w:space="0"/>
              <w:right w:val="single" w:color="auto" w:sz="4" w:space="0"/>
            </w:tcBorders>
            <w:shd w:val="clear" w:color="auto" w:fill="auto"/>
            <w:vAlign w:val="center"/>
          </w:tcPr>
          <w:p w14:paraId="618E0DB6">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中场休息15分钟</w:t>
            </w:r>
          </w:p>
        </w:tc>
      </w:tr>
      <w:tr w14:paraId="31B01397">
        <w:tblPrEx>
          <w:tblCellMar>
            <w:top w:w="0" w:type="dxa"/>
            <w:left w:w="108" w:type="dxa"/>
            <w:bottom w:w="0" w:type="dxa"/>
            <w:right w:w="108" w:type="dxa"/>
          </w:tblCellMar>
        </w:tblPrEx>
        <w:trPr>
          <w:trHeight w:val="333" w:hRule="atLeast"/>
        </w:trPr>
        <w:tc>
          <w:tcPr>
            <w:tcW w:w="1413" w:type="dxa"/>
            <w:vMerge w:val="continue"/>
            <w:tcBorders>
              <w:top w:val="nil"/>
              <w:left w:val="single" w:color="auto" w:sz="4" w:space="0"/>
              <w:bottom w:val="single" w:color="auto" w:sz="4" w:space="0"/>
              <w:right w:val="single" w:color="auto" w:sz="4" w:space="0"/>
            </w:tcBorders>
            <w:vAlign w:val="center"/>
          </w:tcPr>
          <w:p w14:paraId="03050A46">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p>
        </w:tc>
        <w:tc>
          <w:tcPr>
            <w:tcW w:w="1394" w:type="dxa"/>
            <w:vMerge w:val="continue"/>
            <w:tcBorders>
              <w:top w:val="nil"/>
              <w:left w:val="single" w:color="auto" w:sz="4" w:space="0"/>
              <w:bottom w:val="single" w:color="auto" w:sz="4" w:space="0"/>
              <w:right w:val="single" w:color="auto" w:sz="4" w:space="0"/>
            </w:tcBorders>
            <w:vAlign w:val="center"/>
          </w:tcPr>
          <w:p w14:paraId="08240FB7">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p>
        </w:tc>
        <w:tc>
          <w:tcPr>
            <w:tcW w:w="1404" w:type="dxa"/>
            <w:tcBorders>
              <w:top w:val="nil"/>
              <w:left w:val="nil"/>
              <w:bottom w:val="single" w:color="auto" w:sz="4" w:space="0"/>
              <w:right w:val="single" w:color="auto" w:sz="4" w:space="0"/>
            </w:tcBorders>
            <w:shd w:val="clear" w:color="auto" w:fill="auto"/>
            <w:vAlign w:val="center"/>
          </w:tcPr>
          <w:p w14:paraId="09DCD141">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15:45-16:45</w:t>
            </w:r>
          </w:p>
        </w:tc>
        <w:tc>
          <w:tcPr>
            <w:tcW w:w="5507" w:type="dxa"/>
            <w:tcBorders>
              <w:top w:val="nil"/>
              <w:left w:val="nil"/>
              <w:bottom w:val="single" w:color="auto" w:sz="4" w:space="0"/>
              <w:right w:val="single" w:color="auto" w:sz="4" w:space="0"/>
            </w:tcBorders>
            <w:shd w:val="clear" w:color="auto" w:fill="auto"/>
            <w:vAlign w:val="center"/>
          </w:tcPr>
          <w:p w14:paraId="660F959D">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优秀经销商案例分享3个，每人20分钟</w:t>
            </w:r>
          </w:p>
        </w:tc>
      </w:tr>
      <w:tr w14:paraId="6A93EF9E">
        <w:tblPrEx>
          <w:tblCellMar>
            <w:top w:w="0" w:type="dxa"/>
            <w:left w:w="108" w:type="dxa"/>
            <w:bottom w:w="0" w:type="dxa"/>
            <w:right w:w="108" w:type="dxa"/>
          </w:tblCellMar>
        </w:tblPrEx>
        <w:trPr>
          <w:trHeight w:val="333" w:hRule="atLeast"/>
        </w:trPr>
        <w:tc>
          <w:tcPr>
            <w:tcW w:w="1413" w:type="dxa"/>
            <w:vMerge w:val="continue"/>
            <w:tcBorders>
              <w:top w:val="nil"/>
              <w:left w:val="single" w:color="auto" w:sz="4" w:space="0"/>
              <w:bottom w:val="single" w:color="auto" w:sz="4" w:space="0"/>
              <w:right w:val="single" w:color="auto" w:sz="4" w:space="0"/>
            </w:tcBorders>
            <w:vAlign w:val="center"/>
          </w:tcPr>
          <w:p w14:paraId="22D9F3C6">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p>
        </w:tc>
        <w:tc>
          <w:tcPr>
            <w:tcW w:w="1394" w:type="dxa"/>
            <w:vMerge w:val="continue"/>
            <w:tcBorders>
              <w:top w:val="nil"/>
              <w:left w:val="single" w:color="auto" w:sz="4" w:space="0"/>
              <w:bottom w:val="single" w:color="auto" w:sz="4" w:space="0"/>
              <w:right w:val="single" w:color="auto" w:sz="4" w:space="0"/>
            </w:tcBorders>
            <w:vAlign w:val="center"/>
          </w:tcPr>
          <w:p w14:paraId="299462DD">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p>
        </w:tc>
        <w:tc>
          <w:tcPr>
            <w:tcW w:w="1404" w:type="dxa"/>
            <w:tcBorders>
              <w:top w:val="nil"/>
              <w:left w:val="nil"/>
              <w:bottom w:val="single" w:color="auto" w:sz="4" w:space="0"/>
              <w:right w:val="single" w:color="auto" w:sz="4" w:space="0"/>
            </w:tcBorders>
            <w:shd w:val="clear" w:color="auto" w:fill="auto"/>
            <w:vAlign w:val="center"/>
          </w:tcPr>
          <w:p w14:paraId="6B6EDA87">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16:45-16:50</w:t>
            </w:r>
          </w:p>
        </w:tc>
        <w:tc>
          <w:tcPr>
            <w:tcW w:w="5507" w:type="dxa"/>
            <w:tcBorders>
              <w:top w:val="nil"/>
              <w:left w:val="nil"/>
              <w:bottom w:val="single" w:color="auto" w:sz="4" w:space="0"/>
              <w:right w:val="single" w:color="auto" w:sz="4" w:space="0"/>
            </w:tcBorders>
            <w:shd w:val="clear" w:color="auto" w:fill="auto"/>
            <w:vAlign w:val="center"/>
          </w:tcPr>
          <w:p w14:paraId="6EC8EE92">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主持人宣布会议结束</w:t>
            </w:r>
          </w:p>
        </w:tc>
      </w:tr>
      <w:tr w14:paraId="12775782">
        <w:tblPrEx>
          <w:tblCellMar>
            <w:top w:w="0" w:type="dxa"/>
            <w:left w:w="108" w:type="dxa"/>
            <w:bottom w:w="0" w:type="dxa"/>
            <w:right w:w="108" w:type="dxa"/>
          </w:tblCellMar>
        </w:tblPrEx>
        <w:trPr>
          <w:trHeight w:val="333" w:hRule="atLeast"/>
        </w:trPr>
        <w:tc>
          <w:tcPr>
            <w:tcW w:w="1413" w:type="dxa"/>
            <w:tcBorders>
              <w:top w:val="nil"/>
              <w:left w:val="single" w:color="auto" w:sz="4" w:space="0"/>
              <w:bottom w:val="single" w:color="auto" w:sz="4" w:space="0"/>
              <w:right w:val="single" w:color="auto" w:sz="4" w:space="0"/>
            </w:tcBorders>
            <w:shd w:val="clear" w:color="auto" w:fill="auto"/>
            <w:vAlign w:val="center"/>
          </w:tcPr>
          <w:p w14:paraId="67D575A5">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12月19日晚</w:t>
            </w:r>
          </w:p>
        </w:tc>
        <w:tc>
          <w:tcPr>
            <w:tcW w:w="1394" w:type="dxa"/>
            <w:tcBorders>
              <w:top w:val="nil"/>
              <w:left w:val="nil"/>
              <w:bottom w:val="single" w:color="auto" w:sz="4" w:space="0"/>
              <w:right w:val="single" w:color="auto" w:sz="4" w:space="0"/>
            </w:tcBorders>
            <w:shd w:val="clear" w:color="auto" w:fill="auto"/>
            <w:vAlign w:val="center"/>
          </w:tcPr>
          <w:p w14:paraId="4031D520">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晚宴</w:t>
            </w:r>
          </w:p>
        </w:tc>
        <w:tc>
          <w:tcPr>
            <w:tcW w:w="1404" w:type="dxa"/>
            <w:tcBorders>
              <w:top w:val="nil"/>
              <w:left w:val="nil"/>
              <w:bottom w:val="single" w:color="auto" w:sz="4" w:space="0"/>
              <w:right w:val="single" w:color="auto" w:sz="4" w:space="0"/>
            </w:tcBorders>
            <w:shd w:val="clear" w:color="auto" w:fill="auto"/>
            <w:vAlign w:val="center"/>
          </w:tcPr>
          <w:p w14:paraId="33F758BC">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17:30-20:30</w:t>
            </w:r>
          </w:p>
        </w:tc>
        <w:tc>
          <w:tcPr>
            <w:tcW w:w="5507" w:type="dxa"/>
            <w:tcBorders>
              <w:top w:val="nil"/>
              <w:left w:val="nil"/>
              <w:bottom w:val="single" w:color="auto" w:sz="4" w:space="0"/>
              <w:right w:val="single" w:color="auto" w:sz="4" w:space="0"/>
            </w:tcBorders>
            <w:shd w:val="clear" w:color="auto" w:fill="auto"/>
            <w:vAlign w:val="center"/>
          </w:tcPr>
          <w:p w14:paraId="1A56925F">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招待晚宴</w:t>
            </w:r>
          </w:p>
        </w:tc>
      </w:tr>
      <w:tr w14:paraId="2F6C6CFA">
        <w:tblPrEx>
          <w:tblCellMar>
            <w:top w:w="0" w:type="dxa"/>
            <w:left w:w="108" w:type="dxa"/>
            <w:bottom w:w="0" w:type="dxa"/>
            <w:right w:w="108" w:type="dxa"/>
          </w:tblCellMar>
        </w:tblPrEx>
        <w:trPr>
          <w:trHeight w:val="333" w:hRule="atLeast"/>
        </w:trPr>
        <w:tc>
          <w:tcPr>
            <w:tcW w:w="1413" w:type="dxa"/>
            <w:vMerge w:val="restart"/>
            <w:tcBorders>
              <w:top w:val="nil"/>
              <w:left w:val="single" w:color="auto" w:sz="4" w:space="0"/>
              <w:bottom w:val="single" w:color="auto" w:sz="4" w:space="0"/>
              <w:right w:val="single" w:color="auto" w:sz="4" w:space="0"/>
            </w:tcBorders>
            <w:shd w:val="clear" w:color="auto" w:fill="auto"/>
            <w:vAlign w:val="center"/>
          </w:tcPr>
          <w:p w14:paraId="72D5A966">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12月20日上午</w:t>
            </w:r>
          </w:p>
        </w:tc>
        <w:tc>
          <w:tcPr>
            <w:tcW w:w="1394" w:type="dxa"/>
            <w:tcBorders>
              <w:top w:val="nil"/>
              <w:left w:val="nil"/>
              <w:bottom w:val="single" w:color="auto" w:sz="4" w:space="0"/>
              <w:right w:val="single" w:color="auto" w:sz="4" w:space="0"/>
            </w:tcBorders>
            <w:shd w:val="clear" w:color="auto" w:fill="auto"/>
            <w:vAlign w:val="center"/>
          </w:tcPr>
          <w:p w14:paraId="6744E1F8">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经销商返程</w:t>
            </w:r>
          </w:p>
        </w:tc>
        <w:tc>
          <w:tcPr>
            <w:tcW w:w="1404" w:type="dxa"/>
            <w:tcBorders>
              <w:top w:val="nil"/>
              <w:left w:val="nil"/>
              <w:bottom w:val="single" w:color="auto" w:sz="4" w:space="0"/>
              <w:right w:val="single" w:color="auto" w:sz="4" w:space="0"/>
            </w:tcBorders>
            <w:shd w:val="clear" w:color="auto" w:fill="auto"/>
            <w:vAlign w:val="center"/>
          </w:tcPr>
          <w:p w14:paraId="51E2AD4F">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08:30-12:00</w:t>
            </w:r>
          </w:p>
        </w:tc>
        <w:tc>
          <w:tcPr>
            <w:tcW w:w="5507" w:type="dxa"/>
            <w:tcBorders>
              <w:top w:val="nil"/>
              <w:left w:val="nil"/>
              <w:bottom w:val="single" w:color="auto" w:sz="4" w:space="0"/>
              <w:right w:val="single" w:color="auto" w:sz="4" w:space="0"/>
            </w:tcBorders>
            <w:shd w:val="clear" w:color="auto" w:fill="auto"/>
            <w:vAlign w:val="center"/>
          </w:tcPr>
          <w:p w14:paraId="1B256A1D">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参会经销商返程</w:t>
            </w:r>
          </w:p>
        </w:tc>
      </w:tr>
      <w:tr w14:paraId="1E65D7AF">
        <w:tblPrEx>
          <w:tblCellMar>
            <w:top w:w="0" w:type="dxa"/>
            <w:left w:w="108" w:type="dxa"/>
            <w:bottom w:w="0" w:type="dxa"/>
            <w:right w:w="108" w:type="dxa"/>
          </w:tblCellMar>
        </w:tblPrEx>
        <w:trPr>
          <w:trHeight w:val="333" w:hRule="atLeast"/>
        </w:trPr>
        <w:tc>
          <w:tcPr>
            <w:tcW w:w="1413" w:type="dxa"/>
            <w:vMerge w:val="continue"/>
            <w:tcBorders>
              <w:top w:val="nil"/>
              <w:left w:val="single" w:color="auto" w:sz="4" w:space="0"/>
              <w:bottom w:val="single" w:color="auto" w:sz="4" w:space="0"/>
              <w:right w:val="single" w:color="auto" w:sz="4" w:space="0"/>
            </w:tcBorders>
            <w:vAlign w:val="center"/>
          </w:tcPr>
          <w:p w14:paraId="61D488F0">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p>
        </w:tc>
        <w:tc>
          <w:tcPr>
            <w:tcW w:w="1394" w:type="dxa"/>
            <w:tcBorders>
              <w:top w:val="nil"/>
              <w:left w:val="nil"/>
              <w:bottom w:val="single" w:color="auto" w:sz="4" w:space="0"/>
              <w:right w:val="single" w:color="auto" w:sz="4" w:space="0"/>
            </w:tcBorders>
            <w:shd w:val="clear" w:color="auto" w:fill="auto"/>
            <w:vAlign w:val="center"/>
          </w:tcPr>
          <w:p w14:paraId="27B9A244">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客户签到</w:t>
            </w:r>
          </w:p>
        </w:tc>
        <w:tc>
          <w:tcPr>
            <w:tcW w:w="1404" w:type="dxa"/>
            <w:tcBorders>
              <w:top w:val="nil"/>
              <w:left w:val="nil"/>
              <w:bottom w:val="single" w:color="auto" w:sz="4" w:space="0"/>
              <w:right w:val="single" w:color="auto" w:sz="4" w:space="0"/>
            </w:tcBorders>
            <w:shd w:val="clear" w:color="auto" w:fill="auto"/>
            <w:vAlign w:val="center"/>
          </w:tcPr>
          <w:p w14:paraId="5C3EDD1B">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08:30-12:00</w:t>
            </w:r>
          </w:p>
        </w:tc>
        <w:tc>
          <w:tcPr>
            <w:tcW w:w="5507" w:type="dxa"/>
            <w:tcBorders>
              <w:top w:val="nil"/>
              <w:left w:val="nil"/>
              <w:bottom w:val="single" w:color="auto" w:sz="4" w:space="0"/>
              <w:right w:val="single" w:color="auto" w:sz="4" w:space="0"/>
            </w:tcBorders>
            <w:shd w:val="clear" w:color="auto" w:fill="auto"/>
            <w:vAlign w:val="center"/>
          </w:tcPr>
          <w:p w14:paraId="45DB2FCF">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参观客户签到</w:t>
            </w:r>
          </w:p>
        </w:tc>
      </w:tr>
      <w:tr w14:paraId="7BA808A7">
        <w:tblPrEx>
          <w:tblCellMar>
            <w:top w:w="0" w:type="dxa"/>
            <w:left w:w="108" w:type="dxa"/>
            <w:bottom w:w="0" w:type="dxa"/>
            <w:right w:w="108" w:type="dxa"/>
          </w:tblCellMar>
        </w:tblPrEx>
        <w:trPr>
          <w:trHeight w:val="333" w:hRule="atLeast"/>
        </w:trPr>
        <w:tc>
          <w:tcPr>
            <w:tcW w:w="1413" w:type="dxa"/>
            <w:vMerge w:val="restart"/>
            <w:tcBorders>
              <w:top w:val="nil"/>
              <w:left w:val="single" w:color="auto" w:sz="4" w:space="0"/>
              <w:bottom w:val="single" w:color="auto" w:sz="4" w:space="0"/>
              <w:right w:val="single" w:color="auto" w:sz="4" w:space="0"/>
            </w:tcBorders>
            <w:shd w:val="clear" w:color="auto" w:fill="auto"/>
            <w:vAlign w:val="center"/>
          </w:tcPr>
          <w:p w14:paraId="168CCD96">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12月20日下午</w:t>
            </w:r>
          </w:p>
        </w:tc>
        <w:tc>
          <w:tcPr>
            <w:tcW w:w="1394" w:type="dxa"/>
            <w:vMerge w:val="restart"/>
            <w:tcBorders>
              <w:top w:val="nil"/>
              <w:left w:val="single" w:color="auto" w:sz="4" w:space="0"/>
              <w:bottom w:val="single" w:color="auto" w:sz="4" w:space="0"/>
              <w:right w:val="single" w:color="auto" w:sz="4" w:space="0"/>
            </w:tcBorders>
            <w:shd w:val="clear" w:color="auto" w:fill="auto"/>
            <w:vAlign w:val="center"/>
          </w:tcPr>
          <w:p w14:paraId="36DFB8E8">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客户沙龙</w:t>
            </w:r>
          </w:p>
        </w:tc>
        <w:tc>
          <w:tcPr>
            <w:tcW w:w="1404" w:type="dxa"/>
            <w:vMerge w:val="restart"/>
            <w:tcBorders>
              <w:top w:val="nil"/>
              <w:left w:val="single" w:color="auto" w:sz="4" w:space="0"/>
              <w:bottom w:val="single" w:color="auto" w:sz="4" w:space="0"/>
              <w:right w:val="single" w:color="auto" w:sz="4" w:space="0"/>
            </w:tcBorders>
            <w:shd w:val="clear" w:color="auto" w:fill="auto"/>
            <w:vAlign w:val="center"/>
          </w:tcPr>
          <w:p w14:paraId="2F8993DA">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13:30-17:00</w:t>
            </w:r>
          </w:p>
        </w:tc>
        <w:tc>
          <w:tcPr>
            <w:tcW w:w="5507" w:type="dxa"/>
            <w:tcBorders>
              <w:top w:val="nil"/>
              <w:left w:val="nil"/>
              <w:bottom w:val="single" w:color="auto" w:sz="4" w:space="0"/>
              <w:right w:val="single" w:color="auto" w:sz="4" w:space="0"/>
            </w:tcBorders>
            <w:shd w:val="clear" w:color="auto" w:fill="auto"/>
            <w:vAlign w:val="center"/>
          </w:tcPr>
          <w:p w14:paraId="17B335C3">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r>
              <w:rPr>
                <w:rFonts w:hint="eastAsia" w:ascii="仿宋" w:hAnsi="仿宋" w:eastAsia="仿宋" w:cs="仿宋"/>
                <w:color w:val="000000"/>
                <w:sz w:val="21"/>
                <w:szCs w:val="21"/>
              </w:rPr>
              <w:t>1、客户及陪同经销商参观商务大会展厅（品系经理讲解）</w:t>
            </w:r>
          </w:p>
        </w:tc>
      </w:tr>
      <w:tr w14:paraId="2BA1DAF0">
        <w:tblPrEx>
          <w:tblCellMar>
            <w:top w:w="0" w:type="dxa"/>
            <w:left w:w="108" w:type="dxa"/>
            <w:bottom w:w="0" w:type="dxa"/>
            <w:right w:w="108" w:type="dxa"/>
          </w:tblCellMar>
        </w:tblPrEx>
        <w:trPr>
          <w:trHeight w:val="1334" w:hRule="atLeast"/>
        </w:trPr>
        <w:tc>
          <w:tcPr>
            <w:tcW w:w="1413" w:type="dxa"/>
            <w:vMerge w:val="continue"/>
            <w:tcBorders>
              <w:top w:val="nil"/>
              <w:left w:val="single" w:color="auto" w:sz="4" w:space="0"/>
              <w:bottom w:val="single" w:color="auto" w:sz="4" w:space="0"/>
              <w:right w:val="single" w:color="auto" w:sz="4" w:space="0"/>
            </w:tcBorders>
            <w:vAlign w:val="center"/>
          </w:tcPr>
          <w:p w14:paraId="31726449">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p>
        </w:tc>
        <w:tc>
          <w:tcPr>
            <w:tcW w:w="1394" w:type="dxa"/>
            <w:vMerge w:val="continue"/>
            <w:tcBorders>
              <w:top w:val="nil"/>
              <w:left w:val="single" w:color="auto" w:sz="4" w:space="0"/>
              <w:bottom w:val="single" w:color="auto" w:sz="4" w:space="0"/>
              <w:right w:val="single" w:color="auto" w:sz="4" w:space="0"/>
            </w:tcBorders>
            <w:vAlign w:val="center"/>
          </w:tcPr>
          <w:p w14:paraId="71DEE9D8">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p>
        </w:tc>
        <w:tc>
          <w:tcPr>
            <w:tcW w:w="1404" w:type="dxa"/>
            <w:vMerge w:val="continue"/>
            <w:tcBorders>
              <w:top w:val="nil"/>
              <w:left w:val="single" w:color="auto" w:sz="4" w:space="0"/>
              <w:bottom w:val="single" w:color="auto" w:sz="4" w:space="0"/>
              <w:right w:val="single" w:color="auto" w:sz="4" w:space="0"/>
            </w:tcBorders>
            <w:vAlign w:val="center"/>
          </w:tcPr>
          <w:p w14:paraId="44239146">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p>
        </w:tc>
        <w:tc>
          <w:tcPr>
            <w:tcW w:w="5507" w:type="dxa"/>
            <w:tcBorders>
              <w:top w:val="nil"/>
              <w:left w:val="nil"/>
              <w:bottom w:val="single" w:color="auto" w:sz="4" w:space="0"/>
              <w:right w:val="single" w:color="auto" w:sz="4" w:space="0"/>
            </w:tcBorders>
            <w:shd w:val="clear" w:color="auto" w:fill="auto"/>
            <w:vAlign w:val="center"/>
          </w:tcPr>
          <w:p w14:paraId="3C959FC9">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r>
              <w:rPr>
                <w:rFonts w:hint="eastAsia" w:ascii="仿宋" w:hAnsi="仿宋" w:eastAsia="仿宋" w:cs="仿宋"/>
                <w:color w:val="000000"/>
                <w:sz w:val="21"/>
                <w:szCs w:val="21"/>
              </w:rPr>
              <w:t>2.1 大件车头部客户高端沙龙（约8-10位客户）</w:t>
            </w:r>
            <w:r>
              <w:rPr>
                <w:rFonts w:hint="eastAsia" w:ascii="仿宋" w:hAnsi="仿宋" w:eastAsia="仿宋" w:cs="仿宋"/>
                <w:color w:val="000000"/>
                <w:sz w:val="21"/>
                <w:szCs w:val="21"/>
              </w:rPr>
              <w:br w:type="textWrapping"/>
            </w:r>
            <w:r>
              <w:rPr>
                <w:rFonts w:hint="eastAsia" w:ascii="仿宋" w:hAnsi="仿宋" w:eastAsia="仿宋" w:cs="仿宋"/>
                <w:color w:val="000000"/>
                <w:sz w:val="21"/>
                <w:szCs w:val="21"/>
              </w:rPr>
              <w:t xml:space="preserve">2.2 TIR头部客户高端沙龙（约8-10位客户） </w:t>
            </w:r>
            <w:r>
              <w:rPr>
                <w:rFonts w:hint="eastAsia" w:ascii="仿宋" w:hAnsi="仿宋" w:eastAsia="仿宋" w:cs="仿宋"/>
                <w:color w:val="000000"/>
                <w:sz w:val="21"/>
                <w:szCs w:val="21"/>
              </w:rPr>
              <w:br w:type="textWrapping"/>
            </w:r>
            <w:r>
              <w:rPr>
                <w:rFonts w:hint="eastAsia" w:ascii="仿宋" w:hAnsi="仿宋" w:eastAsia="仿宋" w:cs="仿宋"/>
                <w:color w:val="000000"/>
                <w:sz w:val="21"/>
                <w:szCs w:val="21"/>
              </w:rPr>
              <w:t xml:space="preserve">2.3 自卸车头部客户高端沙龙（约8-10位客户）  </w:t>
            </w:r>
            <w:r>
              <w:rPr>
                <w:rFonts w:hint="eastAsia" w:ascii="仿宋" w:hAnsi="仿宋" w:eastAsia="仿宋" w:cs="仿宋"/>
                <w:color w:val="000000"/>
                <w:sz w:val="21"/>
                <w:szCs w:val="21"/>
              </w:rPr>
              <w:br w:type="textWrapping"/>
            </w:r>
            <w:r>
              <w:rPr>
                <w:rFonts w:hint="eastAsia" w:ascii="仿宋" w:hAnsi="仿宋" w:eastAsia="仿宋" w:cs="仿宋"/>
                <w:color w:val="000000"/>
                <w:sz w:val="21"/>
                <w:szCs w:val="21"/>
              </w:rPr>
              <w:t>2.4 快递快运头部客户高端沙龙（约8-10位客户）</w:t>
            </w:r>
          </w:p>
        </w:tc>
      </w:tr>
      <w:tr w14:paraId="4555B3DA">
        <w:tblPrEx>
          <w:tblCellMar>
            <w:top w:w="0" w:type="dxa"/>
            <w:left w:w="108" w:type="dxa"/>
            <w:bottom w:w="0" w:type="dxa"/>
            <w:right w:w="108" w:type="dxa"/>
          </w:tblCellMar>
        </w:tblPrEx>
        <w:trPr>
          <w:trHeight w:val="333" w:hRule="atLeast"/>
        </w:trPr>
        <w:tc>
          <w:tcPr>
            <w:tcW w:w="1413" w:type="dxa"/>
            <w:tcBorders>
              <w:top w:val="nil"/>
              <w:left w:val="single" w:color="auto" w:sz="4" w:space="0"/>
              <w:bottom w:val="single" w:color="auto" w:sz="4" w:space="0"/>
              <w:right w:val="single" w:color="auto" w:sz="4" w:space="0"/>
            </w:tcBorders>
            <w:shd w:val="clear" w:color="auto" w:fill="auto"/>
            <w:vAlign w:val="center"/>
          </w:tcPr>
          <w:p w14:paraId="7E06AD7B">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12月20日晚</w:t>
            </w:r>
          </w:p>
        </w:tc>
        <w:tc>
          <w:tcPr>
            <w:tcW w:w="1394" w:type="dxa"/>
            <w:tcBorders>
              <w:top w:val="nil"/>
              <w:left w:val="nil"/>
              <w:bottom w:val="single" w:color="auto" w:sz="4" w:space="0"/>
              <w:right w:val="single" w:color="auto" w:sz="4" w:space="0"/>
            </w:tcBorders>
            <w:shd w:val="clear" w:color="auto" w:fill="auto"/>
            <w:vAlign w:val="center"/>
          </w:tcPr>
          <w:p w14:paraId="659CAA31">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晚宴</w:t>
            </w:r>
          </w:p>
        </w:tc>
        <w:tc>
          <w:tcPr>
            <w:tcW w:w="1404" w:type="dxa"/>
            <w:tcBorders>
              <w:top w:val="nil"/>
              <w:left w:val="nil"/>
              <w:bottom w:val="single" w:color="auto" w:sz="4" w:space="0"/>
              <w:right w:val="single" w:color="auto" w:sz="4" w:space="0"/>
            </w:tcBorders>
            <w:shd w:val="clear" w:color="auto" w:fill="auto"/>
            <w:vAlign w:val="center"/>
          </w:tcPr>
          <w:p w14:paraId="76E15020">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18:00-20:30</w:t>
            </w:r>
          </w:p>
        </w:tc>
        <w:tc>
          <w:tcPr>
            <w:tcW w:w="5507" w:type="dxa"/>
            <w:tcBorders>
              <w:top w:val="nil"/>
              <w:left w:val="nil"/>
              <w:bottom w:val="single" w:color="auto" w:sz="4" w:space="0"/>
              <w:right w:val="single" w:color="auto" w:sz="4" w:space="0"/>
            </w:tcBorders>
            <w:shd w:val="clear" w:color="auto" w:fill="auto"/>
            <w:vAlign w:val="center"/>
          </w:tcPr>
          <w:p w14:paraId="35949203">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客户招待晚宴</w:t>
            </w:r>
          </w:p>
        </w:tc>
      </w:tr>
      <w:tr w14:paraId="0EF12DD4">
        <w:tblPrEx>
          <w:tblCellMar>
            <w:top w:w="0" w:type="dxa"/>
            <w:left w:w="108" w:type="dxa"/>
            <w:bottom w:w="0" w:type="dxa"/>
            <w:right w:w="108" w:type="dxa"/>
          </w:tblCellMar>
        </w:tblPrEx>
        <w:trPr>
          <w:trHeight w:val="333" w:hRule="atLeast"/>
        </w:trPr>
        <w:tc>
          <w:tcPr>
            <w:tcW w:w="1413" w:type="dxa"/>
            <w:tcBorders>
              <w:top w:val="nil"/>
              <w:left w:val="single" w:color="auto" w:sz="4" w:space="0"/>
              <w:bottom w:val="single" w:color="auto" w:sz="4" w:space="0"/>
              <w:right w:val="single" w:color="auto" w:sz="4" w:space="0"/>
            </w:tcBorders>
            <w:shd w:val="clear" w:color="auto" w:fill="auto"/>
            <w:vAlign w:val="center"/>
          </w:tcPr>
          <w:p w14:paraId="66ECDD56">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12月21日上午</w:t>
            </w:r>
          </w:p>
        </w:tc>
        <w:tc>
          <w:tcPr>
            <w:tcW w:w="1394" w:type="dxa"/>
            <w:tcBorders>
              <w:top w:val="nil"/>
              <w:left w:val="nil"/>
              <w:bottom w:val="single" w:color="auto" w:sz="4" w:space="0"/>
              <w:right w:val="single" w:color="auto" w:sz="4" w:space="0"/>
            </w:tcBorders>
            <w:shd w:val="clear" w:color="auto" w:fill="auto"/>
            <w:vAlign w:val="center"/>
          </w:tcPr>
          <w:p w14:paraId="27F41C30">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r>
              <w:rPr>
                <w:rFonts w:hint="eastAsia" w:ascii="仿宋" w:hAnsi="仿宋" w:eastAsia="仿宋" w:cs="仿宋"/>
                <w:color w:val="000000"/>
                <w:sz w:val="21"/>
                <w:szCs w:val="21"/>
              </w:rPr>
              <w:t>　智驾体验</w:t>
            </w:r>
          </w:p>
        </w:tc>
        <w:tc>
          <w:tcPr>
            <w:tcW w:w="1404" w:type="dxa"/>
            <w:tcBorders>
              <w:top w:val="nil"/>
              <w:left w:val="nil"/>
              <w:bottom w:val="single" w:color="auto" w:sz="4" w:space="0"/>
              <w:right w:val="single" w:color="auto" w:sz="4" w:space="0"/>
            </w:tcBorders>
            <w:shd w:val="clear" w:color="auto" w:fill="auto"/>
            <w:vAlign w:val="center"/>
          </w:tcPr>
          <w:p w14:paraId="5AEA1F26">
            <w:pPr>
              <w:keepNext w:val="0"/>
              <w:keepLines w:val="0"/>
              <w:widowControl/>
              <w:suppressLineNumbers w:val="0"/>
              <w:autoSpaceDE/>
              <w:autoSpaceDN/>
              <w:spacing w:before="0" w:beforeAutospacing="0" w:after="0" w:afterAutospacing="0"/>
              <w:ind w:left="0" w:right="0"/>
              <w:rPr>
                <w:rFonts w:hint="eastAsia" w:ascii="仿宋" w:hAnsi="仿宋" w:eastAsia="仿宋" w:cs="仿宋"/>
                <w:color w:val="000000"/>
                <w:sz w:val="21"/>
                <w:szCs w:val="21"/>
              </w:rPr>
            </w:pPr>
            <w:r>
              <w:rPr>
                <w:rFonts w:hint="eastAsia" w:ascii="仿宋" w:hAnsi="仿宋" w:eastAsia="仿宋" w:cs="仿宋"/>
                <w:color w:val="000000"/>
                <w:sz w:val="21"/>
                <w:szCs w:val="21"/>
              </w:rPr>
              <w:t>08:30-12:00</w:t>
            </w:r>
          </w:p>
        </w:tc>
        <w:tc>
          <w:tcPr>
            <w:tcW w:w="5507" w:type="dxa"/>
            <w:tcBorders>
              <w:top w:val="nil"/>
              <w:left w:val="nil"/>
              <w:bottom w:val="single" w:color="auto" w:sz="4" w:space="0"/>
              <w:right w:val="single" w:color="auto" w:sz="4" w:space="0"/>
            </w:tcBorders>
            <w:shd w:val="clear" w:color="auto" w:fill="auto"/>
            <w:vAlign w:val="center"/>
          </w:tcPr>
          <w:p w14:paraId="62B9DA1B">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苗博试验场智能驾驶体验（传统能源高效物流客户）</w:t>
            </w:r>
          </w:p>
        </w:tc>
      </w:tr>
      <w:tr w14:paraId="2EFE1DFE">
        <w:tblPrEx>
          <w:tblCellMar>
            <w:top w:w="0" w:type="dxa"/>
            <w:left w:w="108" w:type="dxa"/>
            <w:bottom w:w="0" w:type="dxa"/>
            <w:right w:w="108" w:type="dxa"/>
          </w:tblCellMar>
        </w:tblPrEx>
        <w:trPr>
          <w:trHeight w:val="333" w:hRule="atLeast"/>
        </w:trPr>
        <w:tc>
          <w:tcPr>
            <w:tcW w:w="1413" w:type="dxa"/>
            <w:tcBorders>
              <w:top w:val="nil"/>
              <w:left w:val="single" w:color="auto" w:sz="4" w:space="0"/>
              <w:bottom w:val="single" w:color="auto" w:sz="4" w:space="0"/>
              <w:right w:val="single" w:color="auto" w:sz="4" w:space="0"/>
            </w:tcBorders>
            <w:shd w:val="clear" w:color="auto" w:fill="auto"/>
            <w:vAlign w:val="center"/>
          </w:tcPr>
          <w:p w14:paraId="5577E6B2">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12月21日下午</w:t>
            </w:r>
          </w:p>
        </w:tc>
        <w:tc>
          <w:tcPr>
            <w:tcW w:w="1394" w:type="dxa"/>
            <w:tcBorders>
              <w:top w:val="nil"/>
              <w:left w:val="nil"/>
              <w:bottom w:val="single" w:color="auto" w:sz="4" w:space="0"/>
              <w:right w:val="single" w:color="auto" w:sz="4" w:space="0"/>
            </w:tcBorders>
            <w:shd w:val="clear" w:color="auto" w:fill="auto"/>
            <w:vAlign w:val="center"/>
          </w:tcPr>
          <w:p w14:paraId="73DA1BD8">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返程</w:t>
            </w:r>
          </w:p>
        </w:tc>
        <w:tc>
          <w:tcPr>
            <w:tcW w:w="1404" w:type="dxa"/>
            <w:tcBorders>
              <w:top w:val="nil"/>
              <w:left w:val="nil"/>
              <w:bottom w:val="single" w:color="auto" w:sz="4" w:space="0"/>
              <w:right w:val="single" w:color="auto" w:sz="4" w:space="0"/>
            </w:tcBorders>
            <w:shd w:val="clear" w:color="auto" w:fill="auto"/>
            <w:vAlign w:val="center"/>
          </w:tcPr>
          <w:p w14:paraId="116B1DDD">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14：00-</w:t>
            </w:r>
          </w:p>
        </w:tc>
        <w:tc>
          <w:tcPr>
            <w:tcW w:w="5507" w:type="dxa"/>
            <w:tcBorders>
              <w:top w:val="nil"/>
              <w:left w:val="nil"/>
              <w:bottom w:val="single" w:color="auto" w:sz="4" w:space="0"/>
              <w:right w:val="single" w:color="auto" w:sz="4" w:space="0"/>
            </w:tcBorders>
            <w:shd w:val="clear" w:color="auto" w:fill="auto"/>
            <w:vAlign w:val="center"/>
          </w:tcPr>
          <w:p w14:paraId="55656C71">
            <w:pPr>
              <w:keepNext w:val="0"/>
              <w:keepLines w:val="0"/>
              <w:widowControl/>
              <w:suppressLineNumbers w:val="0"/>
              <w:autoSpaceDE/>
              <w:autoSpaceDN/>
              <w:spacing w:before="0" w:beforeAutospacing="0" w:after="0" w:afterAutospacing="0"/>
              <w:ind w:left="0" w:right="0"/>
              <w:jc w:val="center"/>
              <w:rPr>
                <w:rFonts w:hint="eastAsia" w:ascii="仿宋" w:hAnsi="仿宋" w:eastAsia="仿宋" w:cs="仿宋"/>
                <w:color w:val="000000"/>
                <w:sz w:val="21"/>
                <w:szCs w:val="21"/>
              </w:rPr>
            </w:pPr>
            <w:r>
              <w:rPr>
                <w:rFonts w:hint="eastAsia" w:ascii="仿宋" w:hAnsi="仿宋" w:eastAsia="仿宋" w:cs="仿宋"/>
                <w:color w:val="000000"/>
                <w:sz w:val="21"/>
                <w:szCs w:val="21"/>
              </w:rPr>
              <w:t>参观人员返程</w:t>
            </w:r>
          </w:p>
        </w:tc>
      </w:tr>
    </w:tbl>
    <w:p w14:paraId="2A657154">
      <w:pPr>
        <w:spacing w:line="499" w:lineRule="exact"/>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rPr>
        <w:t>根据</w:t>
      </w:r>
      <w:r>
        <w:rPr>
          <w:rFonts w:hint="eastAsia" w:ascii="仿宋" w:hAnsi="仿宋" w:eastAsia="仿宋" w:cs="仿宋"/>
          <w:sz w:val="24"/>
          <w:szCs w:val="24"/>
          <w:lang w:val="en-US" w:eastAsia="zh-CN"/>
        </w:rPr>
        <w:t>大会环节流程和</w:t>
      </w:r>
      <w:r>
        <w:rPr>
          <w:rFonts w:hint="eastAsia" w:ascii="仿宋" w:hAnsi="仿宋" w:eastAsia="仿宋" w:cs="仿宋"/>
          <w:sz w:val="24"/>
          <w:szCs w:val="24"/>
        </w:rPr>
        <w:t>产品品牌传播实际需要，请</w:t>
      </w:r>
      <w:r>
        <w:rPr>
          <w:rFonts w:hint="eastAsia" w:ascii="仿宋" w:hAnsi="仿宋" w:eastAsia="仿宋" w:cs="仿宋"/>
          <w:sz w:val="24"/>
          <w:szCs w:val="24"/>
          <w:lang w:val="en-US" w:eastAsia="zh-CN"/>
        </w:rPr>
        <w:t>投标方</w:t>
      </w:r>
      <w:r>
        <w:rPr>
          <w:rFonts w:hint="eastAsia" w:ascii="仿宋" w:hAnsi="仿宋" w:eastAsia="仿宋" w:cs="仿宋"/>
          <w:sz w:val="24"/>
          <w:szCs w:val="24"/>
        </w:rPr>
        <w:t>就</w:t>
      </w:r>
      <w:r>
        <w:rPr>
          <w:rFonts w:hint="eastAsia" w:ascii="仿宋" w:hAnsi="仿宋" w:eastAsia="仿宋" w:cs="仿宋"/>
          <w:sz w:val="24"/>
          <w:szCs w:val="24"/>
          <w:lang w:eastAsia="zh-CN"/>
        </w:rPr>
        <w:t>202</w:t>
      </w:r>
      <w:r>
        <w:rPr>
          <w:rFonts w:hint="eastAsia" w:ascii="仿宋" w:hAnsi="仿宋" w:eastAsia="仿宋" w:cs="仿宋"/>
          <w:sz w:val="24"/>
          <w:szCs w:val="24"/>
          <w:lang w:val="en-US" w:eastAsia="zh-CN"/>
        </w:rPr>
        <w:t>7</w:t>
      </w:r>
      <w:r>
        <w:rPr>
          <w:rFonts w:hint="eastAsia" w:ascii="仿宋" w:hAnsi="仿宋" w:eastAsia="仿宋" w:cs="仿宋"/>
          <w:sz w:val="24"/>
          <w:szCs w:val="24"/>
          <w:lang w:eastAsia="zh-CN"/>
        </w:rPr>
        <w:t>年商销合作伙伴大会</w:t>
      </w:r>
      <w:r>
        <w:rPr>
          <w:rFonts w:hint="eastAsia" w:ascii="仿宋" w:hAnsi="仿宋" w:eastAsia="仿宋" w:cs="仿宋"/>
          <w:sz w:val="24"/>
          <w:szCs w:val="24"/>
        </w:rPr>
        <w:t>活动策划、物料制作、现场运营等方面提供支持。</w:t>
      </w:r>
      <w:r>
        <w:rPr>
          <w:rFonts w:hint="eastAsia" w:ascii="仿宋" w:hAnsi="仿宋" w:eastAsia="仿宋" w:cs="仿宋"/>
          <w:sz w:val="24"/>
          <w:szCs w:val="24"/>
          <w:lang w:val="en-US" w:eastAsia="zh-CN"/>
        </w:rPr>
        <w:t>主要要求和内容如下：</w:t>
      </w:r>
    </w:p>
    <w:p w14:paraId="799D385F">
      <w:pPr>
        <w:pStyle w:val="11"/>
        <w:widowControl/>
        <w:numPr>
          <w:ilvl w:val="0"/>
          <w:numId w:val="0"/>
        </w:numPr>
        <w:spacing w:line="360" w:lineRule="auto"/>
        <w:ind w:leftChars="0" w:firstLine="480" w:firstLineChars="20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sz w:val="24"/>
          <w:szCs w:val="24"/>
          <w:lang w:val="en-US" w:eastAsia="zh-CN"/>
        </w:rPr>
        <w:t>1、</w:t>
      </w:r>
      <w:r>
        <w:rPr>
          <w:rFonts w:hint="eastAsia" w:ascii="仿宋" w:hAnsi="仿宋" w:eastAsia="仿宋" w:cs="仿宋"/>
          <w:sz w:val="24"/>
          <w:szCs w:val="24"/>
        </w:rPr>
        <w:t>项目策划、执行</w:t>
      </w:r>
      <w:r>
        <w:rPr>
          <w:rFonts w:hint="eastAsia" w:ascii="仿宋" w:hAnsi="仿宋" w:eastAsia="仿宋" w:cs="仿宋"/>
          <w:sz w:val="24"/>
          <w:szCs w:val="24"/>
          <w:lang w:val="en-US" w:eastAsia="zh-CN"/>
        </w:rPr>
        <w:t>要求：</w:t>
      </w:r>
      <w:r>
        <w:rPr>
          <w:rFonts w:hint="eastAsia" w:ascii="仿宋" w:hAnsi="仿宋" w:eastAsia="仿宋" w:cs="仿宋"/>
          <w:color w:val="000000" w:themeColor="text1"/>
          <w:sz w:val="24"/>
          <w:szCs w:val="24"/>
          <w14:textFill>
            <w14:solidFill>
              <w14:schemeClr w14:val="tx1"/>
            </w14:solidFill>
          </w14:textFill>
        </w:rPr>
        <w:t>所有项目要求策</w:t>
      </w:r>
      <w:r>
        <w:rPr>
          <w:rFonts w:hint="eastAsia" w:ascii="仿宋" w:hAnsi="仿宋" w:eastAsia="仿宋" w:cs="仿宋"/>
          <w:color w:val="000000"/>
          <w:sz w:val="24"/>
          <w:szCs w:val="24"/>
        </w:rPr>
        <w:t>划内容</w:t>
      </w:r>
      <w:r>
        <w:rPr>
          <w:rFonts w:hint="eastAsia" w:ascii="仿宋" w:hAnsi="仿宋" w:eastAsia="仿宋" w:cs="仿宋"/>
          <w:color w:val="000000" w:themeColor="text1"/>
          <w:sz w:val="24"/>
          <w:szCs w:val="24"/>
          <w14:textFill>
            <w14:solidFill>
              <w14:schemeClr w14:val="tx1"/>
            </w14:solidFill>
          </w14:textFill>
        </w:rPr>
        <w:t>符合中国重汽企业形象和汕德卡产品的市场定位，有效凸显产品特色，具有较好的视觉吸引力、感染力，能够给</w:t>
      </w:r>
      <w:r>
        <w:rPr>
          <w:rFonts w:hint="eastAsia" w:ascii="仿宋" w:hAnsi="仿宋" w:eastAsia="仿宋" w:cs="仿宋"/>
          <w:color w:val="000000" w:themeColor="text1"/>
          <w:sz w:val="24"/>
          <w:szCs w:val="24"/>
          <w:lang w:val="en-US" w:eastAsia="zh-CN"/>
          <w14:textFill>
            <w14:solidFill>
              <w14:schemeClr w14:val="tx1"/>
            </w14:solidFill>
          </w14:textFill>
        </w:rPr>
        <w:t>参会代表和客户</w:t>
      </w:r>
      <w:r>
        <w:rPr>
          <w:rFonts w:hint="eastAsia" w:ascii="仿宋" w:hAnsi="仿宋" w:eastAsia="仿宋" w:cs="仿宋"/>
          <w:color w:val="000000" w:themeColor="text1"/>
          <w:sz w:val="24"/>
          <w:szCs w:val="24"/>
          <w14:textFill>
            <w14:solidFill>
              <w14:schemeClr w14:val="tx1"/>
            </w14:solidFill>
          </w14:textFill>
        </w:rPr>
        <w:t>留下深刻的视觉印象；出具详实的策划执行方案，编制项目推进周期。</w:t>
      </w:r>
    </w:p>
    <w:p w14:paraId="765D4FBF">
      <w:pPr>
        <w:pStyle w:val="11"/>
        <w:keepNext w:val="0"/>
        <w:keepLines w:val="0"/>
        <w:widowControl w:val="0"/>
        <w:suppressLineNumbers w:val="0"/>
        <w:autoSpaceDE w:val="0"/>
        <w:autoSpaceDN w:val="0"/>
        <w:spacing w:before="0" w:beforeAutospacing="0" w:after="0" w:afterAutospacing="0" w:line="360" w:lineRule="auto"/>
        <w:ind w:left="0" w:right="-17" w:firstLine="480" w:firstLineChars="200"/>
        <w:jc w:val="both"/>
        <w:rPr>
          <w:rFonts w:hint="eastAsia" w:ascii="仿宋" w:hAnsi="仿宋" w:eastAsia="仿宋" w:cs="仿宋"/>
          <w:sz w:val="24"/>
          <w:szCs w:val="24"/>
        </w:rPr>
      </w:pPr>
      <w:r>
        <w:rPr>
          <w:rFonts w:hint="eastAsia" w:ascii="仿宋" w:hAnsi="仿宋" w:eastAsia="仿宋" w:cs="仿宋"/>
          <w:sz w:val="24"/>
          <w:szCs w:val="24"/>
          <w:lang w:val="en-US" w:eastAsia="zh-CN"/>
        </w:rPr>
        <w:t>2、执行</w:t>
      </w:r>
      <w:r>
        <w:rPr>
          <w:rFonts w:hint="eastAsia" w:ascii="仿宋" w:hAnsi="仿宋" w:eastAsia="仿宋" w:cs="仿宋"/>
          <w:sz w:val="24"/>
          <w:szCs w:val="24"/>
        </w:rPr>
        <w:t>内容包括但不限于策划、物料设计制作、活动执行、线下场地搭建、活动开场</w:t>
      </w:r>
      <w:r>
        <w:rPr>
          <w:rFonts w:hint="eastAsia" w:ascii="仿宋" w:hAnsi="仿宋" w:eastAsia="仿宋" w:cs="仿宋"/>
          <w:sz w:val="24"/>
          <w:szCs w:val="24"/>
          <w:lang w:val="en-US" w:eastAsia="zh-CN"/>
        </w:rPr>
        <w:t>视频剪辑制作</w:t>
      </w:r>
      <w:r>
        <w:rPr>
          <w:rFonts w:hint="eastAsia" w:ascii="仿宋" w:hAnsi="仿宋" w:eastAsia="仿宋" w:cs="仿宋"/>
          <w:sz w:val="24"/>
          <w:szCs w:val="24"/>
        </w:rPr>
        <w:t>、</w:t>
      </w:r>
      <w:r>
        <w:rPr>
          <w:rFonts w:hint="eastAsia" w:ascii="仿宋" w:hAnsi="仿宋" w:eastAsia="仿宋" w:cs="仿宋"/>
          <w:sz w:val="24"/>
          <w:szCs w:val="24"/>
          <w:lang w:val="en-US" w:eastAsia="zh-CN"/>
        </w:rPr>
        <w:t>经销商获奖视频剪辑制作、晚宴策划执行、大会宣讲材料</w:t>
      </w:r>
      <w:r>
        <w:rPr>
          <w:rFonts w:hint="eastAsia" w:ascii="仿宋" w:hAnsi="仿宋" w:eastAsia="仿宋" w:cs="仿宋"/>
          <w:sz w:val="24"/>
          <w:szCs w:val="24"/>
        </w:rPr>
        <w:t>的</w:t>
      </w:r>
      <w:r>
        <w:rPr>
          <w:rFonts w:hint="eastAsia" w:ascii="仿宋" w:hAnsi="仿宋" w:eastAsia="仿宋" w:cs="仿宋"/>
          <w:sz w:val="24"/>
          <w:szCs w:val="24"/>
          <w:lang w:val="en-US" w:eastAsia="zh-CN"/>
        </w:rPr>
        <w:t>制作和</w:t>
      </w:r>
      <w:r>
        <w:rPr>
          <w:rFonts w:hint="eastAsia" w:ascii="仿宋" w:hAnsi="仿宋" w:eastAsia="仿宋" w:cs="仿宋"/>
          <w:sz w:val="24"/>
          <w:szCs w:val="24"/>
        </w:rPr>
        <w:t>美化。</w:t>
      </w:r>
    </w:p>
    <w:p w14:paraId="56EC81C7">
      <w:pPr>
        <w:pStyle w:val="11"/>
        <w:widowControl/>
        <w:numPr>
          <w:ilvl w:val="0"/>
          <w:numId w:val="0"/>
        </w:numPr>
        <w:spacing w:line="460" w:lineRule="exact"/>
        <w:ind w:leftChars="0" w:firstLine="480" w:firstLineChars="20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3、</w:t>
      </w:r>
      <w:r>
        <w:rPr>
          <w:rFonts w:hint="eastAsia" w:ascii="仿宋" w:hAnsi="仿宋" w:eastAsia="仿宋" w:cs="仿宋"/>
          <w:color w:val="000000" w:themeColor="text1"/>
          <w:sz w:val="24"/>
          <w:szCs w:val="24"/>
          <w14:textFill>
            <w14:solidFill>
              <w14:schemeClr w14:val="tx1"/>
            </w14:solidFill>
          </w14:textFill>
        </w:rPr>
        <w:t>项目验收</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能够按照中国重汽济南商用车销售部的要求，完成项目内容。其中涉及的所有视频、数据文件、图文等过程素材，一并交付。</w:t>
      </w:r>
    </w:p>
    <w:p w14:paraId="26261C34">
      <w:pPr>
        <w:pStyle w:val="11"/>
        <w:widowControl/>
        <w:numPr>
          <w:ilvl w:val="0"/>
          <w:numId w:val="0"/>
        </w:numPr>
        <w:spacing w:line="460" w:lineRule="exact"/>
        <w:ind w:leftChars="0" w:firstLine="480" w:firstLineChars="200"/>
        <w:jc w:val="both"/>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14:textFill>
            <w14:solidFill>
              <w14:schemeClr w14:val="tx1"/>
            </w14:solidFill>
          </w14:textFill>
        </w:rPr>
        <w:t>后期运维</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投标方案应提供后期运维服务方案，能够依据中国重汽汕德卡产品定位，依据活动期间的需求，提供相应的服务支持。</w:t>
      </w:r>
    </w:p>
    <w:p w14:paraId="30A4166F">
      <w:pPr>
        <w:pStyle w:val="11"/>
        <w:widowControl/>
        <w:numPr>
          <w:ilvl w:val="0"/>
          <w:numId w:val="0"/>
        </w:numPr>
        <w:spacing w:line="460" w:lineRule="exact"/>
        <w:ind w:leftChars="0" w:firstLine="480" w:firstLineChars="200"/>
        <w:jc w:val="both"/>
        <w:rPr>
          <w:rFonts w:hint="eastAsia" w:ascii="仿宋" w:hAnsi="仿宋" w:eastAsia="仿宋" w:cs="仿宋"/>
          <w:sz w:val="24"/>
          <w:szCs w:val="24"/>
        </w:rPr>
      </w:pPr>
      <w:r>
        <w:rPr>
          <w:rFonts w:hint="eastAsia" w:ascii="仿宋" w:hAnsi="仿宋" w:eastAsia="仿宋" w:cs="仿宋"/>
          <w:color w:val="000000" w:themeColor="text1"/>
          <w:sz w:val="24"/>
          <w:szCs w:val="24"/>
          <w:lang w:val="en-US" w:eastAsia="zh-CN"/>
          <w14:textFill>
            <w14:solidFill>
              <w14:schemeClr w14:val="tx1"/>
            </w14:solidFill>
          </w14:textFill>
        </w:rPr>
        <w:t>5、</w:t>
      </w:r>
      <w:r>
        <w:rPr>
          <w:rFonts w:hint="eastAsia" w:ascii="仿宋" w:hAnsi="仿宋" w:eastAsia="仿宋" w:cs="仿宋"/>
          <w:color w:val="000000" w:themeColor="text1"/>
          <w:sz w:val="24"/>
          <w:szCs w:val="24"/>
          <w14:textFill>
            <w14:solidFill>
              <w14:schemeClr w14:val="tx1"/>
            </w14:solidFill>
          </w14:textFill>
        </w:rPr>
        <w:t>项目执行阶段的其它协调事项（具体以投标方案及合同约定为准）</w:t>
      </w:r>
      <w:r>
        <w:rPr>
          <w:rFonts w:hint="eastAsia" w:ascii="仿宋" w:hAnsi="仿宋" w:eastAsia="仿宋" w:cs="仿宋"/>
          <w:sz w:val="24"/>
          <w:szCs w:val="24"/>
        </w:rPr>
        <w:t>。</w:t>
      </w:r>
    </w:p>
    <w:p w14:paraId="476E80D4">
      <w:pPr>
        <w:spacing w:line="460" w:lineRule="exact"/>
        <w:rPr>
          <w:rFonts w:hint="eastAsia" w:ascii="仿宋" w:hAnsi="仿宋" w:eastAsia="仿宋" w:cs="仿宋"/>
          <w:b/>
          <w:sz w:val="24"/>
          <w:szCs w:val="24"/>
        </w:rPr>
      </w:pPr>
      <w:r>
        <w:rPr>
          <w:rFonts w:hint="eastAsia" w:ascii="仿宋" w:hAnsi="仿宋" w:eastAsia="仿宋" w:cs="仿宋"/>
          <w:b/>
          <w:sz w:val="24"/>
          <w:szCs w:val="24"/>
        </w:rPr>
        <w:t>四、付款条件及付款方式</w:t>
      </w:r>
    </w:p>
    <w:p w14:paraId="6DC8CFB1">
      <w:pPr>
        <w:autoSpaceDE w:val="0"/>
        <w:autoSpaceDN w:val="0"/>
        <w:adjustRightInd w:val="0"/>
        <w:spacing w:line="460" w:lineRule="exact"/>
        <w:ind w:firstLine="480" w:firstLineChars="200"/>
        <w:rPr>
          <w:rFonts w:hint="eastAsia" w:ascii="仿宋" w:hAnsi="仿宋" w:eastAsia="仿宋" w:cs="仿宋"/>
          <w:sz w:val="24"/>
          <w:szCs w:val="24"/>
        </w:rPr>
      </w:pPr>
      <w:bookmarkStart w:id="2" w:name="_Hlk97552887"/>
      <w:r>
        <w:rPr>
          <w:rFonts w:hint="eastAsia" w:ascii="仿宋" w:hAnsi="仿宋" w:eastAsia="仿宋" w:cs="仿宋"/>
          <w:sz w:val="24"/>
          <w:szCs w:val="24"/>
          <w:lang w:val="en-US" w:eastAsia="zh-CN"/>
        </w:rPr>
        <w:t>1、</w:t>
      </w:r>
      <w:r>
        <w:rPr>
          <w:rFonts w:hint="eastAsia" w:ascii="仿宋" w:hAnsi="仿宋" w:eastAsia="仿宋" w:cs="仿宋"/>
          <w:sz w:val="24"/>
          <w:szCs w:val="24"/>
        </w:rPr>
        <w:t>原则上</w:t>
      </w:r>
      <w:r>
        <w:rPr>
          <w:rFonts w:hint="eastAsia" w:ascii="仿宋" w:hAnsi="仿宋" w:eastAsia="仿宋" w:cs="仿宋"/>
          <w:sz w:val="24"/>
          <w:szCs w:val="24"/>
          <w:lang w:val="en-US" w:eastAsia="zh-CN"/>
        </w:rPr>
        <w:t>项目结束后</w:t>
      </w:r>
      <w:r>
        <w:rPr>
          <w:rFonts w:hint="eastAsia" w:ascii="仿宋" w:hAnsi="仿宋" w:eastAsia="仿宋" w:cs="仿宋"/>
          <w:sz w:val="24"/>
          <w:szCs w:val="24"/>
        </w:rPr>
        <w:t>据实结算</w:t>
      </w:r>
      <w:bookmarkEnd w:id="2"/>
      <w:r>
        <w:rPr>
          <w:rFonts w:hint="eastAsia" w:ascii="仿宋" w:hAnsi="仿宋" w:eastAsia="仿宋" w:cs="仿宋"/>
          <w:sz w:val="24"/>
          <w:szCs w:val="24"/>
        </w:rPr>
        <w:t>，招标人（甲方）与中标人（乙方）签订合同后，乙方出具符合甲方要求的设计服务方案并完成执行。</w:t>
      </w:r>
    </w:p>
    <w:p w14:paraId="41E385E8">
      <w:pPr>
        <w:spacing w:line="46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w:t>
      </w:r>
      <w:r>
        <w:rPr>
          <w:rFonts w:hint="eastAsia" w:ascii="仿宋" w:hAnsi="仿宋" w:eastAsia="仿宋" w:cs="仿宋"/>
          <w:sz w:val="24"/>
          <w:szCs w:val="24"/>
        </w:rPr>
        <w:t>付款方式：项目验收合格后，乙方开具符合甲方要求的增值税专用发票，以半年期商业汇票（包括银行承兑汇票和商业承兑汇票）方式付款给乙方指定账户。具体付款时间及方式，以双方签订的合同约定为准。</w:t>
      </w:r>
    </w:p>
    <w:p w14:paraId="2D66BD70">
      <w:pPr>
        <w:spacing w:line="460" w:lineRule="exact"/>
        <w:ind w:firstLine="480" w:firstLineChars="200"/>
        <w:rPr>
          <w:rFonts w:hint="eastAsia" w:ascii="仿宋" w:hAnsi="仿宋" w:eastAsia="仿宋" w:cs="仿宋"/>
          <w:sz w:val="24"/>
          <w:szCs w:val="24"/>
          <w:lang w:eastAsia="zh-CN"/>
        </w:rPr>
      </w:pPr>
      <w:r>
        <w:rPr>
          <w:rFonts w:hint="eastAsia" w:ascii="仿宋" w:hAnsi="仿宋" w:eastAsia="仿宋" w:cs="仿宋"/>
          <w:sz w:val="24"/>
          <w:szCs w:val="24"/>
        </w:rPr>
        <w:t>3</w:t>
      </w:r>
      <w:r>
        <w:rPr>
          <w:rFonts w:hint="eastAsia" w:ascii="仿宋" w:hAnsi="仿宋" w:eastAsia="仿宋" w:cs="仿宋"/>
          <w:sz w:val="24"/>
          <w:szCs w:val="24"/>
          <w:lang w:eastAsia="zh-CN"/>
        </w:rPr>
        <w:t>、</w:t>
      </w:r>
      <w:r>
        <w:rPr>
          <w:rFonts w:hint="eastAsia" w:ascii="仿宋" w:hAnsi="仿宋" w:eastAsia="仿宋" w:cs="仿宋"/>
          <w:sz w:val="24"/>
          <w:szCs w:val="24"/>
        </w:rPr>
        <w:t>因发票违规给付款方造成的增值税、所得税等损失，由开票方承担相关责任，包括但不限于税款、滞纳金、罚款及其他相关损失;</w:t>
      </w:r>
    </w:p>
    <w:p w14:paraId="3750EF18">
      <w:pPr>
        <w:spacing w:line="46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具体付款时间及方式，以双方签订的合同约定为准。</w:t>
      </w:r>
    </w:p>
    <w:bookmarkEnd w:id="1"/>
    <w:p w14:paraId="4EBFA07D">
      <w:pPr>
        <w:pStyle w:val="19"/>
        <w:tabs>
          <w:tab w:val="left" w:pos="862"/>
        </w:tabs>
        <w:spacing w:line="460" w:lineRule="exact"/>
        <w:ind w:firstLine="0" w:firstLineChars="0"/>
        <w:rPr>
          <w:rFonts w:hint="eastAsia" w:ascii="仿宋" w:hAnsi="仿宋" w:eastAsia="仿宋" w:cs="仿宋"/>
          <w:b/>
          <w:sz w:val="24"/>
          <w:szCs w:val="24"/>
        </w:rPr>
      </w:pPr>
      <w:r>
        <w:rPr>
          <w:rFonts w:hint="eastAsia" w:ascii="仿宋" w:hAnsi="仿宋" w:eastAsia="仿宋" w:cs="仿宋"/>
          <w:b/>
          <w:sz w:val="24"/>
          <w:szCs w:val="24"/>
        </w:rPr>
        <w:t>五、投标人资格条件及要求</w:t>
      </w:r>
    </w:p>
    <w:p w14:paraId="7710D877">
      <w:pPr>
        <w:pStyle w:val="19"/>
        <w:spacing w:line="460" w:lineRule="exact"/>
        <w:ind w:firstLine="560"/>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w:t>
      </w:r>
      <w:r>
        <w:rPr>
          <w:rFonts w:hint="eastAsia" w:ascii="仿宋" w:hAnsi="仿宋" w:eastAsia="仿宋" w:cs="仿宋"/>
          <w:sz w:val="24"/>
          <w:szCs w:val="24"/>
        </w:rPr>
        <w:t>投标人应遵守《中华人民共和国招投标法》及有关的法律和法规。具备独立法人资格，</w:t>
      </w:r>
      <w:r>
        <w:rPr>
          <w:rFonts w:hint="eastAsia" w:ascii="仿宋" w:hAnsi="仿宋" w:eastAsia="仿宋" w:cs="仿宋"/>
          <w:kern w:val="0"/>
          <w:sz w:val="24"/>
          <w:szCs w:val="24"/>
        </w:rPr>
        <w:t>具有独立承担民事责任能力</w:t>
      </w:r>
      <w:r>
        <w:rPr>
          <w:rFonts w:hint="eastAsia" w:ascii="仿宋" w:hAnsi="仿宋" w:eastAsia="仿宋" w:cs="仿宋"/>
          <w:sz w:val="24"/>
          <w:szCs w:val="24"/>
        </w:rPr>
        <w:t>、良好的财务状况并具有一定的垫资能力，能切实履行合同。</w:t>
      </w:r>
    </w:p>
    <w:p w14:paraId="6D4F2F45">
      <w:pPr>
        <w:pStyle w:val="19"/>
        <w:spacing w:line="460" w:lineRule="exact"/>
        <w:ind w:firstLine="560"/>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w:t>
      </w:r>
      <w:r>
        <w:rPr>
          <w:rFonts w:hint="eastAsia" w:ascii="仿宋" w:hAnsi="仿宋" w:eastAsia="仿宋" w:cs="仿宋"/>
          <w:sz w:val="24"/>
          <w:szCs w:val="24"/>
        </w:rPr>
        <w:t>投标人在国家企业信用信息公示系统中有不良记录、存在严重违规或被列入招标人“黑名单”的，招标人有权取消其投标资格。投标文件应包含经会计师事务所审计且出具无保留意见的近三年的财务审计报告原件，并加盖公章，包括但不限于报告页、经审计的资产负债表、利润表、现金流量表及报表附注。</w:t>
      </w:r>
    </w:p>
    <w:p w14:paraId="48D5B1A0">
      <w:pPr>
        <w:pStyle w:val="19"/>
        <w:spacing w:line="460" w:lineRule="exact"/>
        <w:ind w:firstLine="560"/>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w:t>
      </w:r>
      <w:r>
        <w:rPr>
          <w:rFonts w:hint="eastAsia" w:ascii="仿宋" w:hAnsi="仿宋" w:eastAsia="仿宋" w:cs="仿宋"/>
          <w:sz w:val="24"/>
          <w:szCs w:val="24"/>
        </w:rPr>
        <w:t>投标人注册资本金应不低于</w:t>
      </w:r>
      <w:r>
        <w:rPr>
          <w:rFonts w:hint="eastAsia" w:ascii="仿宋" w:hAnsi="仿宋" w:eastAsia="仿宋" w:cs="仿宋"/>
          <w:sz w:val="24"/>
          <w:szCs w:val="24"/>
          <w:highlight w:val="none"/>
          <w:lang w:val="en-US" w:eastAsia="zh-CN"/>
        </w:rPr>
        <w:t>500</w:t>
      </w:r>
      <w:r>
        <w:rPr>
          <w:rFonts w:hint="eastAsia" w:ascii="仿宋" w:hAnsi="仿宋" w:eastAsia="仿宋" w:cs="仿宋"/>
          <w:sz w:val="24"/>
          <w:szCs w:val="24"/>
        </w:rPr>
        <w:t>万元，营业执照在有效期内并且经营范围满足招标人需求。不符合本条款要求的视为废标项，招标人有权取消其投标资格。</w:t>
      </w:r>
    </w:p>
    <w:p w14:paraId="3AD58CD9">
      <w:pPr>
        <w:pStyle w:val="19"/>
        <w:spacing w:line="460" w:lineRule="exact"/>
        <w:ind w:firstLine="560"/>
        <w:rPr>
          <w:rFonts w:hint="eastAsia"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eastAsia="zh-CN"/>
        </w:rPr>
        <w:t>、</w:t>
      </w:r>
      <w:r>
        <w:rPr>
          <w:rFonts w:hint="eastAsia" w:ascii="仿宋" w:hAnsi="仿宋" w:eastAsia="仿宋" w:cs="仿宋"/>
          <w:sz w:val="24"/>
          <w:szCs w:val="24"/>
        </w:rPr>
        <w:t>投标人应有相关项目的经验,具有良好的风险应对能力，能够认可招标人的工作指令，包括节、假日能正常开展工作等要求，并在开标时携带以往项目策划执行资料、企业资信材料、财务报表及完税证明等备查。</w:t>
      </w:r>
    </w:p>
    <w:p w14:paraId="13D5CEC7">
      <w:pPr>
        <w:pStyle w:val="19"/>
        <w:spacing w:line="460" w:lineRule="exact"/>
        <w:ind w:firstLine="560"/>
        <w:rPr>
          <w:rFonts w:hint="eastAsia" w:ascii="仿宋" w:hAnsi="仿宋" w:eastAsia="仿宋" w:cs="仿宋"/>
          <w:sz w:val="24"/>
          <w:szCs w:val="24"/>
        </w:rPr>
      </w:pPr>
      <w:r>
        <w:rPr>
          <w:rFonts w:hint="eastAsia" w:ascii="仿宋" w:hAnsi="仿宋" w:eastAsia="仿宋" w:cs="仿宋"/>
          <w:sz w:val="24"/>
          <w:szCs w:val="24"/>
        </w:rPr>
        <w:t>5</w:t>
      </w:r>
      <w:bookmarkStart w:id="3" w:name="_Hlk97553067"/>
      <w:r>
        <w:rPr>
          <w:rFonts w:hint="eastAsia" w:ascii="仿宋" w:hAnsi="仿宋" w:eastAsia="仿宋" w:cs="仿宋"/>
          <w:sz w:val="24"/>
          <w:szCs w:val="24"/>
          <w:lang w:eastAsia="zh-CN"/>
        </w:rPr>
        <w:t>、</w:t>
      </w:r>
      <w:r>
        <w:rPr>
          <w:rFonts w:hint="eastAsia" w:ascii="仿宋" w:hAnsi="仿宋" w:eastAsia="仿宋" w:cs="仿宋"/>
          <w:sz w:val="24"/>
          <w:szCs w:val="24"/>
        </w:rPr>
        <w:t>资格审查方式：资格前审，合格制。投标人应编制资格前审文件，否则视为放弃投标，内容包括：</w:t>
      </w:r>
    </w:p>
    <w:p w14:paraId="2081D63E">
      <w:pPr>
        <w:pStyle w:val="19"/>
        <w:spacing w:line="460" w:lineRule="exact"/>
        <w:ind w:firstLine="560"/>
        <w:rPr>
          <w:rFonts w:hint="eastAsia" w:ascii="仿宋" w:hAnsi="仿宋" w:eastAsia="仿宋" w:cs="仿宋"/>
          <w:sz w:val="24"/>
          <w:szCs w:val="24"/>
          <w:lang w:eastAsia="zh-CN"/>
        </w:rPr>
      </w:pPr>
      <w:r>
        <w:rPr>
          <w:rFonts w:hint="eastAsia" w:ascii="仿宋" w:hAnsi="仿宋" w:eastAsia="仿宋" w:cs="仿宋"/>
          <w:sz w:val="24"/>
          <w:szCs w:val="24"/>
        </w:rPr>
        <w:t>（1）投标人基本情况表，附带投标人三证合一的营业执照副本复印件（加盖单位公章）</w:t>
      </w:r>
      <w:r>
        <w:rPr>
          <w:rFonts w:hint="eastAsia" w:ascii="仿宋" w:hAnsi="仿宋" w:eastAsia="仿宋" w:cs="仿宋"/>
          <w:sz w:val="24"/>
          <w:szCs w:val="24"/>
          <w:lang w:eastAsia="zh-CN"/>
        </w:rPr>
        <w:t>；</w:t>
      </w:r>
    </w:p>
    <w:p w14:paraId="412D038C">
      <w:pPr>
        <w:pStyle w:val="19"/>
        <w:spacing w:line="460" w:lineRule="exact"/>
        <w:ind w:firstLine="560"/>
        <w:rPr>
          <w:rFonts w:hint="eastAsia" w:ascii="仿宋" w:hAnsi="仿宋" w:eastAsia="仿宋" w:cs="仿宋"/>
          <w:sz w:val="24"/>
          <w:szCs w:val="24"/>
          <w:lang w:eastAsia="zh-CN"/>
        </w:rPr>
      </w:pPr>
      <w:r>
        <w:rPr>
          <w:rFonts w:hint="eastAsia" w:ascii="仿宋" w:hAnsi="仿宋" w:eastAsia="仿宋" w:cs="仿宋"/>
          <w:sz w:val="24"/>
          <w:szCs w:val="24"/>
        </w:rPr>
        <w:t>（2）法定代表人资格等相关证明、授权委托书原件。若不是法定代表人参加，需有法定代表人授权委托书原件、法定代表人身份证及被委托人身份证复印件（均加盖公章），投标人或被委托人应携带授权委托书原件、身份证原件备查</w:t>
      </w:r>
      <w:r>
        <w:rPr>
          <w:rFonts w:hint="eastAsia" w:ascii="仿宋" w:hAnsi="仿宋" w:eastAsia="仿宋" w:cs="仿宋"/>
          <w:sz w:val="24"/>
          <w:szCs w:val="24"/>
          <w:lang w:eastAsia="zh-CN"/>
        </w:rPr>
        <w:t>；</w:t>
      </w:r>
    </w:p>
    <w:p w14:paraId="1F7DD590">
      <w:pPr>
        <w:pStyle w:val="19"/>
        <w:spacing w:line="460" w:lineRule="exact"/>
        <w:ind w:firstLine="560"/>
        <w:rPr>
          <w:rFonts w:hint="eastAsia" w:ascii="仿宋" w:hAnsi="仿宋" w:eastAsia="仿宋" w:cs="仿宋"/>
          <w:sz w:val="24"/>
          <w:szCs w:val="24"/>
          <w:lang w:val="en-US"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投标保证金缴纳凭证，同时正文描述付款账号、户名、开户行名称、开户行行号、保证金金额；</w:t>
      </w:r>
    </w:p>
    <w:p w14:paraId="74E1218C">
      <w:pPr>
        <w:pStyle w:val="19"/>
        <w:spacing w:line="460" w:lineRule="exact"/>
        <w:ind w:firstLine="560"/>
        <w:rPr>
          <w:rFonts w:hint="eastAsia" w:ascii="仿宋" w:hAnsi="仿宋" w:eastAsia="仿宋" w:cs="仿宋"/>
          <w:sz w:val="24"/>
          <w:szCs w:val="24"/>
          <w:lang w:eastAsia="zh-CN"/>
        </w:rPr>
      </w:pPr>
      <w:r>
        <w:rPr>
          <w:rFonts w:hint="eastAsia" w:ascii="仿宋" w:hAnsi="仿宋" w:eastAsia="仿宋" w:cs="仿宋"/>
          <w:sz w:val="24"/>
          <w:szCs w:val="24"/>
        </w:rPr>
        <w:t>（</w:t>
      </w:r>
      <w:r>
        <w:rPr>
          <w:rFonts w:hint="eastAsia" w:ascii="仿宋" w:hAnsi="仿宋" w:eastAsia="仿宋" w:cs="仿宋"/>
          <w:sz w:val="24"/>
          <w:szCs w:val="24"/>
          <w:lang w:val="en-US" w:eastAsia="zh-CN"/>
        </w:rPr>
        <w:t>4</w:t>
      </w:r>
      <w:r>
        <w:rPr>
          <w:rFonts w:hint="eastAsia" w:ascii="仿宋" w:hAnsi="仿宋" w:eastAsia="仿宋" w:cs="仿宋"/>
          <w:sz w:val="24"/>
          <w:szCs w:val="24"/>
        </w:rPr>
        <w:t>）证明投标人资格条件的其他材料，可附上</w:t>
      </w:r>
      <w:r>
        <w:rPr>
          <w:rFonts w:hint="eastAsia" w:ascii="仿宋" w:hAnsi="仿宋" w:eastAsia="仿宋" w:cs="仿宋"/>
          <w:sz w:val="24"/>
          <w:szCs w:val="24"/>
          <w:lang w:eastAsia="zh-CN"/>
        </w:rPr>
        <w:t>。</w:t>
      </w:r>
    </w:p>
    <w:p w14:paraId="7168A2FA">
      <w:pPr>
        <w:pStyle w:val="19"/>
        <w:spacing w:line="460" w:lineRule="exact"/>
        <w:ind w:firstLine="560"/>
        <w:rPr>
          <w:rFonts w:hint="eastAsia" w:ascii="仿宋" w:hAnsi="仿宋" w:eastAsia="仿宋" w:cs="仿宋"/>
          <w:sz w:val="24"/>
          <w:szCs w:val="24"/>
        </w:rPr>
      </w:pPr>
      <w:r>
        <w:rPr>
          <w:rFonts w:hint="eastAsia" w:ascii="仿宋" w:hAnsi="仿宋" w:eastAsia="仿宋" w:cs="仿宋"/>
          <w:sz w:val="24"/>
          <w:szCs w:val="24"/>
        </w:rPr>
        <w:t>6</w:t>
      </w:r>
      <w:r>
        <w:rPr>
          <w:rFonts w:hint="eastAsia" w:ascii="仿宋" w:hAnsi="仿宋" w:eastAsia="仿宋" w:cs="仿宋"/>
          <w:sz w:val="24"/>
          <w:szCs w:val="24"/>
          <w:lang w:eastAsia="zh-CN"/>
        </w:rPr>
        <w:t>、</w:t>
      </w:r>
      <w:r>
        <w:rPr>
          <w:rFonts w:hint="eastAsia" w:ascii="仿宋" w:hAnsi="仿宋" w:eastAsia="仿宋" w:cs="仿宋"/>
          <w:sz w:val="24"/>
          <w:szCs w:val="24"/>
        </w:rPr>
        <w:t>参与招标投标活动的各方应对招标文件和投标文件中的商业和技术等秘密保密，违者应对由此造成的后果承担法律责任。</w:t>
      </w:r>
    </w:p>
    <w:p w14:paraId="5B2F4C5D">
      <w:pPr>
        <w:pStyle w:val="19"/>
        <w:spacing w:line="460" w:lineRule="exact"/>
        <w:ind w:firstLine="560"/>
        <w:rPr>
          <w:rFonts w:hint="eastAsia" w:ascii="仿宋" w:hAnsi="仿宋" w:eastAsia="仿宋" w:cs="仿宋"/>
          <w:sz w:val="24"/>
          <w:szCs w:val="24"/>
        </w:rPr>
      </w:pPr>
      <w:r>
        <w:rPr>
          <w:rFonts w:hint="eastAsia" w:ascii="仿宋" w:hAnsi="仿宋" w:eastAsia="仿宋" w:cs="仿宋"/>
          <w:sz w:val="24"/>
          <w:szCs w:val="24"/>
        </w:rPr>
        <w:t>7</w:t>
      </w:r>
      <w:r>
        <w:rPr>
          <w:rFonts w:hint="eastAsia" w:ascii="仿宋" w:hAnsi="仿宋" w:eastAsia="仿宋" w:cs="仿宋"/>
          <w:sz w:val="24"/>
          <w:szCs w:val="24"/>
          <w:lang w:eastAsia="zh-CN"/>
        </w:rPr>
        <w:t>、</w:t>
      </w:r>
      <w:r>
        <w:rPr>
          <w:rFonts w:hint="eastAsia" w:ascii="仿宋" w:hAnsi="仿宋" w:eastAsia="仿宋" w:cs="仿宋"/>
          <w:sz w:val="24"/>
          <w:szCs w:val="24"/>
        </w:rPr>
        <w:t>供方的直接或间接股东、法定代表人、董事、监事、高管非重汽员工及其亲属。</w:t>
      </w:r>
    </w:p>
    <w:bookmarkEnd w:id="3"/>
    <w:p w14:paraId="5AAF174E">
      <w:pPr>
        <w:pStyle w:val="19"/>
        <w:spacing w:line="460" w:lineRule="exact"/>
        <w:ind w:firstLine="0" w:firstLineChars="0"/>
        <w:rPr>
          <w:rFonts w:hint="eastAsia" w:ascii="仿宋" w:hAnsi="仿宋" w:eastAsia="仿宋" w:cs="仿宋"/>
          <w:sz w:val="24"/>
          <w:szCs w:val="24"/>
        </w:rPr>
      </w:pPr>
      <w:r>
        <w:rPr>
          <w:rFonts w:hint="eastAsia" w:ascii="仿宋" w:hAnsi="仿宋" w:eastAsia="仿宋" w:cs="仿宋"/>
          <w:b/>
          <w:sz w:val="24"/>
          <w:szCs w:val="24"/>
        </w:rPr>
        <w:t>六、评标原则和方法</w:t>
      </w:r>
    </w:p>
    <w:p w14:paraId="6E1CB907">
      <w:pPr>
        <w:spacing w:line="46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w:t>
      </w:r>
      <w:r>
        <w:rPr>
          <w:rFonts w:hint="eastAsia" w:ascii="仿宋" w:hAnsi="仿宋" w:eastAsia="仿宋" w:cs="仿宋"/>
          <w:sz w:val="24"/>
          <w:szCs w:val="24"/>
        </w:rPr>
        <w:t>招标人将坚持“公开、公平、公正”原则，严格按照国家法律法规及公司规章制度要求，设立专家评审小组进行招标评审。</w:t>
      </w:r>
    </w:p>
    <w:p w14:paraId="26134568">
      <w:pPr>
        <w:spacing w:line="460" w:lineRule="exact"/>
        <w:ind w:firstLine="480" w:firstLineChars="200"/>
        <w:rPr>
          <w:rFonts w:hint="eastAsia" w:ascii="仿宋" w:hAnsi="仿宋" w:eastAsia="仿宋" w:cs="仿宋"/>
          <w:sz w:val="24"/>
          <w:szCs w:val="24"/>
          <w:highlight w:val="yellow"/>
        </w:rPr>
      </w:pPr>
      <w:r>
        <w:rPr>
          <w:rFonts w:hint="eastAsia" w:ascii="仿宋" w:hAnsi="仿宋" w:eastAsia="仿宋" w:cs="仿宋"/>
          <w:sz w:val="24"/>
          <w:szCs w:val="24"/>
          <w:highlight w:val="yellow"/>
        </w:rPr>
        <w:t>技术标：评审小组专家成员依据投标人的实施项目</w:t>
      </w:r>
      <w:r>
        <w:rPr>
          <w:rFonts w:hint="eastAsia" w:ascii="仿宋" w:hAnsi="仿宋" w:eastAsia="仿宋" w:cs="仿宋"/>
          <w:sz w:val="24"/>
          <w:szCs w:val="24"/>
          <w:highlight w:val="yellow"/>
          <w:lang w:eastAsia="zh-CN"/>
        </w:rPr>
        <w:t>、</w:t>
      </w:r>
      <w:r>
        <w:rPr>
          <w:rFonts w:hint="eastAsia" w:ascii="仿宋" w:hAnsi="仿宋" w:eastAsia="仿宋" w:cs="仿宋"/>
          <w:sz w:val="24"/>
          <w:szCs w:val="24"/>
          <w:highlight w:val="yellow"/>
        </w:rPr>
        <w:t>材质用料或设备设施</w:t>
      </w:r>
      <w:r>
        <w:rPr>
          <w:rFonts w:hint="eastAsia" w:ascii="仿宋" w:hAnsi="仿宋" w:eastAsia="仿宋" w:cs="仿宋"/>
          <w:sz w:val="24"/>
          <w:szCs w:val="24"/>
          <w:highlight w:val="yellow"/>
          <w:lang w:eastAsia="zh-CN"/>
        </w:rPr>
        <w:t>、</w:t>
      </w:r>
      <w:r>
        <w:rPr>
          <w:rFonts w:hint="eastAsia" w:ascii="仿宋" w:hAnsi="仿宋" w:eastAsia="仿宋" w:cs="仿宋"/>
          <w:sz w:val="24"/>
          <w:szCs w:val="24"/>
          <w:highlight w:val="yellow"/>
        </w:rPr>
        <w:t>项目创意</w:t>
      </w:r>
      <w:r>
        <w:rPr>
          <w:rFonts w:hint="eastAsia" w:ascii="仿宋" w:hAnsi="仿宋" w:eastAsia="仿宋" w:cs="仿宋"/>
          <w:sz w:val="24"/>
          <w:szCs w:val="24"/>
          <w:highlight w:val="yellow"/>
          <w:lang w:eastAsia="zh-CN"/>
        </w:rPr>
        <w:t>、</w:t>
      </w:r>
      <w:r>
        <w:rPr>
          <w:rFonts w:hint="eastAsia" w:ascii="仿宋" w:hAnsi="仿宋" w:eastAsia="仿宋" w:cs="仿宋"/>
          <w:sz w:val="24"/>
          <w:szCs w:val="24"/>
          <w:highlight w:val="yellow"/>
        </w:rPr>
        <w:t>实施过程等情况进行综合排序进行项目技术评分（评分标准见下表），评分不低于70分进入商务标评议。</w:t>
      </w:r>
    </w:p>
    <w:p w14:paraId="75273B51">
      <w:pPr>
        <w:spacing w:line="460" w:lineRule="exact"/>
        <w:ind w:firstLine="480" w:firstLineChars="200"/>
        <w:rPr>
          <w:rFonts w:hint="eastAsia" w:ascii="仿宋" w:hAnsi="仿宋" w:eastAsia="仿宋" w:cs="仿宋"/>
          <w:sz w:val="24"/>
          <w:szCs w:val="24"/>
          <w:highlight w:val="yellow"/>
        </w:rPr>
      </w:pPr>
      <w:r>
        <w:rPr>
          <w:rFonts w:hint="eastAsia" w:ascii="仿宋" w:hAnsi="仿宋" w:eastAsia="仿宋" w:cs="仿宋"/>
          <w:sz w:val="24"/>
          <w:szCs w:val="24"/>
          <w:highlight w:val="yellow"/>
        </w:rPr>
        <w:t>商务标：由商用车销售部统一技术方案，投标方根据技术方案进行报价，根据排序情况确定中标候选人，对未中标单位不做任何解释。</w:t>
      </w:r>
    </w:p>
    <w:p w14:paraId="01A982B9">
      <w:pPr>
        <w:tabs>
          <w:tab w:val="left" w:pos="312"/>
        </w:tabs>
        <w:spacing w:line="46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lang w:eastAsia="zh-CN"/>
        </w:rPr>
        <w:t>、</w:t>
      </w:r>
      <w:r>
        <w:rPr>
          <w:rFonts w:hint="eastAsia" w:ascii="仿宋" w:hAnsi="仿宋" w:eastAsia="仿宋" w:cs="仿宋"/>
          <w:sz w:val="24"/>
          <w:szCs w:val="24"/>
        </w:rPr>
        <w:t>投标文件未密封或资料不完整、投标人对招标文件的实质性要求未做出全面响应、有迹象表明投标人串通投标、中标后无正当理由在规定的时间不签订合同的、中标后不交纳履约保证金、投标人提供的投标文件弄虚作假及其它违反法律、法规规定情形的，视为无效投标。</w:t>
      </w:r>
    </w:p>
    <w:p w14:paraId="4C2E830B">
      <w:pPr>
        <w:pStyle w:val="23"/>
        <w:tabs>
          <w:tab w:val="left" w:pos="312"/>
        </w:tabs>
        <w:spacing w:line="460" w:lineRule="exact"/>
        <w:ind w:firstLine="480" w:firstLineChars="0"/>
        <w:rPr>
          <w:rFonts w:hint="eastAsia" w:ascii="仿宋" w:hAnsi="仿宋" w:eastAsia="仿宋" w:cs="仿宋"/>
          <w:sz w:val="24"/>
          <w:szCs w:val="24"/>
          <w:lang w:eastAsia="zh-CN"/>
        </w:rPr>
      </w:pPr>
      <w:r>
        <w:rPr>
          <w:rFonts w:hint="eastAsia" w:ascii="仿宋" w:hAnsi="仿宋" w:eastAsia="仿宋" w:cs="仿宋"/>
          <w:sz w:val="24"/>
          <w:szCs w:val="24"/>
          <w:lang w:val="en-US" w:eastAsia="zh-CN"/>
        </w:rPr>
        <w:t>3</w:t>
      </w:r>
      <w:r>
        <w:rPr>
          <w:rFonts w:hint="eastAsia" w:ascii="仿宋" w:hAnsi="仿宋" w:eastAsia="仿宋" w:cs="仿宋"/>
          <w:sz w:val="24"/>
          <w:szCs w:val="24"/>
          <w:lang w:eastAsia="zh-CN"/>
        </w:rPr>
        <w:t>、</w:t>
      </w:r>
      <w:r>
        <w:rPr>
          <w:rFonts w:hint="eastAsia" w:ascii="仿宋" w:hAnsi="仿宋" w:eastAsia="仿宋" w:cs="仿宋"/>
          <w:sz w:val="24"/>
          <w:szCs w:val="24"/>
        </w:rPr>
        <w:t>本招标文件的最终解释权归招标人，当对一个问题有多种解释时以招标人的书面解释为准。招标文件未做须知明示，而又有相关法律、法规规定的，招标人对此所做解释以相关的法律、法规规定为依据</w:t>
      </w:r>
      <w:r>
        <w:rPr>
          <w:rFonts w:hint="eastAsia" w:ascii="仿宋" w:hAnsi="仿宋" w:eastAsia="仿宋" w:cs="仿宋"/>
          <w:sz w:val="24"/>
          <w:szCs w:val="24"/>
          <w:lang w:eastAsia="zh-CN"/>
        </w:rPr>
        <w:t>。</w:t>
      </w:r>
    </w:p>
    <w:tbl>
      <w:tblPr>
        <w:tblStyle w:val="12"/>
        <w:tblW w:w="0" w:type="auto"/>
        <w:tblInd w:w="113" w:type="dxa"/>
        <w:shd w:val="clear" w:color="auto" w:fill="FFFF00"/>
        <w:tblLayout w:type="autofit"/>
        <w:tblCellMar>
          <w:top w:w="0" w:type="dxa"/>
          <w:left w:w="108" w:type="dxa"/>
          <w:bottom w:w="0" w:type="dxa"/>
          <w:right w:w="108" w:type="dxa"/>
        </w:tblCellMar>
      </w:tblPr>
      <w:tblGrid>
        <w:gridCol w:w="1671"/>
        <w:gridCol w:w="7041"/>
        <w:gridCol w:w="917"/>
      </w:tblGrid>
      <w:tr w14:paraId="20D5B7A3">
        <w:tblPrEx>
          <w:shd w:val="clear" w:color="auto" w:fill="FFFF00"/>
          <w:tblCellMar>
            <w:top w:w="0" w:type="dxa"/>
            <w:left w:w="108" w:type="dxa"/>
            <w:bottom w:w="0" w:type="dxa"/>
            <w:right w:w="108" w:type="dxa"/>
          </w:tblCellMar>
        </w:tblPrEx>
        <w:trPr>
          <w:trHeight w:val="510" w:hRule="atLeast"/>
        </w:trPr>
        <w:tc>
          <w:tcPr>
            <w:tcW w:w="0" w:type="auto"/>
            <w:gridSpan w:val="3"/>
            <w:tcBorders>
              <w:top w:val="single" w:color="auto" w:sz="4" w:space="0"/>
              <w:left w:val="single" w:color="auto" w:sz="4" w:space="0"/>
              <w:bottom w:val="single" w:color="auto" w:sz="4" w:space="0"/>
              <w:right w:val="single" w:color="auto" w:sz="4" w:space="0"/>
            </w:tcBorders>
            <w:shd w:val="clear" w:color="auto" w:fill="FFFF00"/>
            <w:noWrap/>
            <w:vAlign w:val="center"/>
          </w:tcPr>
          <w:p w14:paraId="255DF6E7">
            <w:pPr>
              <w:keepNext w:val="0"/>
              <w:keepLines w:val="0"/>
              <w:widowControl/>
              <w:suppressLineNumbers w:val="0"/>
              <w:spacing w:before="0" w:beforeAutospacing="0" w:after="0" w:afterAutospacing="0" w:line="500" w:lineRule="exact"/>
              <w:ind w:left="0" w:right="0"/>
              <w:jc w:val="center"/>
              <w:rPr>
                <w:rFonts w:hint="eastAsia" w:ascii="黑体" w:hAnsi="黑体" w:eastAsia="黑体" w:cs="宋体"/>
                <w:color w:val="000000"/>
                <w:kern w:val="0"/>
                <w:sz w:val="40"/>
                <w:szCs w:val="40"/>
                <w:highlight w:val="none"/>
              </w:rPr>
            </w:pPr>
            <w:r>
              <w:rPr>
                <w:rFonts w:hint="eastAsia" w:ascii="黑体" w:hAnsi="黑体" w:eastAsia="黑体" w:cs="宋体"/>
                <w:color w:val="000000"/>
                <w:kern w:val="0"/>
                <w:sz w:val="40"/>
                <w:szCs w:val="40"/>
                <w:highlight w:val="none"/>
              </w:rPr>
              <w:t>综合评分标准</w:t>
            </w:r>
          </w:p>
        </w:tc>
      </w:tr>
      <w:tr w14:paraId="5896ADBE">
        <w:tblPrEx>
          <w:tblCellMar>
            <w:top w:w="0" w:type="dxa"/>
            <w:left w:w="108" w:type="dxa"/>
            <w:bottom w:w="0" w:type="dxa"/>
            <w:right w:w="108" w:type="dxa"/>
          </w:tblCellMar>
        </w:tblPrEx>
        <w:trPr>
          <w:trHeight w:val="435" w:hRule="atLeast"/>
        </w:trPr>
        <w:tc>
          <w:tcPr>
            <w:tcW w:w="1671" w:type="dxa"/>
            <w:tcBorders>
              <w:top w:val="nil"/>
              <w:left w:val="single" w:color="auto" w:sz="4" w:space="0"/>
              <w:bottom w:val="single" w:color="auto" w:sz="4" w:space="0"/>
              <w:right w:val="single" w:color="auto" w:sz="4" w:space="0"/>
            </w:tcBorders>
            <w:shd w:val="clear" w:color="auto" w:fill="FFFF00"/>
            <w:vAlign w:val="center"/>
          </w:tcPr>
          <w:p w14:paraId="41F2B923">
            <w:pPr>
              <w:keepNext w:val="0"/>
              <w:keepLines w:val="0"/>
              <w:widowControl/>
              <w:suppressLineNumbers w:val="0"/>
              <w:spacing w:before="0" w:beforeAutospacing="0" w:after="0" w:afterAutospacing="0" w:line="500" w:lineRule="exact"/>
              <w:ind w:left="0" w:right="0"/>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项目</w:t>
            </w:r>
          </w:p>
        </w:tc>
        <w:tc>
          <w:tcPr>
            <w:tcW w:w="7041" w:type="dxa"/>
            <w:tcBorders>
              <w:top w:val="nil"/>
              <w:left w:val="nil"/>
              <w:bottom w:val="single" w:color="auto" w:sz="4" w:space="0"/>
              <w:right w:val="single" w:color="auto" w:sz="4" w:space="0"/>
            </w:tcBorders>
            <w:shd w:val="clear" w:color="auto" w:fill="FFFF00"/>
            <w:vAlign w:val="center"/>
          </w:tcPr>
          <w:p w14:paraId="17B55426">
            <w:pPr>
              <w:keepNext w:val="0"/>
              <w:keepLines w:val="0"/>
              <w:widowControl/>
              <w:suppressLineNumbers w:val="0"/>
              <w:spacing w:before="0" w:beforeAutospacing="0" w:after="0" w:afterAutospacing="0" w:line="500" w:lineRule="exact"/>
              <w:ind w:left="0" w:right="0"/>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描　　述</w:t>
            </w:r>
          </w:p>
        </w:tc>
        <w:tc>
          <w:tcPr>
            <w:tcW w:w="917" w:type="dxa"/>
            <w:tcBorders>
              <w:top w:val="nil"/>
              <w:left w:val="nil"/>
              <w:bottom w:val="single" w:color="auto" w:sz="4" w:space="0"/>
              <w:right w:val="single" w:color="auto" w:sz="4" w:space="0"/>
            </w:tcBorders>
            <w:shd w:val="clear" w:color="auto" w:fill="FFFF00"/>
            <w:vAlign w:val="center"/>
          </w:tcPr>
          <w:p w14:paraId="226A06E1">
            <w:pPr>
              <w:keepNext w:val="0"/>
              <w:keepLines w:val="0"/>
              <w:widowControl/>
              <w:suppressLineNumbers w:val="0"/>
              <w:spacing w:before="0" w:beforeAutospacing="0" w:after="0" w:afterAutospacing="0" w:line="500" w:lineRule="exact"/>
              <w:ind w:left="0" w:right="0"/>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分值</w:t>
            </w:r>
          </w:p>
        </w:tc>
      </w:tr>
      <w:tr w14:paraId="3F946354">
        <w:tblPrEx>
          <w:shd w:val="clear" w:color="auto" w:fill="FFFF00"/>
          <w:tblCellMar>
            <w:top w:w="0" w:type="dxa"/>
            <w:left w:w="108" w:type="dxa"/>
            <w:bottom w:w="0" w:type="dxa"/>
            <w:right w:w="108" w:type="dxa"/>
          </w:tblCellMar>
        </w:tblPrEx>
        <w:trPr>
          <w:trHeight w:val="591" w:hRule="atLeast"/>
        </w:trPr>
        <w:tc>
          <w:tcPr>
            <w:tcW w:w="1671" w:type="dxa"/>
            <w:vMerge w:val="restart"/>
            <w:tcBorders>
              <w:top w:val="nil"/>
              <w:left w:val="single" w:color="auto" w:sz="4" w:space="0"/>
              <w:bottom w:val="single" w:color="auto" w:sz="4" w:space="0"/>
              <w:right w:val="single" w:color="auto" w:sz="4" w:space="0"/>
            </w:tcBorders>
            <w:shd w:val="clear" w:color="auto" w:fill="FFFF00"/>
            <w:vAlign w:val="center"/>
          </w:tcPr>
          <w:p w14:paraId="1DEA3AD6">
            <w:pPr>
              <w:keepNext w:val="0"/>
              <w:keepLines w:val="0"/>
              <w:widowControl/>
              <w:suppressLineNumbers w:val="0"/>
              <w:spacing w:before="0" w:beforeAutospacing="0" w:after="0" w:afterAutospacing="0" w:line="500" w:lineRule="exact"/>
              <w:ind w:left="0" w:right="0"/>
              <w:jc w:val="center"/>
              <w:rPr>
                <w:rFonts w:hint="eastAsia" w:ascii="仿宋_GB2312" w:hAnsi="宋体" w:eastAsia="仿宋_GB2312" w:cs="宋体"/>
                <w:color w:val="000000"/>
                <w:kern w:val="0"/>
                <w:szCs w:val="21"/>
                <w:highlight w:val="none"/>
              </w:rPr>
            </w:pPr>
            <w:r>
              <w:rPr>
                <w:rFonts w:hint="eastAsia" w:ascii="仿宋_GB2312" w:hAnsi="宋体" w:eastAsia="仿宋_GB2312" w:cs="宋体"/>
                <w:color w:val="000000"/>
                <w:kern w:val="0"/>
                <w:szCs w:val="21"/>
                <w:highlight w:val="none"/>
              </w:rPr>
              <w:t>技术（策划及执行）方案</w:t>
            </w:r>
          </w:p>
        </w:tc>
        <w:tc>
          <w:tcPr>
            <w:tcW w:w="7041" w:type="dxa"/>
            <w:tcBorders>
              <w:top w:val="nil"/>
              <w:left w:val="nil"/>
              <w:bottom w:val="single" w:color="auto" w:sz="4" w:space="0"/>
              <w:right w:val="single" w:color="auto" w:sz="4" w:space="0"/>
            </w:tcBorders>
            <w:shd w:val="clear" w:color="auto" w:fill="FFFF00"/>
            <w:vAlign w:val="center"/>
          </w:tcPr>
          <w:p w14:paraId="3DDFD8F1">
            <w:pPr>
              <w:keepNext w:val="0"/>
              <w:keepLines w:val="0"/>
              <w:widowControl/>
              <w:suppressLineNumbers w:val="0"/>
              <w:spacing w:before="0" w:beforeAutospacing="0" w:after="0" w:afterAutospacing="0" w:line="500" w:lineRule="exact"/>
              <w:ind w:left="0" w:right="0"/>
              <w:jc w:val="left"/>
              <w:rPr>
                <w:rFonts w:hint="eastAsia" w:ascii="仿宋_GB2312" w:hAnsi="宋体" w:eastAsia="仿宋_GB2312" w:cs="宋体"/>
                <w:color w:val="000000"/>
                <w:kern w:val="0"/>
                <w:szCs w:val="21"/>
                <w:highlight w:val="none"/>
                <w:lang w:eastAsia="zh-CN"/>
              </w:rPr>
            </w:pPr>
            <w:r>
              <w:rPr>
                <w:rFonts w:hint="eastAsia" w:ascii="仿宋_GB2312" w:hAnsi="宋体" w:eastAsia="仿宋_GB2312" w:cs="宋体"/>
                <w:color w:val="000000"/>
                <w:kern w:val="0"/>
                <w:szCs w:val="21"/>
                <w:highlight w:val="none"/>
              </w:rPr>
              <w:t>1）实施项目：能够完全响应标书技术要求，无偏离或有正偏离。内容丰富详实，能够尽可能还原制作或执行效果的得</w:t>
            </w:r>
            <w:r>
              <w:rPr>
                <w:rFonts w:hint="eastAsia" w:ascii="仿宋_GB2312" w:hAnsi="宋体" w:eastAsia="仿宋_GB2312" w:cs="宋体"/>
                <w:color w:val="000000"/>
                <w:kern w:val="0"/>
                <w:szCs w:val="21"/>
                <w:highlight w:val="none"/>
                <w:lang w:val="en-US" w:eastAsia="zh-CN"/>
              </w:rPr>
              <w:t>20</w:t>
            </w:r>
            <w:r>
              <w:rPr>
                <w:rFonts w:hint="eastAsia" w:ascii="仿宋_GB2312" w:hAnsi="宋体" w:eastAsia="仿宋_GB2312" w:cs="宋体"/>
                <w:color w:val="000000"/>
                <w:kern w:val="0"/>
                <w:szCs w:val="21"/>
                <w:highlight w:val="none"/>
              </w:rPr>
              <w:t>分；方案笼统、借用既有素材过多或不能详细展现效果、出现项目遗漏的酌情扣分。本项最高得</w:t>
            </w:r>
            <w:r>
              <w:rPr>
                <w:rFonts w:hint="eastAsia" w:ascii="仿宋_GB2312" w:hAnsi="宋体" w:eastAsia="仿宋_GB2312" w:cs="宋体"/>
                <w:color w:val="000000"/>
                <w:kern w:val="0"/>
                <w:szCs w:val="21"/>
                <w:highlight w:val="none"/>
                <w:lang w:val="en-US" w:eastAsia="zh-CN"/>
              </w:rPr>
              <w:t>20</w:t>
            </w:r>
            <w:r>
              <w:rPr>
                <w:rFonts w:hint="eastAsia" w:ascii="仿宋_GB2312" w:hAnsi="宋体" w:eastAsia="仿宋_GB2312" w:cs="宋体"/>
                <w:color w:val="000000"/>
                <w:kern w:val="0"/>
                <w:szCs w:val="21"/>
                <w:highlight w:val="none"/>
              </w:rPr>
              <w:t>分</w:t>
            </w:r>
            <w:r>
              <w:rPr>
                <w:rFonts w:hint="eastAsia" w:ascii="仿宋_GB2312" w:hAnsi="宋体" w:eastAsia="仿宋_GB2312" w:cs="宋体"/>
                <w:color w:val="000000"/>
                <w:kern w:val="0"/>
                <w:szCs w:val="21"/>
                <w:highlight w:val="none"/>
                <w:lang w:eastAsia="zh-CN"/>
              </w:rPr>
              <w:t>。</w:t>
            </w:r>
          </w:p>
        </w:tc>
        <w:tc>
          <w:tcPr>
            <w:tcW w:w="917" w:type="dxa"/>
            <w:vMerge w:val="restart"/>
            <w:tcBorders>
              <w:top w:val="nil"/>
              <w:left w:val="single" w:color="auto" w:sz="4" w:space="0"/>
              <w:bottom w:val="single" w:color="auto" w:sz="4" w:space="0"/>
              <w:right w:val="single" w:color="auto" w:sz="4" w:space="0"/>
            </w:tcBorders>
            <w:shd w:val="clear" w:color="auto" w:fill="FFFF00"/>
            <w:vAlign w:val="center"/>
          </w:tcPr>
          <w:p w14:paraId="4F926E0A">
            <w:pPr>
              <w:keepNext w:val="0"/>
              <w:keepLines w:val="0"/>
              <w:widowControl/>
              <w:suppressLineNumbers w:val="0"/>
              <w:spacing w:before="0" w:beforeAutospacing="0" w:after="0" w:afterAutospacing="0" w:line="500" w:lineRule="exact"/>
              <w:ind w:left="0" w:right="0"/>
              <w:jc w:val="center"/>
              <w:rPr>
                <w:rFonts w:hint="default" w:ascii="仿宋_GB2312" w:hAnsi="宋体" w:eastAsia="仿宋_GB2312" w:cs="宋体"/>
                <w:color w:val="000000"/>
                <w:kern w:val="0"/>
                <w:sz w:val="24"/>
                <w:szCs w:val="24"/>
                <w:highlight w:val="none"/>
                <w:lang w:val="en-US" w:eastAsia="zh-CN"/>
              </w:rPr>
            </w:pPr>
            <w:r>
              <w:rPr>
                <w:rFonts w:hint="eastAsia" w:ascii="仿宋_GB2312" w:hAnsi="宋体" w:eastAsia="仿宋_GB2312" w:cs="宋体"/>
                <w:color w:val="000000"/>
                <w:kern w:val="0"/>
                <w:sz w:val="24"/>
                <w:szCs w:val="24"/>
                <w:highlight w:val="none"/>
                <w:lang w:val="en-US" w:eastAsia="zh-CN"/>
              </w:rPr>
              <w:t>100</w:t>
            </w:r>
          </w:p>
        </w:tc>
      </w:tr>
      <w:tr w14:paraId="1481D045">
        <w:tblPrEx>
          <w:shd w:val="clear" w:color="auto" w:fill="FFFF00"/>
          <w:tblCellMar>
            <w:top w:w="0" w:type="dxa"/>
            <w:left w:w="108" w:type="dxa"/>
            <w:bottom w:w="0" w:type="dxa"/>
            <w:right w:w="108" w:type="dxa"/>
          </w:tblCellMar>
        </w:tblPrEx>
        <w:trPr>
          <w:trHeight w:val="765" w:hRule="atLeast"/>
        </w:trPr>
        <w:tc>
          <w:tcPr>
            <w:tcW w:w="1671" w:type="dxa"/>
            <w:vMerge w:val="continue"/>
            <w:tcBorders>
              <w:top w:val="nil"/>
              <w:left w:val="single" w:color="auto" w:sz="4" w:space="0"/>
              <w:bottom w:val="single" w:color="auto" w:sz="4" w:space="0"/>
              <w:right w:val="single" w:color="auto" w:sz="4" w:space="0"/>
            </w:tcBorders>
            <w:shd w:val="clear" w:color="auto" w:fill="FFFF00"/>
            <w:vAlign w:val="center"/>
          </w:tcPr>
          <w:p w14:paraId="3AB3645C">
            <w:pPr>
              <w:keepNext w:val="0"/>
              <w:keepLines w:val="0"/>
              <w:widowControl/>
              <w:suppressLineNumbers w:val="0"/>
              <w:spacing w:before="0" w:beforeAutospacing="0" w:after="0" w:afterAutospacing="0" w:line="500" w:lineRule="exact"/>
              <w:ind w:left="0" w:right="0"/>
              <w:jc w:val="left"/>
              <w:rPr>
                <w:rFonts w:hint="eastAsia" w:ascii="仿宋_GB2312" w:hAnsi="宋体" w:eastAsia="仿宋_GB2312" w:cs="宋体"/>
                <w:color w:val="000000"/>
                <w:kern w:val="0"/>
                <w:szCs w:val="21"/>
                <w:highlight w:val="none"/>
              </w:rPr>
            </w:pPr>
          </w:p>
        </w:tc>
        <w:tc>
          <w:tcPr>
            <w:tcW w:w="7041" w:type="dxa"/>
            <w:tcBorders>
              <w:top w:val="nil"/>
              <w:left w:val="nil"/>
              <w:bottom w:val="single" w:color="auto" w:sz="4" w:space="0"/>
              <w:right w:val="single" w:color="auto" w:sz="4" w:space="0"/>
            </w:tcBorders>
            <w:shd w:val="clear" w:color="auto" w:fill="FFFF00"/>
            <w:vAlign w:val="center"/>
          </w:tcPr>
          <w:p w14:paraId="0F1DE4E8">
            <w:pPr>
              <w:keepNext w:val="0"/>
              <w:keepLines w:val="0"/>
              <w:widowControl/>
              <w:suppressLineNumbers w:val="0"/>
              <w:spacing w:before="0" w:beforeAutospacing="0" w:after="0" w:afterAutospacing="0" w:line="500" w:lineRule="exact"/>
              <w:ind w:left="0" w:right="0"/>
              <w:jc w:val="left"/>
              <w:rPr>
                <w:rFonts w:hint="eastAsia" w:ascii="仿宋_GB2312" w:hAnsi="宋体" w:eastAsia="仿宋_GB2312" w:cs="宋体"/>
                <w:color w:val="000000"/>
                <w:kern w:val="0"/>
                <w:szCs w:val="21"/>
                <w:highlight w:val="none"/>
                <w:lang w:eastAsia="zh-CN"/>
              </w:rPr>
            </w:pPr>
            <w:r>
              <w:rPr>
                <w:rFonts w:hint="default" w:ascii="仿宋_GB2312" w:hAnsi="宋体" w:eastAsia="仿宋_GB2312" w:cs="宋体"/>
                <w:color w:val="000000"/>
                <w:kern w:val="0"/>
                <w:szCs w:val="21"/>
                <w:highlight w:val="none"/>
              </w:rPr>
              <w:t>2</w:t>
            </w:r>
            <w:r>
              <w:rPr>
                <w:rFonts w:hint="eastAsia" w:ascii="仿宋_GB2312" w:hAnsi="宋体" w:eastAsia="仿宋_GB2312" w:cs="宋体"/>
                <w:color w:val="000000"/>
                <w:kern w:val="0"/>
                <w:szCs w:val="21"/>
                <w:highlight w:val="none"/>
              </w:rPr>
              <w:t>）材质用料或设备设施：方案中使用的物料材质或制作设备、制作物的创新性、规格、数量、质量等具有正偏离优势，具有较高的性价比得</w:t>
            </w:r>
            <w:r>
              <w:rPr>
                <w:rFonts w:hint="eastAsia" w:ascii="仿宋_GB2312" w:hAnsi="宋体" w:eastAsia="仿宋_GB2312" w:cs="宋体"/>
                <w:color w:val="000000"/>
                <w:kern w:val="0"/>
                <w:szCs w:val="21"/>
                <w:highlight w:val="none"/>
                <w:lang w:val="en-US" w:eastAsia="zh-CN"/>
              </w:rPr>
              <w:t>20</w:t>
            </w:r>
            <w:r>
              <w:rPr>
                <w:rFonts w:hint="eastAsia" w:ascii="仿宋_GB2312" w:hAnsi="宋体" w:eastAsia="仿宋_GB2312" w:cs="宋体"/>
                <w:color w:val="000000"/>
                <w:kern w:val="0"/>
                <w:szCs w:val="21"/>
                <w:highlight w:val="none"/>
              </w:rPr>
              <w:t>分。本项最高得分</w:t>
            </w:r>
            <w:r>
              <w:rPr>
                <w:rFonts w:hint="eastAsia" w:ascii="仿宋_GB2312" w:hAnsi="宋体" w:eastAsia="仿宋_GB2312" w:cs="宋体"/>
                <w:color w:val="000000"/>
                <w:kern w:val="0"/>
                <w:szCs w:val="21"/>
                <w:highlight w:val="none"/>
                <w:lang w:val="en-US" w:eastAsia="zh-CN"/>
              </w:rPr>
              <w:t>20</w:t>
            </w:r>
            <w:r>
              <w:rPr>
                <w:rFonts w:hint="eastAsia" w:ascii="仿宋_GB2312" w:hAnsi="宋体" w:eastAsia="仿宋_GB2312" w:cs="宋体"/>
                <w:color w:val="000000"/>
                <w:kern w:val="0"/>
                <w:szCs w:val="21"/>
                <w:highlight w:val="none"/>
              </w:rPr>
              <w:t>分</w:t>
            </w:r>
            <w:r>
              <w:rPr>
                <w:rFonts w:hint="eastAsia" w:ascii="仿宋_GB2312" w:hAnsi="宋体" w:eastAsia="仿宋_GB2312" w:cs="宋体"/>
                <w:color w:val="000000"/>
                <w:kern w:val="0"/>
                <w:szCs w:val="21"/>
                <w:highlight w:val="none"/>
                <w:lang w:eastAsia="zh-CN"/>
              </w:rPr>
              <w:t>。</w:t>
            </w:r>
          </w:p>
        </w:tc>
        <w:tc>
          <w:tcPr>
            <w:tcW w:w="917" w:type="dxa"/>
            <w:vMerge w:val="continue"/>
            <w:tcBorders>
              <w:top w:val="nil"/>
              <w:left w:val="single" w:color="auto" w:sz="4" w:space="0"/>
              <w:bottom w:val="single" w:color="auto" w:sz="4" w:space="0"/>
              <w:right w:val="single" w:color="auto" w:sz="4" w:space="0"/>
            </w:tcBorders>
            <w:shd w:val="clear" w:color="auto" w:fill="FFFF00"/>
            <w:vAlign w:val="center"/>
          </w:tcPr>
          <w:p w14:paraId="08E356B3">
            <w:pPr>
              <w:keepNext w:val="0"/>
              <w:keepLines w:val="0"/>
              <w:widowControl/>
              <w:suppressLineNumbers w:val="0"/>
              <w:spacing w:before="0" w:beforeAutospacing="0" w:after="0" w:afterAutospacing="0" w:line="500" w:lineRule="exact"/>
              <w:ind w:left="0" w:right="0"/>
              <w:jc w:val="left"/>
              <w:rPr>
                <w:rFonts w:hint="eastAsia" w:ascii="仿宋_GB2312" w:hAnsi="宋体" w:eastAsia="仿宋_GB2312" w:cs="宋体"/>
                <w:color w:val="000000"/>
                <w:kern w:val="0"/>
                <w:sz w:val="24"/>
                <w:szCs w:val="24"/>
                <w:highlight w:val="none"/>
              </w:rPr>
            </w:pPr>
          </w:p>
        </w:tc>
      </w:tr>
      <w:tr w14:paraId="0D99B7F4">
        <w:tblPrEx>
          <w:shd w:val="clear" w:color="auto" w:fill="FFFF00"/>
          <w:tblCellMar>
            <w:top w:w="0" w:type="dxa"/>
            <w:left w:w="108" w:type="dxa"/>
            <w:bottom w:w="0" w:type="dxa"/>
            <w:right w:w="108" w:type="dxa"/>
          </w:tblCellMar>
        </w:tblPrEx>
        <w:trPr>
          <w:trHeight w:val="972" w:hRule="atLeast"/>
        </w:trPr>
        <w:tc>
          <w:tcPr>
            <w:tcW w:w="1671" w:type="dxa"/>
            <w:vMerge w:val="continue"/>
            <w:tcBorders>
              <w:top w:val="nil"/>
              <w:left w:val="single" w:color="auto" w:sz="4" w:space="0"/>
              <w:bottom w:val="single" w:color="auto" w:sz="4" w:space="0"/>
              <w:right w:val="single" w:color="auto" w:sz="4" w:space="0"/>
            </w:tcBorders>
            <w:shd w:val="clear" w:color="auto" w:fill="FFFF00"/>
            <w:vAlign w:val="center"/>
          </w:tcPr>
          <w:p w14:paraId="531FA63B">
            <w:pPr>
              <w:keepNext w:val="0"/>
              <w:keepLines w:val="0"/>
              <w:widowControl/>
              <w:suppressLineNumbers w:val="0"/>
              <w:spacing w:before="0" w:beforeAutospacing="0" w:after="0" w:afterAutospacing="0" w:line="500" w:lineRule="exact"/>
              <w:ind w:left="0" w:right="0"/>
              <w:jc w:val="left"/>
              <w:rPr>
                <w:rFonts w:hint="eastAsia" w:ascii="仿宋_GB2312" w:hAnsi="宋体" w:eastAsia="仿宋_GB2312" w:cs="宋体"/>
                <w:color w:val="000000"/>
                <w:kern w:val="0"/>
                <w:szCs w:val="21"/>
                <w:highlight w:val="none"/>
              </w:rPr>
            </w:pPr>
          </w:p>
        </w:tc>
        <w:tc>
          <w:tcPr>
            <w:tcW w:w="7041" w:type="dxa"/>
            <w:tcBorders>
              <w:top w:val="nil"/>
              <w:left w:val="nil"/>
              <w:bottom w:val="single" w:color="auto" w:sz="4" w:space="0"/>
              <w:right w:val="single" w:color="auto" w:sz="4" w:space="0"/>
            </w:tcBorders>
            <w:shd w:val="clear" w:color="auto" w:fill="FFFF00"/>
            <w:vAlign w:val="center"/>
          </w:tcPr>
          <w:p w14:paraId="003903FF">
            <w:pPr>
              <w:keepNext w:val="0"/>
              <w:keepLines w:val="0"/>
              <w:widowControl/>
              <w:suppressLineNumbers w:val="0"/>
              <w:spacing w:before="0" w:beforeAutospacing="0" w:after="0" w:afterAutospacing="0" w:line="500" w:lineRule="exact"/>
              <w:ind w:left="0" w:right="0"/>
              <w:jc w:val="left"/>
              <w:rPr>
                <w:rFonts w:hint="eastAsia" w:ascii="仿宋_GB2312" w:hAnsi="宋体" w:eastAsia="仿宋_GB2312" w:cs="宋体"/>
                <w:color w:val="000000"/>
                <w:kern w:val="0"/>
                <w:szCs w:val="21"/>
                <w:highlight w:val="none"/>
                <w:lang w:eastAsia="zh-CN"/>
              </w:rPr>
            </w:pPr>
            <w:r>
              <w:rPr>
                <w:rFonts w:hint="default" w:ascii="仿宋_GB2312" w:hAnsi="宋体" w:eastAsia="仿宋_GB2312" w:cs="宋体"/>
                <w:color w:val="000000"/>
                <w:kern w:val="0"/>
                <w:szCs w:val="21"/>
                <w:highlight w:val="none"/>
              </w:rPr>
              <w:t>3</w:t>
            </w:r>
            <w:r>
              <w:rPr>
                <w:rFonts w:hint="eastAsia" w:ascii="仿宋_GB2312" w:hAnsi="宋体" w:eastAsia="仿宋_GB2312" w:cs="宋体"/>
                <w:color w:val="000000"/>
                <w:kern w:val="0"/>
                <w:szCs w:val="21"/>
                <w:highlight w:val="none"/>
              </w:rPr>
              <w:t>）项目创意：创作思路新颖，视觉及体验效果突出，符合中国重汽</w:t>
            </w:r>
            <w:r>
              <w:rPr>
                <w:rFonts w:hint="eastAsia" w:ascii="仿宋_GB2312" w:hAnsi="宋体" w:eastAsia="仿宋_GB2312" w:cs="宋体"/>
                <w:color w:val="000000"/>
                <w:kern w:val="0"/>
                <w:szCs w:val="21"/>
                <w:highlight w:val="none"/>
                <w:lang w:val="en-US" w:eastAsia="zh-CN"/>
              </w:rPr>
              <w:t>汕德卡</w:t>
            </w:r>
            <w:r>
              <w:rPr>
                <w:rFonts w:hint="eastAsia" w:ascii="仿宋_GB2312" w:hAnsi="宋体" w:eastAsia="仿宋_GB2312" w:cs="宋体"/>
                <w:color w:val="000000"/>
                <w:kern w:val="0"/>
                <w:szCs w:val="21"/>
                <w:highlight w:val="none"/>
              </w:rPr>
              <w:t>品牌定位，具有较好的吸引力、感染力、互动性和可操作性，对中国重汽在行业地位或形象提升有积极作用的，得</w:t>
            </w:r>
            <w:r>
              <w:rPr>
                <w:rFonts w:hint="eastAsia" w:ascii="仿宋_GB2312" w:hAnsi="宋体" w:eastAsia="仿宋_GB2312" w:cs="宋体"/>
                <w:color w:val="000000"/>
                <w:kern w:val="0"/>
                <w:szCs w:val="21"/>
                <w:highlight w:val="none"/>
                <w:lang w:val="en-US" w:eastAsia="zh-CN"/>
              </w:rPr>
              <w:t>30</w:t>
            </w:r>
            <w:r>
              <w:rPr>
                <w:rFonts w:hint="eastAsia" w:ascii="仿宋_GB2312" w:hAnsi="宋体" w:eastAsia="仿宋_GB2312" w:cs="宋体"/>
                <w:color w:val="000000"/>
                <w:kern w:val="0"/>
                <w:szCs w:val="21"/>
                <w:highlight w:val="none"/>
              </w:rPr>
              <w:t>分；如有不符合逻辑、方案平淡缺乏创意等情况酌情扣分。本项最高得</w:t>
            </w:r>
            <w:r>
              <w:rPr>
                <w:rFonts w:hint="eastAsia" w:ascii="仿宋_GB2312" w:hAnsi="宋体" w:eastAsia="仿宋_GB2312" w:cs="宋体"/>
                <w:color w:val="000000"/>
                <w:kern w:val="0"/>
                <w:szCs w:val="21"/>
                <w:highlight w:val="none"/>
                <w:lang w:val="en-US" w:eastAsia="zh-CN"/>
              </w:rPr>
              <w:t>30</w:t>
            </w:r>
            <w:r>
              <w:rPr>
                <w:rFonts w:hint="eastAsia" w:ascii="仿宋_GB2312" w:hAnsi="宋体" w:eastAsia="仿宋_GB2312" w:cs="宋体"/>
                <w:color w:val="000000"/>
                <w:kern w:val="0"/>
                <w:szCs w:val="21"/>
                <w:highlight w:val="none"/>
              </w:rPr>
              <w:t>分</w:t>
            </w:r>
            <w:r>
              <w:rPr>
                <w:rFonts w:hint="eastAsia" w:ascii="仿宋_GB2312" w:hAnsi="宋体" w:eastAsia="仿宋_GB2312" w:cs="宋体"/>
                <w:color w:val="000000"/>
                <w:kern w:val="0"/>
                <w:szCs w:val="21"/>
                <w:highlight w:val="none"/>
                <w:lang w:eastAsia="zh-CN"/>
              </w:rPr>
              <w:t>。</w:t>
            </w:r>
          </w:p>
        </w:tc>
        <w:tc>
          <w:tcPr>
            <w:tcW w:w="917" w:type="dxa"/>
            <w:vMerge w:val="continue"/>
            <w:tcBorders>
              <w:top w:val="nil"/>
              <w:left w:val="single" w:color="auto" w:sz="4" w:space="0"/>
              <w:bottom w:val="single" w:color="auto" w:sz="4" w:space="0"/>
              <w:right w:val="single" w:color="auto" w:sz="4" w:space="0"/>
            </w:tcBorders>
            <w:shd w:val="clear" w:color="auto" w:fill="FFFF00"/>
            <w:vAlign w:val="center"/>
          </w:tcPr>
          <w:p w14:paraId="265B09F5">
            <w:pPr>
              <w:keepNext w:val="0"/>
              <w:keepLines w:val="0"/>
              <w:widowControl/>
              <w:suppressLineNumbers w:val="0"/>
              <w:spacing w:before="0" w:beforeAutospacing="0" w:after="0" w:afterAutospacing="0" w:line="500" w:lineRule="exact"/>
              <w:ind w:left="0" w:right="0"/>
              <w:jc w:val="left"/>
              <w:rPr>
                <w:rFonts w:hint="eastAsia" w:ascii="仿宋_GB2312" w:hAnsi="宋体" w:eastAsia="仿宋_GB2312" w:cs="宋体"/>
                <w:color w:val="000000"/>
                <w:kern w:val="0"/>
                <w:sz w:val="24"/>
                <w:szCs w:val="24"/>
                <w:highlight w:val="none"/>
              </w:rPr>
            </w:pPr>
          </w:p>
        </w:tc>
      </w:tr>
      <w:tr w14:paraId="2B8246D2">
        <w:tblPrEx>
          <w:shd w:val="clear" w:color="auto" w:fill="FFFF00"/>
          <w:tblCellMar>
            <w:top w:w="0" w:type="dxa"/>
            <w:left w:w="108" w:type="dxa"/>
            <w:bottom w:w="0" w:type="dxa"/>
            <w:right w:w="108" w:type="dxa"/>
          </w:tblCellMar>
        </w:tblPrEx>
        <w:trPr>
          <w:trHeight w:val="1155" w:hRule="atLeast"/>
        </w:trPr>
        <w:tc>
          <w:tcPr>
            <w:tcW w:w="1671" w:type="dxa"/>
            <w:vMerge w:val="continue"/>
            <w:tcBorders>
              <w:top w:val="nil"/>
              <w:left w:val="single" w:color="auto" w:sz="4" w:space="0"/>
              <w:bottom w:val="single" w:color="auto" w:sz="4" w:space="0"/>
              <w:right w:val="single" w:color="auto" w:sz="4" w:space="0"/>
            </w:tcBorders>
            <w:shd w:val="clear" w:color="auto" w:fill="FFFF00"/>
            <w:vAlign w:val="center"/>
          </w:tcPr>
          <w:p w14:paraId="5D32B320">
            <w:pPr>
              <w:keepNext w:val="0"/>
              <w:keepLines w:val="0"/>
              <w:widowControl/>
              <w:suppressLineNumbers w:val="0"/>
              <w:spacing w:before="0" w:beforeAutospacing="0" w:after="0" w:afterAutospacing="0" w:line="500" w:lineRule="exact"/>
              <w:ind w:left="0" w:right="0"/>
              <w:jc w:val="left"/>
              <w:rPr>
                <w:rFonts w:hint="eastAsia" w:ascii="仿宋_GB2312" w:hAnsi="宋体" w:eastAsia="仿宋_GB2312" w:cs="宋体"/>
                <w:color w:val="000000"/>
                <w:kern w:val="0"/>
                <w:szCs w:val="21"/>
                <w:highlight w:val="none"/>
              </w:rPr>
            </w:pPr>
          </w:p>
        </w:tc>
        <w:tc>
          <w:tcPr>
            <w:tcW w:w="7041" w:type="dxa"/>
            <w:tcBorders>
              <w:top w:val="nil"/>
              <w:left w:val="nil"/>
              <w:bottom w:val="single" w:color="auto" w:sz="4" w:space="0"/>
              <w:right w:val="single" w:color="auto" w:sz="4" w:space="0"/>
            </w:tcBorders>
            <w:shd w:val="clear" w:color="auto" w:fill="FFFF00"/>
            <w:vAlign w:val="center"/>
          </w:tcPr>
          <w:p w14:paraId="7D0EC842">
            <w:pPr>
              <w:keepNext w:val="0"/>
              <w:keepLines w:val="0"/>
              <w:widowControl/>
              <w:suppressLineNumbers w:val="0"/>
              <w:spacing w:before="0" w:beforeAutospacing="0" w:after="0" w:afterAutospacing="0" w:line="500" w:lineRule="exact"/>
              <w:ind w:left="0" w:right="0"/>
              <w:jc w:val="left"/>
              <w:rPr>
                <w:rFonts w:hint="eastAsia" w:ascii="仿宋_GB2312" w:hAnsi="宋体" w:eastAsia="仿宋_GB2312" w:cs="宋体"/>
                <w:color w:val="000000"/>
                <w:kern w:val="0"/>
                <w:szCs w:val="21"/>
                <w:highlight w:val="none"/>
                <w:lang w:eastAsia="zh-CN"/>
              </w:rPr>
            </w:pPr>
            <w:r>
              <w:rPr>
                <w:rFonts w:hint="default" w:ascii="仿宋_GB2312" w:hAnsi="宋体" w:eastAsia="仿宋_GB2312" w:cs="宋体"/>
                <w:color w:val="000000"/>
                <w:kern w:val="0"/>
                <w:szCs w:val="21"/>
                <w:highlight w:val="none"/>
              </w:rPr>
              <w:t>4</w:t>
            </w:r>
            <w:r>
              <w:rPr>
                <w:rFonts w:hint="eastAsia" w:ascii="仿宋_GB2312" w:hAnsi="宋体" w:eastAsia="仿宋_GB2312" w:cs="宋体"/>
                <w:color w:val="000000"/>
                <w:kern w:val="0"/>
                <w:szCs w:val="21"/>
                <w:highlight w:val="none"/>
              </w:rPr>
              <w:t>）实施过程：根据投标人提供的实施方案进行评审；实施</w:t>
            </w:r>
            <w:r>
              <w:rPr>
                <w:rFonts w:hint="eastAsia" w:ascii="仿宋_GB2312" w:hAnsi="新宋体" w:eastAsia="仿宋_GB2312" w:cs="宋体"/>
                <w:color w:val="000000"/>
                <w:kern w:val="0"/>
                <w:szCs w:val="21"/>
                <w:highlight w:val="none"/>
              </w:rPr>
              <w:t>方案应当具有针对性、可操作性且完整具体，包括传播方案、责任分工</w:t>
            </w:r>
            <w:r>
              <w:rPr>
                <w:rFonts w:hint="eastAsia" w:ascii="仿宋_GB2312" w:hAnsi="宋体" w:eastAsia="仿宋_GB2312" w:cs="宋体"/>
                <w:color w:val="000000"/>
                <w:kern w:val="0"/>
                <w:szCs w:val="21"/>
                <w:highlight w:val="none"/>
              </w:rPr>
              <w:t>、</w:t>
            </w:r>
            <w:r>
              <w:rPr>
                <w:rFonts w:hint="eastAsia" w:ascii="仿宋_GB2312" w:hAnsi="新宋体" w:eastAsia="仿宋_GB2312" w:cs="宋体"/>
                <w:color w:val="000000"/>
                <w:kern w:val="0"/>
                <w:szCs w:val="21"/>
                <w:highlight w:val="none"/>
              </w:rPr>
              <w:t>项目推进周期、配合协调事项、应急方案以及质量问题解决方法及补救措施等具体分类；传播内容应契合活动调性，规划清晰，传播效果有保证，对提升品牌声量和行业口碑具有较好的促进作用；成品交付或执行过程的所有</w:t>
            </w:r>
            <w:r>
              <w:rPr>
                <w:rFonts w:hint="eastAsia" w:ascii="仿宋_GB2312" w:hAnsi="宋体" w:eastAsia="仿宋_GB2312" w:cs="宋体"/>
                <w:color w:val="000000"/>
                <w:kern w:val="0"/>
                <w:szCs w:val="21"/>
                <w:highlight w:val="none"/>
              </w:rPr>
              <w:t>实施方案每有不合理、不完善、无针对性的酌情扣分。本项最高得</w:t>
            </w:r>
            <w:r>
              <w:rPr>
                <w:rFonts w:hint="eastAsia" w:ascii="仿宋_GB2312" w:hAnsi="宋体" w:eastAsia="仿宋_GB2312" w:cs="宋体"/>
                <w:color w:val="000000"/>
                <w:kern w:val="0"/>
                <w:szCs w:val="21"/>
                <w:highlight w:val="none"/>
                <w:lang w:val="en-US" w:eastAsia="zh-CN"/>
              </w:rPr>
              <w:t>30</w:t>
            </w:r>
            <w:r>
              <w:rPr>
                <w:rFonts w:hint="eastAsia" w:ascii="仿宋_GB2312" w:hAnsi="宋体" w:eastAsia="仿宋_GB2312" w:cs="宋体"/>
                <w:color w:val="000000"/>
                <w:kern w:val="0"/>
                <w:szCs w:val="21"/>
                <w:highlight w:val="none"/>
              </w:rPr>
              <w:t>分</w:t>
            </w:r>
            <w:r>
              <w:rPr>
                <w:rFonts w:hint="eastAsia" w:ascii="仿宋_GB2312" w:hAnsi="宋体" w:eastAsia="仿宋_GB2312" w:cs="宋体"/>
                <w:color w:val="000000"/>
                <w:kern w:val="0"/>
                <w:szCs w:val="21"/>
                <w:highlight w:val="none"/>
                <w:lang w:eastAsia="zh-CN"/>
              </w:rPr>
              <w:t>。</w:t>
            </w:r>
          </w:p>
        </w:tc>
        <w:tc>
          <w:tcPr>
            <w:tcW w:w="917" w:type="dxa"/>
            <w:vMerge w:val="continue"/>
            <w:tcBorders>
              <w:top w:val="nil"/>
              <w:left w:val="single" w:color="auto" w:sz="4" w:space="0"/>
              <w:bottom w:val="single" w:color="auto" w:sz="4" w:space="0"/>
              <w:right w:val="single" w:color="auto" w:sz="4" w:space="0"/>
            </w:tcBorders>
            <w:shd w:val="clear" w:color="auto" w:fill="FFFF00"/>
            <w:vAlign w:val="center"/>
          </w:tcPr>
          <w:p w14:paraId="3B2592EC">
            <w:pPr>
              <w:keepNext w:val="0"/>
              <w:keepLines w:val="0"/>
              <w:widowControl/>
              <w:suppressLineNumbers w:val="0"/>
              <w:spacing w:before="0" w:beforeAutospacing="0" w:after="0" w:afterAutospacing="0" w:line="500" w:lineRule="exact"/>
              <w:ind w:left="0" w:right="0"/>
              <w:jc w:val="left"/>
              <w:rPr>
                <w:rFonts w:hint="eastAsia" w:ascii="仿宋_GB2312" w:hAnsi="宋体" w:eastAsia="仿宋_GB2312" w:cs="宋体"/>
                <w:color w:val="000000"/>
                <w:kern w:val="0"/>
                <w:sz w:val="24"/>
                <w:szCs w:val="24"/>
                <w:highlight w:val="none"/>
              </w:rPr>
            </w:pPr>
          </w:p>
        </w:tc>
      </w:tr>
    </w:tbl>
    <w:p w14:paraId="362A23D5">
      <w:pPr>
        <w:spacing w:line="460" w:lineRule="exact"/>
        <w:rPr>
          <w:rFonts w:hint="eastAsia" w:ascii="仿宋" w:hAnsi="仿宋" w:eastAsia="仿宋" w:cs="仿宋"/>
          <w:b/>
          <w:sz w:val="24"/>
          <w:szCs w:val="24"/>
        </w:rPr>
      </w:pPr>
      <w:r>
        <w:rPr>
          <w:rFonts w:hint="eastAsia" w:ascii="仿宋" w:hAnsi="仿宋" w:eastAsia="仿宋" w:cs="仿宋"/>
          <w:b/>
          <w:sz w:val="24"/>
          <w:szCs w:val="24"/>
        </w:rPr>
        <w:t>七、</w:t>
      </w:r>
      <w:bookmarkStart w:id="4" w:name="_Hlk97553318"/>
      <w:r>
        <w:rPr>
          <w:rFonts w:hint="eastAsia" w:ascii="仿宋" w:hAnsi="仿宋" w:eastAsia="仿宋" w:cs="仿宋"/>
          <w:b/>
          <w:sz w:val="24"/>
          <w:szCs w:val="24"/>
        </w:rPr>
        <w:t>投标书</w:t>
      </w:r>
    </w:p>
    <w:bookmarkEnd w:id="4"/>
    <w:p w14:paraId="79C51E61">
      <w:pPr>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1、资质文件</w:t>
      </w:r>
      <w:r>
        <w:rPr>
          <w:rFonts w:hint="eastAsia" w:ascii="仿宋" w:hAnsi="仿宋" w:eastAsia="仿宋" w:cs="仿宋"/>
          <w:sz w:val="24"/>
          <w:szCs w:val="24"/>
        </w:rPr>
        <w:t>：</w:t>
      </w:r>
    </w:p>
    <w:p w14:paraId="78E553CE">
      <w:pPr>
        <w:pStyle w:val="19"/>
        <w:spacing w:line="460" w:lineRule="exact"/>
        <w:ind w:firstLine="560"/>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w:t>
      </w:r>
      <w:r>
        <w:rPr>
          <w:rFonts w:hint="eastAsia" w:ascii="仿宋" w:hAnsi="仿宋" w:eastAsia="仿宋" w:cs="仿宋"/>
          <w:sz w:val="24"/>
          <w:szCs w:val="24"/>
        </w:rPr>
        <w:t>投标人基本情况表，附带投标人三证合一的营业执照副本复印件（加盖单位公章）。</w:t>
      </w:r>
    </w:p>
    <w:p w14:paraId="76A18460">
      <w:pPr>
        <w:pStyle w:val="19"/>
        <w:spacing w:line="460" w:lineRule="exact"/>
        <w:ind w:firstLine="560"/>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lang w:eastAsia="zh-CN"/>
        </w:rPr>
        <w:t>）</w:t>
      </w:r>
      <w:r>
        <w:rPr>
          <w:rFonts w:hint="eastAsia" w:ascii="仿宋" w:hAnsi="仿宋" w:eastAsia="仿宋" w:cs="仿宋"/>
          <w:sz w:val="24"/>
          <w:szCs w:val="24"/>
        </w:rPr>
        <w:t>法定代表人资格等相关证明、授权委托书原件。若不是法定代表人参加，需有法定代表人授权委托书原件、法定代表人身份证及被委托人身份证复印件（均加盖公章），投标人或被委托人应携带授权委托书原件、身份证原件备查。</w:t>
      </w:r>
    </w:p>
    <w:p w14:paraId="7FF8B5C7">
      <w:pPr>
        <w:pStyle w:val="19"/>
        <w:spacing w:line="460" w:lineRule="exact"/>
        <w:ind w:firstLine="56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（3）投标保证金缴纳凭证，同时正文描述付款账号、户名、开户行名称、开户行行号、保证金金额。</w:t>
      </w:r>
    </w:p>
    <w:p w14:paraId="1F2AD665">
      <w:pPr>
        <w:pStyle w:val="19"/>
        <w:spacing w:line="460" w:lineRule="exact"/>
        <w:ind w:firstLine="56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4</w:t>
      </w:r>
      <w:r>
        <w:rPr>
          <w:rFonts w:hint="eastAsia" w:ascii="仿宋" w:hAnsi="仿宋" w:eastAsia="仿宋" w:cs="仿宋"/>
          <w:sz w:val="24"/>
          <w:szCs w:val="24"/>
        </w:rPr>
        <w:t>）证明投标人资格条件的其他材料，可附上。</w:t>
      </w:r>
    </w:p>
    <w:p w14:paraId="40F59DAD">
      <w:pPr>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2、商务文件：</w:t>
      </w:r>
    </w:p>
    <w:p w14:paraId="36BEA27F">
      <w:pPr>
        <w:pStyle w:val="19"/>
        <w:spacing w:line="460" w:lineRule="exact"/>
        <w:ind w:firstLine="560"/>
        <w:rPr>
          <w:rFonts w:hint="eastAsia" w:ascii="仿宋" w:hAnsi="仿宋" w:eastAsia="仿宋" w:cs="仿宋"/>
          <w:sz w:val="24"/>
          <w:szCs w:val="24"/>
          <w:highlight w:val="none"/>
        </w:rPr>
      </w:pPr>
      <w:r>
        <w:rPr>
          <w:rFonts w:hint="eastAsia" w:ascii="仿宋" w:hAnsi="仿宋" w:eastAsia="仿宋" w:cs="仿宋"/>
          <w:sz w:val="24"/>
          <w:szCs w:val="24"/>
          <w:lang w:val="en-US" w:eastAsia="zh-CN"/>
        </w:rPr>
        <w:t>（1）</w:t>
      </w:r>
      <w:r>
        <w:rPr>
          <w:rFonts w:hint="eastAsia" w:ascii="仿宋" w:hAnsi="仿宋" w:eastAsia="仿宋" w:cs="仿宋"/>
          <w:sz w:val="24"/>
          <w:szCs w:val="24"/>
          <w:highlight w:val="none"/>
          <w:lang w:val="en-US" w:eastAsia="zh-CN"/>
        </w:rPr>
        <w:t>开标</w:t>
      </w:r>
      <w:r>
        <w:rPr>
          <w:rFonts w:hint="eastAsia" w:ascii="仿宋" w:hAnsi="仿宋" w:eastAsia="仿宋" w:cs="仿宋"/>
          <w:sz w:val="24"/>
          <w:szCs w:val="24"/>
          <w:lang w:val="en-US" w:eastAsia="zh-CN"/>
        </w:rPr>
        <w:t>一览表</w:t>
      </w:r>
      <w:r>
        <w:rPr>
          <w:rFonts w:hint="eastAsia" w:ascii="仿宋" w:hAnsi="仿宋" w:eastAsia="仿宋" w:cs="仿宋"/>
          <w:sz w:val="24"/>
          <w:szCs w:val="24"/>
          <w:highlight w:val="none"/>
        </w:rPr>
        <w:t>；</w:t>
      </w:r>
    </w:p>
    <w:p w14:paraId="0167F81C">
      <w:pPr>
        <w:pStyle w:val="19"/>
        <w:spacing w:line="460" w:lineRule="exact"/>
        <w:ind w:firstLine="56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（2）投标函；</w:t>
      </w:r>
    </w:p>
    <w:p w14:paraId="76242566">
      <w:pPr>
        <w:pStyle w:val="19"/>
        <w:spacing w:line="460" w:lineRule="exact"/>
        <w:ind w:firstLine="56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（4）分项报价表；</w:t>
      </w:r>
    </w:p>
    <w:p w14:paraId="5BA27EED">
      <w:pPr>
        <w:pStyle w:val="19"/>
        <w:spacing w:line="460" w:lineRule="exact"/>
        <w:ind w:firstLine="560"/>
        <w:rPr>
          <w:rFonts w:hint="eastAsia" w:ascii="仿宋" w:hAnsi="仿宋" w:eastAsia="仿宋" w:cs="仿宋"/>
          <w:sz w:val="24"/>
          <w:szCs w:val="24"/>
          <w:lang w:eastAsia="zh-CN"/>
        </w:rPr>
      </w:pPr>
      <w:r>
        <w:rPr>
          <w:rFonts w:hint="eastAsia" w:ascii="仿宋" w:hAnsi="仿宋" w:eastAsia="仿宋" w:cs="仿宋"/>
          <w:sz w:val="24"/>
          <w:szCs w:val="24"/>
          <w:lang w:val="en-US" w:eastAsia="zh-CN"/>
        </w:rPr>
        <w:t>（5）</w:t>
      </w:r>
      <w:r>
        <w:rPr>
          <w:rFonts w:hint="eastAsia" w:ascii="仿宋" w:hAnsi="仿宋" w:eastAsia="仿宋" w:cs="仿宋"/>
          <w:sz w:val="24"/>
          <w:szCs w:val="24"/>
        </w:rPr>
        <w:t>项目策划方案</w:t>
      </w:r>
      <w:r>
        <w:rPr>
          <w:rFonts w:hint="eastAsia" w:ascii="仿宋" w:hAnsi="仿宋" w:eastAsia="仿宋" w:cs="仿宋"/>
          <w:sz w:val="24"/>
          <w:szCs w:val="24"/>
          <w:lang w:eastAsia="zh-CN"/>
        </w:rPr>
        <w:t>。</w:t>
      </w:r>
    </w:p>
    <w:p w14:paraId="2AB224DF">
      <w:pPr>
        <w:pStyle w:val="3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outlineLvl w:val="3"/>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投标方式</w:t>
      </w:r>
    </w:p>
    <w:p w14:paraId="2079F016">
      <w:pPr>
        <w:pStyle w:val="3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在中国重汽e采通平台应标成功后，进入“供应商投标”环节，投递盖章扫描版电子标书（包含资质标书、商务标书）</w:t>
      </w:r>
      <w:r>
        <w:rPr>
          <w:rFonts w:hint="eastAsia" w:ascii="仿宋" w:hAnsi="仿宋" w:eastAsia="仿宋" w:cs="仿宋"/>
          <w:sz w:val="24"/>
          <w:szCs w:val="24"/>
        </w:rPr>
        <w:t>，</w:t>
      </w:r>
      <w:r>
        <w:rPr>
          <w:rFonts w:hint="eastAsia" w:ascii="仿宋" w:hAnsi="仿宋" w:eastAsia="仿宋" w:cs="仿宋"/>
          <w:color w:val="auto"/>
          <w:sz w:val="24"/>
          <w:szCs w:val="24"/>
          <w:lang w:val="en-US" w:eastAsia="zh-CN"/>
        </w:rPr>
        <w:t>用“公司名称+文件名称”命名。</w:t>
      </w:r>
      <w:r>
        <w:rPr>
          <w:rFonts w:hint="eastAsia" w:ascii="仿宋" w:hAnsi="仿宋" w:eastAsia="仿宋" w:cs="仿宋"/>
          <w:b/>
          <w:bCs/>
          <w:color w:val="auto"/>
          <w:sz w:val="24"/>
          <w:szCs w:val="24"/>
          <w:lang w:val="en-US" w:eastAsia="zh-CN"/>
        </w:rPr>
        <w:t>若逾期未在中国重汽e采通平台上传电子标书，即便递交了纸质版投标文件，一律视为无效投标。</w:t>
      </w:r>
    </w:p>
    <w:p w14:paraId="4AAA3F9B">
      <w:pPr>
        <w:pStyle w:val="34"/>
        <w:keepNext w:val="0"/>
        <w:keepLines w:val="0"/>
        <w:pageBreakBefore w:val="0"/>
        <w:widowControl w:val="0"/>
        <w:numPr>
          <w:ilvl w:val="0"/>
          <w:numId w:val="0"/>
        </w:numPr>
        <w:kinsoku/>
        <w:wordWrap/>
        <w:overflowPunct/>
        <w:topLinePunct w:val="0"/>
        <w:autoSpaceDE/>
        <w:autoSpaceDN/>
        <w:bidi w:val="0"/>
        <w:adjustRightInd/>
        <w:snapToGrid/>
        <w:spacing w:before="79" w:beforeLines="25" w:line="440" w:lineRule="exact"/>
        <w:ind w:leftChars="0"/>
        <w:textAlignment w:val="auto"/>
        <w:outlineLvl w:val="3"/>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投标文件</w:t>
      </w:r>
      <w:r>
        <w:rPr>
          <w:rFonts w:hint="eastAsia" w:ascii="仿宋" w:hAnsi="仿宋" w:eastAsia="仿宋" w:cs="仿宋"/>
          <w:sz w:val="24"/>
          <w:szCs w:val="24"/>
          <w:highlight w:val="none"/>
          <w:lang w:val="en-US" w:eastAsia="zh-CN"/>
        </w:rPr>
        <w:t>递交</w:t>
      </w:r>
      <w:r>
        <w:rPr>
          <w:rFonts w:hint="eastAsia" w:ascii="仿宋" w:hAnsi="仿宋" w:eastAsia="仿宋" w:cs="仿宋"/>
          <w:sz w:val="24"/>
          <w:szCs w:val="24"/>
          <w:lang w:val="en-US" w:eastAsia="zh-CN"/>
        </w:rPr>
        <w:t>截止时间：</w:t>
      </w:r>
      <w:r>
        <w:rPr>
          <w:rFonts w:hint="eastAsia" w:ascii="仿宋" w:hAnsi="仿宋" w:eastAsia="仿宋" w:cs="仿宋"/>
          <w:sz w:val="24"/>
          <w:szCs w:val="24"/>
          <w:u w:val="single"/>
          <w:lang w:val="en-US" w:eastAsia="zh-CN"/>
        </w:rPr>
        <w:t>2026年</w:t>
      </w:r>
      <w:r>
        <w:rPr>
          <w:rFonts w:hint="eastAsia" w:ascii="仿宋" w:hAnsi="仿宋" w:eastAsia="仿宋" w:cs="仿宋"/>
          <w:sz w:val="24"/>
          <w:szCs w:val="24"/>
          <w:highlight w:val="none"/>
          <w:u w:val="single"/>
          <w:lang w:val="en-US" w:eastAsia="zh-CN"/>
        </w:rPr>
        <w:t>12月10日</w:t>
      </w:r>
      <w:r>
        <w:rPr>
          <w:rFonts w:hint="eastAsia" w:ascii="仿宋" w:hAnsi="仿宋" w:eastAsia="仿宋" w:cs="仿宋"/>
          <w:sz w:val="24"/>
          <w:szCs w:val="24"/>
          <w:u w:val="single"/>
          <w:lang w:val="en-US" w:eastAsia="zh-CN"/>
        </w:rPr>
        <w:t>9:00:00（</w:t>
      </w:r>
      <w:r>
        <w:rPr>
          <w:rFonts w:hint="eastAsia" w:ascii="仿宋" w:hAnsi="仿宋" w:eastAsia="仿宋" w:cs="仿宋"/>
          <w:sz w:val="24"/>
          <w:szCs w:val="24"/>
          <w:highlight w:val="none"/>
          <w:u w:val="single"/>
          <w:lang w:val="en-US" w:eastAsia="zh-CN"/>
        </w:rPr>
        <w:t>北京时间）</w:t>
      </w:r>
    </w:p>
    <w:p w14:paraId="25974AAC">
      <w:pPr>
        <w:pStyle w:val="33"/>
        <w:keepNext w:val="0"/>
        <w:keepLines w:val="0"/>
        <w:pageBreakBefore w:val="0"/>
        <w:widowControl w:val="0"/>
        <w:numPr>
          <w:ilvl w:val="0"/>
          <w:numId w:val="0"/>
        </w:numPr>
        <w:kinsoku/>
        <w:wordWrap/>
        <w:overflowPunct/>
        <w:topLinePunct w:val="0"/>
        <w:autoSpaceDE/>
        <w:autoSpaceDN/>
        <w:bidi w:val="0"/>
        <w:adjustRightInd/>
        <w:snapToGrid/>
        <w:spacing w:before="313" w:beforeLines="100" w:after="157" w:afterLines="50" w:line="480" w:lineRule="exact"/>
        <w:ind w:leftChars="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lang w:val="en-US" w:eastAsia="zh-CN"/>
        </w:rPr>
        <w:t>八、</w:t>
      </w:r>
      <w:bookmarkStart w:id="5" w:name="_Toc47976601"/>
      <w:r>
        <w:rPr>
          <w:rFonts w:hint="eastAsia" w:ascii="仿宋" w:hAnsi="仿宋" w:eastAsia="仿宋" w:cs="仿宋"/>
          <w:sz w:val="24"/>
          <w:szCs w:val="24"/>
          <w:highlight w:val="none"/>
        </w:rPr>
        <w:t>投标保证金</w:t>
      </w:r>
      <w:r>
        <w:rPr>
          <w:rFonts w:hint="eastAsia" w:ascii="仿宋" w:hAnsi="仿宋" w:eastAsia="仿宋" w:cs="仿宋"/>
          <w:sz w:val="24"/>
          <w:szCs w:val="24"/>
          <w:highlight w:val="none"/>
          <w:lang w:val="en-US" w:eastAsia="zh-CN"/>
        </w:rPr>
        <w:t>收取</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缴纳</w:t>
      </w:r>
      <w:r>
        <w:rPr>
          <w:rFonts w:hint="eastAsia" w:ascii="仿宋" w:hAnsi="仿宋" w:eastAsia="仿宋" w:cs="仿宋"/>
          <w:sz w:val="24"/>
          <w:szCs w:val="24"/>
          <w:highlight w:val="none"/>
        </w:rPr>
        <w:t>有效期</w:t>
      </w:r>
      <w:r>
        <w:rPr>
          <w:rFonts w:hint="eastAsia" w:ascii="仿宋" w:hAnsi="仿宋" w:eastAsia="仿宋" w:cs="仿宋"/>
          <w:sz w:val="24"/>
          <w:szCs w:val="24"/>
          <w:highlight w:val="none"/>
          <w:lang w:val="en-US" w:eastAsia="zh-CN"/>
        </w:rPr>
        <w:t>及罚没</w:t>
      </w:r>
    </w:p>
    <w:p w14:paraId="071E67B8">
      <w:pPr>
        <w:pStyle w:val="33"/>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440" w:lineRule="exact"/>
        <w:ind w:leftChars="0"/>
        <w:textAlignment w:val="auto"/>
        <w:outlineLvl w:val="9"/>
        <w:rPr>
          <w:rFonts w:hint="eastAsia" w:ascii="仿宋" w:hAnsi="仿宋" w:eastAsia="仿宋" w:cs="仿宋"/>
          <w:b w:val="0"/>
          <w:bCs w:val="0"/>
          <w:sz w:val="24"/>
          <w:szCs w:val="24"/>
          <w:highlight w:val="none"/>
          <w:u w:val="single"/>
          <w:lang w:val="en-US" w:eastAsia="zh-CN"/>
        </w:rPr>
      </w:pPr>
      <w:r>
        <w:rPr>
          <w:rFonts w:hint="eastAsia" w:ascii="仿宋" w:hAnsi="仿宋" w:eastAsia="仿宋" w:cs="仿宋"/>
          <w:b w:val="0"/>
          <w:bCs w:val="0"/>
          <w:sz w:val="24"/>
          <w:szCs w:val="24"/>
          <w:highlight w:val="none"/>
          <w:lang w:val="en-US" w:eastAsia="zh-CN"/>
        </w:rPr>
        <w:t>1、</w:t>
      </w:r>
      <w:r>
        <w:rPr>
          <w:rFonts w:hint="eastAsia" w:ascii="仿宋" w:hAnsi="仿宋" w:eastAsia="仿宋" w:cs="仿宋"/>
          <w:b w:val="0"/>
          <w:bCs w:val="0"/>
          <w:sz w:val="24"/>
          <w:szCs w:val="24"/>
          <w:highlight w:val="none"/>
        </w:rPr>
        <w:t>投标保证金的缴纳</w:t>
      </w:r>
    </w:p>
    <w:p w14:paraId="021ADBC0">
      <w:pPr>
        <w:pStyle w:val="3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outlineLvl w:val="9"/>
        <w:rPr>
          <w:rFonts w:hint="eastAsia" w:ascii="仿宋" w:hAnsi="仿宋" w:eastAsia="仿宋" w:cs="仿宋"/>
          <w:b w:val="0"/>
          <w:bCs w:val="0"/>
          <w:sz w:val="24"/>
          <w:szCs w:val="24"/>
          <w:highlight w:val="none"/>
          <w:u w:val="single"/>
          <w:lang w:val="en-US" w:eastAsia="zh-CN"/>
        </w:rPr>
      </w:pPr>
      <w:r>
        <w:rPr>
          <w:rFonts w:hint="eastAsia" w:ascii="仿宋" w:hAnsi="仿宋" w:eastAsia="仿宋" w:cs="仿宋"/>
          <w:b w:val="0"/>
          <w:bCs w:val="0"/>
          <w:sz w:val="24"/>
          <w:szCs w:val="24"/>
          <w:highlight w:val="none"/>
          <w:lang w:eastAsia="zh-CN"/>
        </w:rPr>
        <w:t>（</w:t>
      </w:r>
      <w:r>
        <w:rPr>
          <w:rFonts w:hint="eastAsia" w:ascii="仿宋" w:hAnsi="仿宋" w:eastAsia="仿宋" w:cs="仿宋"/>
          <w:b w:val="0"/>
          <w:bCs w:val="0"/>
          <w:sz w:val="24"/>
          <w:szCs w:val="24"/>
          <w:highlight w:val="none"/>
          <w:lang w:val="en-US" w:eastAsia="zh-CN"/>
        </w:rPr>
        <w:t>1</w:t>
      </w:r>
      <w:r>
        <w:rPr>
          <w:rFonts w:hint="eastAsia" w:ascii="仿宋" w:hAnsi="仿宋" w:eastAsia="仿宋" w:cs="仿宋"/>
          <w:b w:val="0"/>
          <w:bCs w:val="0"/>
          <w:sz w:val="24"/>
          <w:szCs w:val="24"/>
          <w:highlight w:val="none"/>
          <w:lang w:eastAsia="zh-CN"/>
        </w:rPr>
        <w:t>）</w:t>
      </w:r>
      <w:r>
        <w:rPr>
          <w:rFonts w:hint="eastAsia" w:ascii="仿宋" w:hAnsi="仿宋" w:eastAsia="仿宋" w:cs="仿宋"/>
          <w:b w:val="0"/>
          <w:bCs w:val="0"/>
          <w:sz w:val="24"/>
          <w:szCs w:val="24"/>
          <w:highlight w:val="none"/>
        </w:rPr>
        <w:t>投标保证金</w:t>
      </w:r>
      <w:r>
        <w:rPr>
          <w:rFonts w:hint="eastAsia" w:ascii="仿宋" w:hAnsi="仿宋" w:eastAsia="仿宋" w:cs="仿宋"/>
          <w:b w:val="0"/>
          <w:bCs w:val="0"/>
          <w:sz w:val="24"/>
          <w:szCs w:val="24"/>
          <w:highlight w:val="none"/>
          <w:lang w:val="en-US" w:eastAsia="zh-CN"/>
        </w:rPr>
        <w:t>的缴纳</w:t>
      </w:r>
      <w:r>
        <w:rPr>
          <w:rFonts w:hint="eastAsia" w:ascii="仿宋" w:hAnsi="仿宋" w:eastAsia="仿宋" w:cs="仿宋"/>
          <w:b w:val="0"/>
          <w:bCs w:val="0"/>
          <w:sz w:val="24"/>
          <w:szCs w:val="24"/>
          <w:highlight w:val="none"/>
        </w:rPr>
        <w:t>形式：</w:t>
      </w:r>
      <w:r>
        <w:rPr>
          <w:rFonts w:hint="eastAsia" w:ascii="仿宋" w:hAnsi="仿宋" w:eastAsia="仿宋" w:cs="仿宋"/>
          <w:b w:val="0"/>
          <w:bCs w:val="0"/>
          <w:sz w:val="24"/>
          <w:szCs w:val="24"/>
          <w:highlight w:val="none"/>
          <w:u w:val="single"/>
          <w:lang w:val="en-US" w:eastAsia="zh-CN"/>
        </w:rPr>
        <w:t>提交银行投标保函或从银行基本账户转账</w:t>
      </w:r>
    </w:p>
    <w:p w14:paraId="7767E796">
      <w:pPr>
        <w:pStyle w:val="3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outlineLvl w:val="9"/>
        <w:rPr>
          <w:rFonts w:hint="eastAsia" w:ascii="仿宋" w:hAnsi="仿宋" w:eastAsia="仿宋" w:cs="仿宋"/>
          <w:b w:val="0"/>
          <w:bCs w:val="0"/>
          <w:sz w:val="24"/>
          <w:szCs w:val="24"/>
          <w:highlight w:val="none"/>
          <w:u w:val="single"/>
          <w:lang w:val="en-US" w:eastAsia="zh-CN"/>
        </w:rPr>
      </w:pPr>
      <w:r>
        <w:rPr>
          <w:rFonts w:hint="eastAsia" w:ascii="仿宋" w:hAnsi="仿宋" w:eastAsia="仿宋" w:cs="仿宋"/>
          <w:b w:val="0"/>
          <w:bCs w:val="0"/>
          <w:sz w:val="24"/>
          <w:szCs w:val="24"/>
          <w:highlight w:val="none"/>
          <w:lang w:val="en-US" w:eastAsia="zh-CN"/>
        </w:rPr>
        <w:t>选择</w:t>
      </w:r>
      <w:r>
        <w:rPr>
          <w:rFonts w:hint="eastAsia" w:ascii="仿宋" w:hAnsi="仿宋" w:eastAsia="仿宋" w:cs="仿宋"/>
          <w:b w:val="0"/>
          <w:bCs w:val="0"/>
          <w:sz w:val="24"/>
          <w:szCs w:val="24"/>
          <w:highlight w:val="none"/>
        </w:rPr>
        <w:t>提交银行投标保函的</w:t>
      </w:r>
      <w:r>
        <w:rPr>
          <w:rFonts w:hint="eastAsia" w:ascii="仿宋" w:hAnsi="仿宋" w:eastAsia="仿宋" w:cs="仿宋"/>
          <w:b w:val="0"/>
          <w:bCs w:val="0"/>
          <w:sz w:val="24"/>
          <w:szCs w:val="24"/>
          <w:highlight w:val="none"/>
          <w:lang w:val="en-US" w:eastAsia="zh-CN"/>
        </w:rPr>
        <w:t>拟</w:t>
      </w:r>
      <w:r>
        <w:rPr>
          <w:rFonts w:hint="eastAsia" w:ascii="仿宋" w:hAnsi="仿宋" w:eastAsia="仿宋" w:cs="仿宋"/>
          <w:b w:val="0"/>
          <w:bCs w:val="0"/>
          <w:sz w:val="24"/>
          <w:szCs w:val="24"/>
          <w:highlight w:val="none"/>
        </w:rPr>
        <w:t>投标人，应在开标时提交投标保函正本，作为《投标文件》的一部分，该投标保函应是不可撤销的“见索即付”保函，保函有效期应满足投标有效期要求，</w:t>
      </w:r>
      <w:r>
        <w:rPr>
          <w:rFonts w:hint="eastAsia" w:ascii="仿宋" w:hAnsi="仿宋" w:eastAsia="仿宋" w:cs="仿宋"/>
          <w:b w:val="0"/>
          <w:bCs w:val="0"/>
          <w:sz w:val="24"/>
          <w:szCs w:val="24"/>
          <w:highlight w:val="none"/>
          <w:lang w:val="en-US" w:eastAsia="zh-CN"/>
        </w:rPr>
        <w:t>由招标人</w:t>
      </w:r>
      <w:r>
        <w:rPr>
          <w:rFonts w:hint="eastAsia" w:ascii="仿宋" w:hAnsi="仿宋" w:eastAsia="仿宋" w:cs="仿宋"/>
          <w:b w:val="0"/>
          <w:bCs w:val="0"/>
          <w:sz w:val="24"/>
          <w:szCs w:val="24"/>
          <w:highlight w:val="none"/>
        </w:rPr>
        <w:t>留存保函正本</w:t>
      </w:r>
      <w:r>
        <w:rPr>
          <w:rFonts w:hint="eastAsia" w:ascii="仿宋" w:hAnsi="仿宋" w:eastAsia="仿宋" w:cs="仿宋"/>
          <w:b w:val="0"/>
          <w:bCs w:val="0"/>
          <w:sz w:val="24"/>
          <w:szCs w:val="24"/>
          <w:highlight w:val="none"/>
          <w:lang w:eastAsia="zh-CN"/>
        </w:rPr>
        <w:t>。</w:t>
      </w:r>
    </w:p>
    <w:p w14:paraId="25AC0430">
      <w:pPr>
        <w:pStyle w:val="3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outlineLvl w:val="9"/>
        <w:rPr>
          <w:rFonts w:hint="eastAsia" w:ascii="仿宋" w:hAnsi="仿宋" w:eastAsia="仿宋" w:cs="仿宋"/>
          <w:b w:val="0"/>
          <w:bCs w:val="0"/>
          <w:sz w:val="24"/>
          <w:szCs w:val="24"/>
          <w:highlight w:val="none"/>
          <w:u w:val="single"/>
          <w:lang w:val="en-US" w:eastAsia="zh-CN"/>
        </w:rPr>
      </w:pPr>
      <w:r>
        <w:rPr>
          <w:rFonts w:hint="eastAsia" w:ascii="仿宋" w:hAnsi="仿宋" w:eastAsia="仿宋" w:cs="仿宋"/>
          <w:b w:val="0"/>
          <w:bCs w:val="0"/>
          <w:sz w:val="24"/>
          <w:szCs w:val="24"/>
          <w:highlight w:val="none"/>
          <w:lang w:val="en-US" w:eastAsia="zh-CN"/>
        </w:rPr>
        <w:t>选择从银行基本账户转账</w:t>
      </w:r>
      <w:r>
        <w:rPr>
          <w:rFonts w:hint="eastAsia" w:ascii="仿宋" w:hAnsi="仿宋" w:eastAsia="仿宋" w:cs="仿宋"/>
          <w:b w:val="0"/>
          <w:bCs w:val="0"/>
          <w:sz w:val="24"/>
          <w:szCs w:val="24"/>
          <w:highlight w:val="none"/>
        </w:rPr>
        <w:t>的</w:t>
      </w:r>
      <w:r>
        <w:rPr>
          <w:rFonts w:hint="eastAsia" w:ascii="仿宋" w:hAnsi="仿宋" w:eastAsia="仿宋" w:cs="仿宋"/>
          <w:b w:val="0"/>
          <w:bCs w:val="0"/>
          <w:sz w:val="24"/>
          <w:szCs w:val="24"/>
          <w:highlight w:val="none"/>
          <w:lang w:val="en-US" w:eastAsia="zh-CN"/>
        </w:rPr>
        <w:t>拟</w:t>
      </w:r>
      <w:r>
        <w:rPr>
          <w:rFonts w:hint="eastAsia" w:ascii="仿宋" w:hAnsi="仿宋" w:eastAsia="仿宋" w:cs="仿宋"/>
          <w:b w:val="0"/>
          <w:bCs w:val="0"/>
          <w:sz w:val="24"/>
          <w:szCs w:val="24"/>
          <w:highlight w:val="none"/>
        </w:rPr>
        <w:t>投标人</w:t>
      </w:r>
      <w:r>
        <w:rPr>
          <w:rFonts w:hint="eastAsia" w:ascii="仿宋" w:hAnsi="仿宋" w:eastAsia="仿宋" w:cs="仿宋"/>
          <w:b w:val="0"/>
          <w:bCs w:val="0"/>
          <w:sz w:val="24"/>
          <w:szCs w:val="24"/>
          <w:highlight w:val="none"/>
          <w:lang w:eastAsia="zh-CN"/>
        </w:rPr>
        <w:t>，</w:t>
      </w:r>
      <w:r>
        <w:rPr>
          <w:rFonts w:hint="eastAsia" w:ascii="仿宋" w:hAnsi="仿宋" w:eastAsia="仿宋" w:cs="仿宋"/>
          <w:b w:val="0"/>
          <w:bCs w:val="0"/>
          <w:sz w:val="24"/>
          <w:szCs w:val="24"/>
          <w:highlight w:val="none"/>
          <w:lang w:val="en-US" w:eastAsia="zh-CN"/>
        </w:rPr>
        <w:t>须在规定的时间之前</w:t>
      </w:r>
      <w:r>
        <w:rPr>
          <w:rFonts w:hint="eastAsia" w:ascii="仿宋" w:hAnsi="仿宋" w:eastAsia="仿宋" w:cs="仿宋"/>
          <w:b w:val="0"/>
          <w:bCs w:val="0"/>
          <w:sz w:val="24"/>
          <w:szCs w:val="24"/>
          <w:highlight w:val="none"/>
        </w:rPr>
        <w:t>将投标保证金从</w:t>
      </w:r>
      <w:r>
        <w:rPr>
          <w:rFonts w:hint="eastAsia" w:ascii="仿宋" w:hAnsi="仿宋" w:eastAsia="仿宋" w:cs="仿宋"/>
          <w:b w:val="0"/>
          <w:bCs w:val="0"/>
          <w:sz w:val="24"/>
          <w:szCs w:val="24"/>
          <w:highlight w:val="none"/>
          <w:lang w:val="en-US" w:eastAsia="zh-CN"/>
        </w:rPr>
        <w:t>其</w:t>
      </w:r>
      <w:r>
        <w:rPr>
          <w:rFonts w:hint="eastAsia" w:ascii="仿宋" w:hAnsi="仿宋" w:eastAsia="仿宋" w:cs="仿宋"/>
          <w:b w:val="0"/>
          <w:bCs w:val="0"/>
          <w:sz w:val="24"/>
          <w:szCs w:val="24"/>
          <w:highlight w:val="none"/>
        </w:rPr>
        <w:t>单位基本帐户转出并到账，否则</w:t>
      </w:r>
      <w:r>
        <w:rPr>
          <w:rFonts w:hint="eastAsia" w:ascii="仿宋" w:hAnsi="仿宋" w:eastAsia="仿宋" w:cs="仿宋"/>
          <w:b w:val="0"/>
          <w:bCs w:val="0"/>
          <w:sz w:val="24"/>
          <w:szCs w:val="24"/>
          <w:highlight w:val="none"/>
          <w:lang w:val="en-US" w:eastAsia="zh-CN"/>
        </w:rPr>
        <w:t>视为无效投标</w:t>
      </w:r>
      <w:r>
        <w:rPr>
          <w:rFonts w:hint="eastAsia" w:ascii="仿宋" w:hAnsi="仿宋" w:eastAsia="仿宋" w:cs="仿宋"/>
          <w:b w:val="0"/>
          <w:bCs w:val="0"/>
          <w:sz w:val="24"/>
          <w:szCs w:val="24"/>
          <w:highlight w:val="none"/>
        </w:rPr>
        <w:t>；未按规定提交保证金的</w:t>
      </w:r>
      <w:r>
        <w:rPr>
          <w:rFonts w:hint="eastAsia" w:ascii="仿宋" w:hAnsi="仿宋" w:eastAsia="仿宋" w:cs="仿宋"/>
          <w:b w:val="0"/>
          <w:bCs w:val="0"/>
          <w:sz w:val="24"/>
          <w:szCs w:val="24"/>
          <w:highlight w:val="none"/>
          <w:lang w:val="en-US" w:eastAsia="zh-CN"/>
        </w:rPr>
        <w:t>拟</w:t>
      </w:r>
      <w:r>
        <w:rPr>
          <w:rFonts w:hint="eastAsia" w:ascii="仿宋" w:hAnsi="仿宋" w:eastAsia="仿宋" w:cs="仿宋"/>
          <w:b w:val="0"/>
          <w:bCs w:val="0"/>
          <w:sz w:val="24"/>
          <w:szCs w:val="24"/>
          <w:highlight w:val="none"/>
        </w:rPr>
        <w:t>投标人，其投标文件</w:t>
      </w:r>
      <w:r>
        <w:rPr>
          <w:rFonts w:hint="eastAsia" w:ascii="仿宋" w:hAnsi="仿宋" w:eastAsia="仿宋" w:cs="仿宋"/>
          <w:b w:val="0"/>
          <w:bCs w:val="0"/>
          <w:sz w:val="24"/>
          <w:szCs w:val="24"/>
          <w:highlight w:val="none"/>
          <w:lang w:val="en-US" w:eastAsia="zh-CN"/>
        </w:rPr>
        <w:t>视为无效投标</w:t>
      </w:r>
      <w:r>
        <w:rPr>
          <w:rFonts w:hint="eastAsia" w:ascii="仿宋" w:hAnsi="仿宋" w:eastAsia="仿宋" w:cs="仿宋"/>
          <w:b w:val="0"/>
          <w:bCs w:val="0"/>
          <w:sz w:val="24"/>
          <w:szCs w:val="24"/>
          <w:highlight w:val="none"/>
        </w:rPr>
        <w:t>。</w:t>
      </w:r>
      <w:r>
        <w:rPr>
          <w:rFonts w:hint="eastAsia" w:ascii="仿宋" w:hAnsi="仿宋" w:eastAsia="仿宋" w:cs="仿宋"/>
          <w:b w:val="0"/>
          <w:bCs w:val="0"/>
          <w:sz w:val="24"/>
          <w:szCs w:val="24"/>
          <w:highlight w:val="none"/>
          <w:lang w:val="en-US" w:eastAsia="zh-CN"/>
        </w:rPr>
        <w:t>拟投标人</w:t>
      </w:r>
      <w:r>
        <w:rPr>
          <w:rFonts w:hint="eastAsia" w:ascii="仿宋" w:hAnsi="仿宋" w:eastAsia="仿宋" w:cs="仿宋"/>
          <w:b w:val="0"/>
          <w:bCs w:val="0"/>
          <w:sz w:val="24"/>
          <w:szCs w:val="24"/>
          <w:highlight w:val="none"/>
        </w:rPr>
        <w:t>应充分考虑银行信息交换时间，由此带来的保证金不能按时到帐的责任由</w:t>
      </w:r>
      <w:r>
        <w:rPr>
          <w:rFonts w:hint="eastAsia" w:ascii="仿宋" w:hAnsi="仿宋" w:eastAsia="仿宋" w:cs="仿宋"/>
          <w:b w:val="0"/>
          <w:bCs w:val="0"/>
          <w:sz w:val="24"/>
          <w:szCs w:val="24"/>
          <w:highlight w:val="none"/>
          <w:lang w:val="en-US" w:eastAsia="zh-CN"/>
        </w:rPr>
        <w:t>拟投标人</w:t>
      </w:r>
      <w:r>
        <w:rPr>
          <w:rFonts w:hint="eastAsia" w:ascii="仿宋" w:hAnsi="仿宋" w:eastAsia="仿宋" w:cs="仿宋"/>
          <w:b w:val="0"/>
          <w:bCs w:val="0"/>
          <w:sz w:val="24"/>
          <w:szCs w:val="24"/>
          <w:highlight w:val="none"/>
        </w:rPr>
        <w:t>自行承担</w:t>
      </w:r>
      <w:r>
        <w:rPr>
          <w:rFonts w:hint="eastAsia" w:ascii="仿宋" w:hAnsi="仿宋" w:eastAsia="仿宋" w:cs="仿宋"/>
          <w:b w:val="0"/>
          <w:bCs w:val="0"/>
          <w:sz w:val="24"/>
          <w:szCs w:val="24"/>
          <w:highlight w:val="none"/>
          <w:lang w:eastAsia="zh-CN"/>
        </w:rPr>
        <w:t>。</w:t>
      </w:r>
    </w:p>
    <w:p w14:paraId="04CD311F">
      <w:pPr>
        <w:pStyle w:val="3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outlineLvl w:val="9"/>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投标保证金的金额：人民币</w:t>
      </w:r>
      <w:r>
        <w:rPr>
          <w:rFonts w:hint="eastAsia" w:ascii="仿宋" w:hAnsi="仿宋" w:eastAsia="仿宋" w:cs="仿宋"/>
          <w:sz w:val="24"/>
          <w:szCs w:val="24"/>
          <w:highlight w:val="none"/>
          <w:lang w:val="en-US" w:eastAsia="zh-CN"/>
        </w:rPr>
        <w:t>10000</w:t>
      </w:r>
      <w:r>
        <w:rPr>
          <w:rFonts w:hint="eastAsia" w:ascii="仿宋" w:hAnsi="仿宋" w:eastAsia="仿宋" w:cs="仿宋"/>
          <w:sz w:val="24"/>
          <w:szCs w:val="24"/>
          <w:highlight w:val="none"/>
        </w:rPr>
        <w:t>元</w:t>
      </w:r>
    </w:p>
    <w:p w14:paraId="54AC8337">
      <w:pPr>
        <w:pStyle w:val="34"/>
        <w:keepNext w:val="0"/>
        <w:keepLines w:val="0"/>
        <w:pageBreakBefore w:val="0"/>
        <w:widowControl w:val="0"/>
        <w:kinsoku/>
        <w:wordWrap/>
        <w:overflowPunct/>
        <w:topLinePunct w:val="0"/>
        <w:autoSpaceDE/>
        <w:autoSpaceDN/>
        <w:bidi w:val="0"/>
        <w:adjustRightInd/>
        <w:snapToGrid/>
        <w:spacing w:line="440" w:lineRule="exact"/>
        <w:ind w:left="420" w:leftChars="200" w:firstLine="0" w:firstLineChars="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开户名称：中国重汽集团济南商用车有限公司</w:t>
      </w:r>
    </w:p>
    <w:p w14:paraId="51EC4430">
      <w:pPr>
        <w:pStyle w:val="34"/>
        <w:keepNext w:val="0"/>
        <w:keepLines w:val="0"/>
        <w:pageBreakBefore w:val="0"/>
        <w:widowControl w:val="0"/>
        <w:kinsoku/>
        <w:wordWrap/>
        <w:overflowPunct/>
        <w:topLinePunct w:val="0"/>
        <w:autoSpaceDE/>
        <w:autoSpaceDN/>
        <w:bidi w:val="0"/>
        <w:adjustRightInd/>
        <w:snapToGrid/>
        <w:spacing w:line="440" w:lineRule="exact"/>
        <w:ind w:left="420" w:leftChars="200" w:firstLine="0" w:firstLineChars="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开户银行：中信银行舜耕支行</w:t>
      </w:r>
    </w:p>
    <w:p w14:paraId="207C9183">
      <w:pPr>
        <w:pStyle w:val="34"/>
        <w:keepNext w:val="0"/>
        <w:keepLines w:val="0"/>
        <w:pageBreakBefore w:val="0"/>
        <w:widowControl w:val="0"/>
        <w:kinsoku/>
        <w:wordWrap/>
        <w:overflowPunct/>
        <w:topLinePunct w:val="0"/>
        <w:autoSpaceDE/>
        <w:autoSpaceDN/>
        <w:bidi w:val="0"/>
        <w:adjustRightInd/>
        <w:snapToGrid/>
        <w:spacing w:line="440" w:lineRule="exact"/>
        <w:ind w:left="420" w:leftChars="200" w:firstLine="0" w:firstLineChars="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银行</w:t>
      </w:r>
      <w:r>
        <w:rPr>
          <w:rFonts w:hint="eastAsia" w:ascii="仿宋" w:hAnsi="仿宋" w:eastAsia="仿宋" w:cs="仿宋"/>
          <w:sz w:val="24"/>
          <w:szCs w:val="24"/>
          <w:highlight w:val="none"/>
          <w:lang w:val="en-US" w:eastAsia="zh-CN"/>
        </w:rPr>
        <w:t>账</w:t>
      </w:r>
      <w:r>
        <w:rPr>
          <w:rFonts w:hint="eastAsia" w:ascii="仿宋" w:hAnsi="仿宋" w:eastAsia="仿宋" w:cs="仿宋"/>
          <w:sz w:val="24"/>
          <w:szCs w:val="24"/>
          <w:highlight w:val="none"/>
        </w:rPr>
        <w:t>号：7372610182600034841</w:t>
      </w:r>
    </w:p>
    <w:p w14:paraId="40F6FD41">
      <w:pPr>
        <w:pStyle w:val="34"/>
        <w:keepNext w:val="0"/>
        <w:keepLines w:val="0"/>
        <w:pageBreakBefore w:val="0"/>
        <w:widowControl w:val="0"/>
        <w:kinsoku/>
        <w:wordWrap/>
        <w:overflowPunct/>
        <w:topLinePunct w:val="0"/>
        <w:autoSpaceDE/>
        <w:autoSpaceDN/>
        <w:bidi w:val="0"/>
        <w:adjustRightInd/>
        <w:snapToGrid/>
        <w:spacing w:line="440" w:lineRule="exact"/>
        <w:ind w:left="420" w:leftChars="200" w:firstLine="0" w:firstLineChars="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联行号：302451037264</w:t>
      </w:r>
    </w:p>
    <w:p w14:paraId="1591D62C">
      <w:pPr>
        <w:pStyle w:val="34"/>
        <w:keepNext w:val="0"/>
        <w:keepLines w:val="0"/>
        <w:pageBreakBefore w:val="0"/>
        <w:widowControl w:val="0"/>
        <w:numPr>
          <w:ilvl w:val="0"/>
          <w:numId w:val="4"/>
        </w:numPr>
        <w:kinsoku/>
        <w:wordWrap/>
        <w:overflowPunct/>
        <w:topLinePunct w:val="0"/>
        <w:autoSpaceDE/>
        <w:autoSpaceDN/>
        <w:bidi w:val="0"/>
        <w:adjustRightInd/>
        <w:snapToGrid/>
        <w:spacing w:line="440" w:lineRule="exact"/>
        <w:ind w:left="0" w:leftChars="0" w:firstLine="482" w:firstLineChars="200"/>
        <w:textAlignment w:val="auto"/>
        <w:outlineLvl w:val="9"/>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转账附言：公司名称+项目名称+投标保证金。</w:t>
      </w:r>
    </w:p>
    <w:p w14:paraId="5568414C">
      <w:pPr>
        <w:pStyle w:val="3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eastAsia="zh-CN"/>
        </w:rPr>
        <w:t>（</w:t>
      </w:r>
      <w:r>
        <w:rPr>
          <w:rFonts w:hint="eastAsia" w:ascii="仿宋" w:hAnsi="仿宋" w:eastAsia="仿宋" w:cs="仿宋"/>
          <w:b w:val="0"/>
          <w:bCs w:val="0"/>
          <w:sz w:val="24"/>
          <w:szCs w:val="24"/>
          <w:highlight w:val="none"/>
          <w:lang w:val="en-US" w:eastAsia="zh-CN"/>
        </w:rPr>
        <w:t>3</w:t>
      </w:r>
      <w:r>
        <w:rPr>
          <w:rFonts w:hint="eastAsia" w:ascii="仿宋" w:hAnsi="仿宋" w:eastAsia="仿宋" w:cs="仿宋"/>
          <w:b w:val="0"/>
          <w:bCs w:val="0"/>
          <w:sz w:val="24"/>
          <w:szCs w:val="24"/>
          <w:highlight w:val="none"/>
          <w:lang w:eastAsia="zh-CN"/>
        </w:rPr>
        <w:t>）</w:t>
      </w:r>
      <w:r>
        <w:rPr>
          <w:rFonts w:hint="eastAsia" w:ascii="仿宋" w:hAnsi="仿宋" w:eastAsia="仿宋" w:cs="仿宋"/>
          <w:b w:val="0"/>
          <w:bCs w:val="0"/>
          <w:sz w:val="24"/>
          <w:szCs w:val="24"/>
          <w:highlight w:val="none"/>
        </w:rPr>
        <w:t>保证金缴纳</w:t>
      </w:r>
      <w:r>
        <w:rPr>
          <w:rFonts w:hint="eastAsia" w:ascii="仿宋" w:hAnsi="仿宋" w:eastAsia="仿宋" w:cs="仿宋"/>
          <w:sz w:val="24"/>
          <w:szCs w:val="24"/>
        </w:rPr>
        <w:t>截止</w:t>
      </w:r>
      <w:r>
        <w:rPr>
          <w:rFonts w:hint="eastAsia" w:ascii="仿宋" w:hAnsi="仿宋" w:eastAsia="仿宋" w:cs="仿宋"/>
          <w:b w:val="0"/>
          <w:bCs w:val="0"/>
          <w:sz w:val="24"/>
          <w:szCs w:val="24"/>
          <w:highlight w:val="none"/>
        </w:rPr>
        <w:t>时间：</w:t>
      </w:r>
      <w:r>
        <w:rPr>
          <w:rFonts w:hint="eastAsia" w:ascii="仿宋" w:hAnsi="仿宋" w:eastAsia="仿宋" w:cs="仿宋"/>
          <w:b w:val="0"/>
          <w:bCs w:val="0"/>
          <w:sz w:val="24"/>
          <w:szCs w:val="24"/>
          <w:highlight w:val="none"/>
          <w:lang w:eastAsia="zh-CN"/>
        </w:rPr>
        <w:t>2026</w:t>
      </w:r>
      <w:r>
        <w:rPr>
          <w:rFonts w:hint="eastAsia" w:ascii="仿宋" w:hAnsi="仿宋" w:eastAsia="仿宋" w:cs="仿宋"/>
          <w:b w:val="0"/>
          <w:bCs w:val="0"/>
          <w:sz w:val="24"/>
          <w:szCs w:val="24"/>
          <w:highlight w:val="none"/>
        </w:rPr>
        <w:t>年</w:t>
      </w:r>
      <w:r>
        <w:rPr>
          <w:rFonts w:hint="eastAsia" w:ascii="仿宋" w:hAnsi="仿宋" w:eastAsia="仿宋" w:cs="仿宋"/>
          <w:b w:val="0"/>
          <w:bCs w:val="0"/>
          <w:sz w:val="24"/>
          <w:szCs w:val="24"/>
          <w:highlight w:val="none"/>
          <w:lang w:val="en-US" w:eastAsia="zh-CN"/>
        </w:rPr>
        <w:t>11</w:t>
      </w:r>
      <w:r>
        <w:rPr>
          <w:rFonts w:hint="eastAsia" w:ascii="仿宋" w:hAnsi="仿宋" w:eastAsia="仿宋" w:cs="仿宋"/>
          <w:b w:val="0"/>
          <w:bCs w:val="0"/>
          <w:sz w:val="24"/>
          <w:szCs w:val="24"/>
          <w:highlight w:val="none"/>
        </w:rPr>
        <w:t>月</w:t>
      </w:r>
      <w:r>
        <w:rPr>
          <w:rFonts w:hint="eastAsia" w:ascii="仿宋" w:hAnsi="仿宋" w:eastAsia="仿宋" w:cs="仿宋"/>
          <w:b w:val="0"/>
          <w:bCs w:val="0"/>
          <w:sz w:val="24"/>
          <w:szCs w:val="24"/>
          <w:highlight w:val="none"/>
          <w:lang w:val="en-US" w:eastAsia="zh-CN"/>
        </w:rPr>
        <w:t>9</w:t>
      </w:r>
      <w:r>
        <w:rPr>
          <w:rFonts w:hint="eastAsia" w:ascii="仿宋" w:hAnsi="仿宋" w:eastAsia="仿宋" w:cs="仿宋"/>
          <w:b w:val="0"/>
          <w:bCs w:val="0"/>
          <w:sz w:val="24"/>
          <w:szCs w:val="24"/>
          <w:highlight w:val="none"/>
        </w:rPr>
        <w:t>日</w:t>
      </w:r>
      <w:r>
        <w:rPr>
          <w:rFonts w:hint="eastAsia" w:ascii="仿宋" w:hAnsi="仿宋" w:eastAsia="仿宋" w:cs="仿宋"/>
          <w:b w:val="0"/>
          <w:bCs w:val="0"/>
          <w:sz w:val="24"/>
          <w:szCs w:val="24"/>
          <w:highlight w:val="none"/>
          <w:lang w:val="en-US" w:eastAsia="zh-CN"/>
        </w:rPr>
        <w:t>17</w:t>
      </w:r>
      <w:r>
        <w:rPr>
          <w:rFonts w:hint="eastAsia" w:ascii="仿宋" w:hAnsi="仿宋" w:eastAsia="仿宋" w:cs="仿宋"/>
          <w:sz w:val="24"/>
          <w:szCs w:val="24"/>
          <w:u w:val="none"/>
          <w:lang w:val="en-US" w:eastAsia="zh-CN"/>
        </w:rPr>
        <w:t>:00:00</w:t>
      </w:r>
      <w:r>
        <w:rPr>
          <w:rFonts w:hint="eastAsia" w:ascii="仿宋" w:hAnsi="仿宋" w:eastAsia="仿宋" w:cs="仿宋"/>
          <w:sz w:val="24"/>
          <w:szCs w:val="24"/>
          <w:highlight w:val="none"/>
          <w:u w:val="none"/>
          <w:lang w:val="en-US" w:eastAsia="zh-CN"/>
        </w:rPr>
        <w:t>（北京时间）</w:t>
      </w:r>
    </w:p>
    <w:p w14:paraId="5306DE77">
      <w:pPr>
        <w:pStyle w:val="33"/>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440" w:lineRule="exact"/>
        <w:ind w:leftChars="0"/>
        <w:textAlignment w:val="auto"/>
        <w:outlineLvl w:val="9"/>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rPr>
        <w:t>对于没有中标的</w:t>
      </w:r>
      <w:r>
        <w:rPr>
          <w:rFonts w:hint="eastAsia" w:ascii="仿宋" w:hAnsi="仿宋" w:eastAsia="仿宋" w:cs="仿宋"/>
          <w:b w:val="0"/>
          <w:bCs w:val="0"/>
          <w:sz w:val="24"/>
          <w:szCs w:val="24"/>
          <w:highlight w:val="none"/>
          <w:lang w:eastAsia="zh-CN"/>
        </w:rPr>
        <w:t>投标人</w:t>
      </w:r>
      <w:r>
        <w:rPr>
          <w:rFonts w:hint="eastAsia" w:ascii="仿宋" w:hAnsi="仿宋" w:eastAsia="仿宋" w:cs="仿宋"/>
          <w:b w:val="0"/>
          <w:bCs w:val="0"/>
          <w:sz w:val="24"/>
          <w:szCs w:val="24"/>
          <w:highlight w:val="none"/>
        </w:rPr>
        <w:t>，投标保证金将于招标人内部完成中标人评审并确认最终中标人后</w:t>
      </w:r>
      <w:r>
        <w:rPr>
          <w:rFonts w:hint="eastAsia" w:ascii="仿宋" w:hAnsi="仿宋" w:eastAsia="仿宋" w:cs="仿宋"/>
          <w:b w:val="0"/>
          <w:bCs w:val="0"/>
          <w:sz w:val="24"/>
          <w:szCs w:val="24"/>
          <w:highlight w:val="none"/>
          <w:u w:val="single"/>
          <w:lang w:val="en-US" w:eastAsia="zh-CN"/>
        </w:rPr>
        <w:t>一个付款周期</w:t>
      </w:r>
      <w:r>
        <w:rPr>
          <w:rFonts w:hint="eastAsia" w:ascii="仿宋" w:hAnsi="仿宋" w:eastAsia="仿宋" w:cs="仿宋"/>
          <w:b w:val="0"/>
          <w:bCs w:val="0"/>
          <w:sz w:val="24"/>
          <w:szCs w:val="24"/>
          <w:highlight w:val="none"/>
        </w:rPr>
        <w:t>予以原路返还（无息）；对于中标方，投标保证金将在签订合同后</w:t>
      </w:r>
      <w:r>
        <w:rPr>
          <w:rFonts w:hint="eastAsia" w:ascii="仿宋" w:hAnsi="仿宋" w:eastAsia="仿宋" w:cs="仿宋"/>
          <w:b w:val="0"/>
          <w:bCs w:val="0"/>
          <w:sz w:val="24"/>
          <w:szCs w:val="24"/>
          <w:highlight w:val="none"/>
          <w:u w:val="single"/>
          <w:lang w:val="en-US" w:eastAsia="zh-CN"/>
        </w:rPr>
        <w:t>一个付款周期</w:t>
      </w:r>
      <w:r>
        <w:rPr>
          <w:rFonts w:hint="eastAsia" w:ascii="仿宋" w:hAnsi="仿宋" w:eastAsia="仿宋" w:cs="仿宋"/>
          <w:b w:val="0"/>
          <w:bCs w:val="0"/>
          <w:sz w:val="24"/>
          <w:szCs w:val="24"/>
          <w:highlight w:val="none"/>
        </w:rPr>
        <w:t>原路返还（无息）。</w:t>
      </w:r>
    </w:p>
    <w:p w14:paraId="02113B20">
      <w:pPr>
        <w:pStyle w:val="33"/>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440" w:lineRule="exact"/>
        <w:ind w:leftChars="0"/>
        <w:textAlignment w:val="auto"/>
        <w:outlineLvl w:val="9"/>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2、</w:t>
      </w:r>
      <w:r>
        <w:rPr>
          <w:rFonts w:hint="eastAsia" w:ascii="仿宋" w:hAnsi="仿宋" w:eastAsia="仿宋" w:cs="仿宋"/>
          <w:b w:val="0"/>
          <w:bCs w:val="0"/>
          <w:sz w:val="24"/>
          <w:szCs w:val="24"/>
          <w:highlight w:val="none"/>
        </w:rPr>
        <w:t>发生</w:t>
      </w:r>
      <w:r>
        <w:rPr>
          <w:rFonts w:hint="eastAsia" w:ascii="仿宋" w:hAnsi="仿宋" w:eastAsia="仿宋" w:cs="仿宋"/>
          <w:b w:val="0"/>
          <w:bCs w:val="0"/>
          <w:sz w:val="24"/>
          <w:szCs w:val="24"/>
          <w:highlight w:val="none"/>
          <w:lang w:val="en-US" w:eastAsia="zh-CN"/>
        </w:rPr>
        <w:t>以下</w:t>
      </w:r>
      <w:r>
        <w:rPr>
          <w:rFonts w:hint="eastAsia" w:ascii="仿宋" w:hAnsi="仿宋" w:eastAsia="仿宋" w:cs="仿宋"/>
          <w:b w:val="0"/>
          <w:bCs w:val="0"/>
          <w:sz w:val="24"/>
          <w:szCs w:val="24"/>
          <w:highlight w:val="none"/>
        </w:rPr>
        <w:t>情况时，有权没收保证金：</w:t>
      </w:r>
    </w:p>
    <w:p w14:paraId="69D68B6B">
      <w:pPr>
        <w:pStyle w:val="3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outlineLvl w:val="9"/>
        <w:rPr>
          <w:rFonts w:hint="eastAsia" w:ascii="仿宋" w:hAnsi="仿宋" w:eastAsia="仿宋" w:cs="仿宋"/>
          <w:sz w:val="24"/>
          <w:szCs w:val="24"/>
          <w:lang w:val="en-US" w:eastAsia="zh-CN"/>
        </w:rPr>
      </w:pPr>
      <w:r>
        <w:rPr>
          <w:rFonts w:hint="eastAsia" w:ascii="仿宋" w:hAnsi="仿宋" w:eastAsia="仿宋" w:cs="仿宋"/>
          <w:b w:val="0"/>
          <w:bCs w:val="0"/>
          <w:sz w:val="24"/>
          <w:szCs w:val="24"/>
          <w:highlight w:val="none"/>
          <w:lang w:eastAsia="zh-CN"/>
        </w:rPr>
        <w:t>（</w:t>
      </w:r>
      <w:r>
        <w:rPr>
          <w:rFonts w:hint="eastAsia" w:ascii="仿宋" w:hAnsi="仿宋" w:eastAsia="仿宋" w:cs="仿宋"/>
          <w:b w:val="0"/>
          <w:bCs w:val="0"/>
          <w:sz w:val="24"/>
          <w:szCs w:val="24"/>
          <w:highlight w:val="none"/>
          <w:lang w:val="en-US" w:eastAsia="zh-CN"/>
        </w:rPr>
        <w:t>1</w:t>
      </w:r>
      <w:r>
        <w:rPr>
          <w:rFonts w:hint="eastAsia" w:ascii="仿宋" w:hAnsi="仿宋" w:eastAsia="仿宋" w:cs="仿宋"/>
          <w:b w:val="0"/>
          <w:bCs w:val="0"/>
          <w:sz w:val="24"/>
          <w:szCs w:val="24"/>
          <w:highlight w:val="none"/>
          <w:lang w:eastAsia="zh-CN"/>
        </w:rPr>
        <w:t>）</w:t>
      </w:r>
      <w:r>
        <w:rPr>
          <w:rFonts w:hint="eastAsia" w:ascii="仿宋" w:hAnsi="仿宋" w:eastAsia="仿宋" w:cs="仿宋"/>
          <w:b w:val="0"/>
          <w:bCs w:val="0"/>
          <w:sz w:val="24"/>
          <w:szCs w:val="24"/>
          <w:highlight w:val="none"/>
        </w:rPr>
        <w:t>供</w:t>
      </w:r>
      <w:r>
        <w:rPr>
          <w:rFonts w:hint="eastAsia" w:ascii="仿宋" w:hAnsi="仿宋" w:eastAsia="仿宋" w:cs="仿宋"/>
          <w:sz w:val="24"/>
          <w:szCs w:val="24"/>
        </w:rPr>
        <w:t>应商在提交响应文件截止时间后撤回响应文件的；</w:t>
      </w:r>
    </w:p>
    <w:p w14:paraId="56CEC558">
      <w:pPr>
        <w:pStyle w:val="3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lang w:eastAsia="zh-CN"/>
        </w:rPr>
        <w:t>）</w:t>
      </w:r>
      <w:r>
        <w:rPr>
          <w:rFonts w:hint="eastAsia" w:ascii="仿宋" w:hAnsi="仿宋" w:eastAsia="仿宋" w:cs="仿宋"/>
          <w:sz w:val="24"/>
          <w:szCs w:val="24"/>
        </w:rPr>
        <w:t>供应商在响应文件中提供虚假材料的；</w:t>
      </w:r>
    </w:p>
    <w:p w14:paraId="14DF0C78">
      <w:pPr>
        <w:pStyle w:val="3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lang w:eastAsia="zh-CN"/>
        </w:rPr>
        <w:t>）</w:t>
      </w:r>
      <w:r>
        <w:rPr>
          <w:rFonts w:hint="eastAsia" w:ascii="仿宋" w:hAnsi="仿宋" w:eastAsia="仿宋" w:cs="仿宋"/>
          <w:sz w:val="24"/>
          <w:szCs w:val="24"/>
        </w:rPr>
        <w:t>除因不可抗力或谈判文件、询价通知书认可的情形以外，成交供应商不与采购人签订合同的；</w:t>
      </w:r>
    </w:p>
    <w:p w14:paraId="1D9AD298">
      <w:pPr>
        <w:pStyle w:val="3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4</w:t>
      </w:r>
      <w:r>
        <w:rPr>
          <w:rFonts w:hint="eastAsia" w:ascii="仿宋" w:hAnsi="仿宋" w:eastAsia="仿宋" w:cs="仿宋"/>
          <w:sz w:val="24"/>
          <w:szCs w:val="24"/>
          <w:lang w:eastAsia="zh-CN"/>
        </w:rPr>
        <w:t>）</w:t>
      </w:r>
      <w:r>
        <w:rPr>
          <w:rFonts w:hint="eastAsia" w:ascii="仿宋" w:hAnsi="仿宋" w:eastAsia="仿宋" w:cs="仿宋"/>
          <w:sz w:val="24"/>
          <w:szCs w:val="24"/>
        </w:rPr>
        <w:t>供应商与采购人、其他供应商或者采购代理机构恶意串通、围标、陪标的；</w:t>
      </w:r>
    </w:p>
    <w:p w14:paraId="1211AC71">
      <w:pPr>
        <w:pStyle w:val="3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5</w:t>
      </w:r>
      <w:r>
        <w:rPr>
          <w:rFonts w:hint="eastAsia" w:ascii="仿宋" w:hAnsi="仿宋" w:eastAsia="仿宋" w:cs="仿宋"/>
          <w:sz w:val="24"/>
          <w:szCs w:val="24"/>
          <w:lang w:eastAsia="zh-CN"/>
        </w:rPr>
        <w:t>）</w:t>
      </w:r>
      <w:r>
        <w:rPr>
          <w:rFonts w:hint="eastAsia" w:ascii="仿宋" w:hAnsi="仿宋" w:eastAsia="仿宋" w:cs="仿宋"/>
          <w:sz w:val="24"/>
          <w:szCs w:val="24"/>
        </w:rPr>
        <w:t>供应商有违约违规行为或被投诉、举报的，在调查处理期间，保证金暂不退还，待调查处理结束后按有关规定处理</w:t>
      </w:r>
      <w:r>
        <w:rPr>
          <w:rFonts w:hint="eastAsia" w:ascii="仿宋" w:hAnsi="仿宋" w:eastAsia="仿宋" w:cs="仿宋"/>
          <w:sz w:val="24"/>
          <w:szCs w:val="24"/>
          <w:lang w:eastAsia="zh-CN"/>
        </w:rPr>
        <w:t>；</w:t>
      </w:r>
    </w:p>
    <w:p w14:paraId="1C7FF7D7">
      <w:pPr>
        <w:pStyle w:val="3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6</w:t>
      </w:r>
      <w:r>
        <w:rPr>
          <w:rFonts w:hint="eastAsia" w:ascii="仿宋" w:hAnsi="仿宋" w:eastAsia="仿宋" w:cs="仿宋"/>
          <w:sz w:val="24"/>
          <w:szCs w:val="24"/>
          <w:lang w:eastAsia="zh-CN"/>
        </w:rPr>
        <w:t>）</w:t>
      </w:r>
      <w:r>
        <w:rPr>
          <w:rFonts w:hint="eastAsia" w:ascii="仿宋" w:hAnsi="仿宋" w:eastAsia="仿宋" w:cs="仿宋"/>
          <w:sz w:val="24"/>
          <w:szCs w:val="24"/>
        </w:rPr>
        <w:t>截至开标前3天，投标人无正当理由、未以书面形式向招标人递交说明而在投标截止日不来投标的</w:t>
      </w:r>
      <w:r>
        <w:rPr>
          <w:rFonts w:hint="eastAsia" w:ascii="仿宋" w:hAnsi="仿宋" w:eastAsia="仿宋" w:cs="仿宋"/>
          <w:sz w:val="24"/>
          <w:szCs w:val="24"/>
          <w:lang w:eastAsia="zh-CN"/>
        </w:rPr>
        <w:t>；</w:t>
      </w:r>
      <w:bookmarkStart w:id="6" w:name="_GoBack"/>
      <w:bookmarkEnd w:id="6"/>
    </w:p>
    <w:p w14:paraId="7A3035DA">
      <w:pPr>
        <w:pStyle w:val="3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7</w:t>
      </w:r>
      <w:r>
        <w:rPr>
          <w:rFonts w:hint="eastAsia" w:ascii="仿宋" w:hAnsi="仿宋" w:eastAsia="仿宋" w:cs="仿宋"/>
          <w:sz w:val="24"/>
          <w:szCs w:val="24"/>
          <w:lang w:eastAsia="zh-CN"/>
        </w:rPr>
        <w:t>）</w:t>
      </w:r>
      <w:r>
        <w:rPr>
          <w:rFonts w:hint="eastAsia" w:ascii="仿宋" w:hAnsi="仿宋" w:eastAsia="仿宋" w:cs="仿宋"/>
          <w:sz w:val="24"/>
          <w:szCs w:val="24"/>
        </w:rPr>
        <w:t>自中标通知书发出之日起30日内，中标人无正当理由投标人无正当签订合同的；</w:t>
      </w:r>
    </w:p>
    <w:p w14:paraId="271EC8CF">
      <w:pPr>
        <w:pStyle w:val="3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outlineLvl w:val="9"/>
        <w:rPr>
          <w:rFonts w:hint="eastAsia" w:ascii="仿宋" w:hAnsi="仿宋" w:eastAsia="仿宋" w:cs="仿宋"/>
          <w:b w:val="0"/>
          <w:bCs w:val="0"/>
          <w:sz w:val="24"/>
          <w:szCs w:val="24"/>
          <w:highlight w:val="none"/>
          <w:lang w:val="en-US"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8</w:t>
      </w:r>
      <w:r>
        <w:rPr>
          <w:rFonts w:hint="eastAsia" w:ascii="仿宋" w:hAnsi="仿宋" w:eastAsia="仿宋" w:cs="仿宋"/>
          <w:sz w:val="24"/>
          <w:szCs w:val="24"/>
          <w:lang w:eastAsia="zh-CN"/>
        </w:rPr>
        <w:t>）</w:t>
      </w:r>
      <w:r>
        <w:rPr>
          <w:rFonts w:hint="eastAsia" w:ascii="仿宋" w:hAnsi="仿宋" w:eastAsia="仿宋" w:cs="仿宋"/>
          <w:sz w:val="24"/>
          <w:szCs w:val="24"/>
        </w:rPr>
        <w:t>采购文件规定</w:t>
      </w:r>
      <w:r>
        <w:rPr>
          <w:rFonts w:hint="eastAsia" w:ascii="仿宋" w:hAnsi="仿宋" w:eastAsia="仿宋" w:cs="仿宋"/>
          <w:b w:val="0"/>
          <w:bCs w:val="0"/>
          <w:sz w:val="24"/>
          <w:szCs w:val="24"/>
          <w:highlight w:val="none"/>
        </w:rPr>
        <w:t>的其他情形</w:t>
      </w:r>
      <w:r>
        <w:rPr>
          <w:rFonts w:hint="eastAsia" w:ascii="仿宋" w:hAnsi="仿宋" w:eastAsia="仿宋" w:cs="仿宋"/>
          <w:b w:val="0"/>
          <w:bCs w:val="0"/>
          <w:sz w:val="24"/>
          <w:szCs w:val="24"/>
          <w:highlight w:val="none"/>
          <w:lang w:eastAsia="zh-CN"/>
        </w:rPr>
        <w:t>。</w:t>
      </w:r>
    </w:p>
    <w:bookmarkEnd w:id="5"/>
    <w:p w14:paraId="58801169">
      <w:pPr>
        <w:spacing w:line="460" w:lineRule="exact"/>
        <w:jc w:val="left"/>
        <w:rPr>
          <w:rFonts w:hint="eastAsia" w:ascii="仿宋" w:hAnsi="仿宋" w:eastAsia="仿宋" w:cs="仿宋"/>
          <w:b/>
          <w:sz w:val="24"/>
          <w:szCs w:val="24"/>
        </w:rPr>
      </w:pPr>
      <w:r>
        <w:rPr>
          <w:rFonts w:hint="eastAsia" w:ascii="仿宋" w:hAnsi="仿宋" w:eastAsia="仿宋" w:cs="仿宋"/>
          <w:b/>
          <w:sz w:val="24"/>
          <w:szCs w:val="24"/>
          <w:lang w:val="en-US" w:eastAsia="zh-CN"/>
        </w:rPr>
        <w:t>九</w:t>
      </w:r>
      <w:r>
        <w:rPr>
          <w:rFonts w:hint="eastAsia" w:ascii="仿宋" w:hAnsi="仿宋" w:eastAsia="仿宋" w:cs="仿宋"/>
          <w:b/>
          <w:sz w:val="24"/>
          <w:szCs w:val="24"/>
        </w:rPr>
        <w:t>、合同授予</w:t>
      </w:r>
    </w:p>
    <w:p w14:paraId="4EE2A6E7">
      <w:pPr>
        <w:spacing w:line="46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w:t>
      </w:r>
      <w:r>
        <w:rPr>
          <w:rFonts w:hint="eastAsia" w:ascii="仿宋" w:hAnsi="仿宋" w:eastAsia="仿宋" w:cs="仿宋"/>
          <w:sz w:val="24"/>
          <w:szCs w:val="24"/>
        </w:rPr>
        <w:t>招标人根据评审工作小组的评标结果确定中标人，并通知中标人，招标人不承诺将合同授予报价最低的投标人。</w:t>
      </w:r>
    </w:p>
    <w:p w14:paraId="293F4C80">
      <w:pPr>
        <w:spacing w:line="46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w:t>
      </w:r>
      <w:r>
        <w:rPr>
          <w:rFonts w:hint="eastAsia" w:ascii="仿宋" w:hAnsi="仿宋" w:eastAsia="仿宋" w:cs="仿宋"/>
          <w:sz w:val="24"/>
          <w:szCs w:val="24"/>
        </w:rPr>
        <w:t>中标人接到通知后，应及时与招标人联系（一般为3个工作日以内），到招标单位进行签字确认并尽快签订合同。如中标人无正当理由拒签合同或在签订合同时提出无理附加条件的，招标人有权取消该投标人中标资格，该投标人2年内不得参与该类服务的招标项目。</w:t>
      </w:r>
    </w:p>
    <w:p w14:paraId="50B258AA">
      <w:pPr>
        <w:spacing w:line="46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w:t>
      </w:r>
      <w:r>
        <w:rPr>
          <w:rFonts w:hint="eastAsia" w:ascii="仿宋" w:hAnsi="仿宋" w:eastAsia="仿宋" w:cs="仿宋"/>
          <w:sz w:val="24"/>
          <w:szCs w:val="24"/>
        </w:rPr>
        <w:t>合同订立后，中标人应当按合同约定责任履约，不得将中标项目转包或分包给他人，否则视为违约，招标人有权解除合同。</w:t>
      </w:r>
    </w:p>
    <w:p w14:paraId="282867F2">
      <w:pPr>
        <w:spacing w:line="46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eastAsia="zh-CN"/>
        </w:rPr>
        <w:t>、</w:t>
      </w:r>
      <w:r>
        <w:rPr>
          <w:rFonts w:hint="eastAsia" w:ascii="仿宋" w:hAnsi="仿宋" w:eastAsia="仿宋" w:cs="仿宋"/>
          <w:sz w:val="24"/>
          <w:szCs w:val="24"/>
        </w:rPr>
        <w:t>若中标人在履约合同义务能力或信用有严重缺陷，招标人可终止履行本合同，并要求该中标人返还已支付的款项，招标人有权解除合同。</w:t>
      </w:r>
    </w:p>
    <w:p w14:paraId="48976131">
      <w:pPr>
        <w:spacing w:line="46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eastAsia="zh-CN"/>
        </w:rPr>
        <w:t>、</w:t>
      </w:r>
      <w:r>
        <w:rPr>
          <w:rFonts w:hint="eastAsia" w:ascii="仿宋" w:hAnsi="仿宋" w:eastAsia="仿宋" w:cs="仿宋"/>
          <w:sz w:val="24"/>
          <w:szCs w:val="24"/>
        </w:rPr>
        <w:t>双方的权利义务以最终签署的合同为准。</w:t>
      </w:r>
    </w:p>
    <w:p w14:paraId="1ACA5AF2">
      <w:pPr>
        <w:spacing w:line="460" w:lineRule="exact"/>
        <w:rPr>
          <w:rFonts w:hint="eastAsia" w:ascii="仿宋" w:hAnsi="仿宋" w:eastAsia="仿宋" w:cs="仿宋"/>
          <w:b/>
          <w:sz w:val="24"/>
          <w:szCs w:val="24"/>
        </w:rPr>
      </w:pPr>
      <w:r>
        <w:rPr>
          <w:rFonts w:hint="eastAsia" w:ascii="仿宋" w:hAnsi="仿宋" w:eastAsia="仿宋" w:cs="仿宋"/>
          <w:b/>
          <w:sz w:val="24"/>
          <w:szCs w:val="24"/>
          <w:lang w:val="en-US" w:eastAsia="zh-CN"/>
        </w:rPr>
        <w:t>十</w:t>
      </w:r>
      <w:r>
        <w:rPr>
          <w:rFonts w:hint="eastAsia" w:ascii="仿宋" w:hAnsi="仿宋" w:eastAsia="仿宋" w:cs="仿宋"/>
          <w:b/>
          <w:sz w:val="24"/>
          <w:szCs w:val="24"/>
        </w:rPr>
        <w:t>、废标及终止招标</w:t>
      </w:r>
    </w:p>
    <w:p w14:paraId="666DD6CF">
      <w:pPr>
        <w:spacing w:line="46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w:t>
      </w:r>
      <w:r>
        <w:rPr>
          <w:rFonts w:hint="eastAsia" w:ascii="仿宋" w:hAnsi="仿宋" w:eastAsia="仿宋" w:cs="仿宋"/>
          <w:sz w:val="24"/>
          <w:szCs w:val="24"/>
        </w:rPr>
        <w:t>投标人有下列情形之一的，将被视为废标，招标人将按照有关法律法规行使权力。投标人给招标人造成损失的，招标人有索赔的权力，投标人应给予赔偿。</w:t>
      </w:r>
    </w:p>
    <w:p w14:paraId="3203BCA0">
      <w:pPr>
        <w:spacing w:line="46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（1）投标人提供的有关资格、资质证明文件不全、不真实；</w:t>
      </w:r>
    </w:p>
    <w:p w14:paraId="03E30CE6">
      <w:pPr>
        <w:spacing w:line="46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（2）投标人在报价有效期内撤回投标；</w:t>
      </w:r>
    </w:p>
    <w:p w14:paraId="15273571">
      <w:pPr>
        <w:spacing w:line="46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（3）在评标过程中，投标人有企图影响评标结果公正性的任何项目；</w:t>
      </w:r>
    </w:p>
    <w:p w14:paraId="533D7605">
      <w:pPr>
        <w:spacing w:line="46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（4）投标人以任何形式诋毁他人投标；</w:t>
      </w:r>
    </w:p>
    <w:p w14:paraId="0C125CEF">
      <w:pPr>
        <w:spacing w:line="46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（5）投标人串通投标；</w:t>
      </w:r>
    </w:p>
    <w:p w14:paraId="2DE561AF">
      <w:pPr>
        <w:spacing w:line="46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（6）以他人名义投标或以任何方式骗取中标；</w:t>
      </w:r>
    </w:p>
    <w:p w14:paraId="3D3F06BA">
      <w:pPr>
        <w:spacing w:line="46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（7）投标人对招标文件做出实质性变更，投标人被举报、检举，并经招标方查实无误的；</w:t>
      </w:r>
    </w:p>
    <w:p w14:paraId="6B6296A4">
      <w:pPr>
        <w:spacing w:line="460" w:lineRule="exact"/>
        <w:ind w:firstLine="480" w:firstLineChars="200"/>
        <w:rPr>
          <w:rFonts w:hint="eastAsia" w:ascii="仿宋" w:hAnsi="仿宋" w:eastAsia="仿宋" w:cs="仿宋"/>
          <w:sz w:val="24"/>
          <w:szCs w:val="24"/>
          <w:lang w:eastAsia="zh-CN"/>
        </w:rPr>
      </w:pPr>
      <w:r>
        <w:rPr>
          <w:rFonts w:hint="eastAsia" w:ascii="仿宋" w:hAnsi="仿宋" w:eastAsia="仿宋" w:cs="仿宋"/>
          <w:sz w:val="24"/>
          <w:szCs w:val="24"/>
        </w:rPr>
        <w:t>（8）投标单位负责人为同一人或存在管理关系的</w:t>
      </w:r>
      <w:r>
        <w:rPr>
          <w:rFonts w:hint="eastAsia" w:ascii="仿宋" w:hAnsi="仿宋" w:eastAsia="仿宋" w:cs="仿宋"/>
          <w:sz w:val="24"/>
          <w:szCs w:val="24"/>
          <w:lang w:eastAsia="zh-CN"/>
        </w:rPr>
        <w:t>；</w:t>
      </w:r>
    </w:p>
    <w:p w14:paraId="45F9B774">
      <w:pPr>
        <w:spacing w:line="46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（9）法律、法规规定的其他情况。</w:t>
      </w:r>
    </w:p>
    <w:p w14:paraId="0E625E62">
      <w:pPr>
        <w:spacing w:line="46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w:t>
      </w:r>
      <w:r>
        <w:rPr>
          <w:rFonts w:hint="eastAsia" w:ascii="仿宋" w:hAnsi="仿宋" w:eastAsia="仿宋" w:cs="仿宋"/>
          <w:sz w:val="24"/>
          <w:szCs w:val="24"/>
        </w:rPr>
        <w:t>出现下列情形，招标人有权否决所有投标人的投标，并终止招标。</w:t>
      </w:r>
    </w:p>
    <w:p w14:paraId="3AD5D3BA">
      <w:pPr>
        <w:spacing w:line="46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（1）符合条件的投标人或对招标文件做出实质性响应的投标人不足三家；</w:t>
      </w:r>
    </w:p>
    <w:p w14:paraId="33388F3D">
      <w:pPr>
        <w:spacing w:line="46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（2）出现影响评审公正性的违法、违规行为；</w:t>
      </w:r>
    </w:p>
    <w:p w14:paraId="751B3A9D">
      <w:pPr>
        <w:spacing w:line="46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（3）评标委员会经评审，认为所有投标都不符合招标文件要求的；</w:t>
      </w:r>
    </w:p>
    <w:p w14:paraId="220ED485">
      <w:pPr>
        <w:spacing w:line="460" w:lineRule="exact"/>
        <w:ind w:firstLine="480" w:firstLineChars="200"/>
        <w:rPr>
          <w:rFonts w:hint="eastAsia" w:ascii="仿宋" w:hAnsi="仿宋" w:eastAsia="仿宋" w:cs="仿宋"/>
          <w:sz w:val="24"/>
          <w:szCs w:val="24"/>
          <w:lang w:eastAsia="zh-CN"/>
        </w:rPr>
      </w:pPr>
      <w:r>
        <w:rPr>
          <w:rFonts w:hint="eastAsia" w:ascii="仿宋" w:hAnsi="仿宋" w:eastAsia="仿宋" w:cs="仿宋"/>
          <w:sz w:val="24"/>
          <w:szCs w:val="24"/>
        </w:rPr>
        <w:t>（4）因重大变故，本项目取消</w:t>
      </w:r>
      <w:r>
        <w:rPr>
          <w:rFonts w:hint="eastAsia" w:ascii="仿宋" w:hAnsi="仿宋" w:eastAsia="仿宋" w:cs="仿宋"/>
          <w:sz w:val="24"/>
          <w:szCs w:val="24"/>
          <w:lang w:eastAsia="zh-CN"/>
        </w:rPr>
        <w:t>；</w:t>
      </w:r>
    </w:p>
    <w:p w14:paraId="70040F08">
      <w:pPr>
        <w:spacing w:line="46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5）无论基于何种原因，各项本应作为拒绝处理的情形即便未被及时发现而使该中标人通过了资格审核、初评、现场复审、终评或其他所有相关程序，包括已签订合同的情形，一旦中标人被拒绝或该中标人此前的评议结果被取消，相关的一切损失均由该中标人承担。</w:t>
      </w:r>
    </w:p>
    <w:p w14:paraId="70E54AEB">
      <w:pPr>
        <w:spacing w:line="46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中标人瑕疵滞后发现处理原则：无论基于何种原因，各项本应作为拒绝处理的情形，即便未被及时发现而使该中标人通过了资格审核、初评、现场复审、终评或其他所有相关程序，包括已签订合同，招标人有权取消其中标资格，并有权决定采取相应的补救措施，可由其他候选人替代，或重新组织招标。一旦中标人被拒绝或该中标人此前的评议结果被取消，因招标产生的相关的费用以及一切损失均由中标人承担。</w:t>
      </w:r>
      <w:bookmarkEnd w:id="0"/>
    </w:p>
    <w:sectPr>
      <w:headerReference r:id="rId3" w:type="default"/>
      <w:pgSz w:w="11906" w:h="16838"/>
      <w:pgMar w:top="1440" w:right="1077" w:bottom="1440" w:left="107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83" w:usb1="288F0000" w:usb2="0000000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78F5A">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323EC5"/>
    <w:multiLevelType w:val="multilevel"/>
    <w:tmpl w:val="86323EC5"/>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leftChars="0" w:firstLine="420" w:firstLineChars="0"/>
      </w:pPr>
      <w:rPr>
        <w:rFonts w:hint="default"/>
        <w:b w:val="0"/>
        <w:bCs w:val="0"/>
        <w:color w:val="auto"/>
        <w:highlight w:val="none"/>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1">
    <w:nsid w:val="5EEE3A7E"/>
    <w:multiLevelType w:val="multilevel"/>
    <w:tmpl w:val="5EEE3A7E"/>
    <w:lvl w:ilvl="0" w:tentative="0">
      <w:start w:val="1"/>
      <w:numFmt w:val="bullet"/>
      <w:suff w:val="nothing"/>
      <w:lvlText w:val=""/>
      <w:lvlJc w:val="left"/>
      <w:pPr>
        <w:ind w:left="0" w:leftChars="0" w:firstLine="0" w:firstLineChars="0"/>
      </w:pPr>
      <w:rPr>
        <w:rFonts w:hint="default" w:ascii="Wingdings" w:hAnsi="Wingdings"/>
        <w:color w:val="auto"/>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abstractNum w:abstractNumId="2">
    <w:nsid w:val="656A6EAE"/>
    <w:multiLevelType w:val="multilevel"/>
    <w:tmpl w:val="656A6EAE"/>
    <w:lvl w:ilvl="0" w:tentative="0">
      <w:start w:val="1"/>
      <w:numFmt w:val="chineseCountingThousand"/>
      <w:pStyle w:val="33"/>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3">
    <w:nsid w:val="7BFE2DB9"/>
    <w:multiLevelType w:val="multilevel"/>
    <w:tmpl w:val="7BFE2DB9"/>
    <w:lvl w:ilvl="0" w:tentative="0">
      <w:start w:val="2"/>
      <w:numFmt w:val="japaneseCounting"/>
      <w:suff w:val="space"/>
      <w:lvlText w:val="%1、"/>
      <w:lvlJc w:val="left"/>
      <w:pPr>
        <w:ind w:left="862" w:hanging="720"/>
      </w:pPr>
      <w:rPr>
        <w:rFonts w:hint="eastAsia"/>
      </w:rPr>
    </w:lvl>
    <w:lvl w:ilvl="1" w:tentative="0">
      <w:start w:val="1"/>
      <w:numFmt w:val="lowerLetter"/>
      <w:lvlText w:val="%2)"/>
      <w:lvlJc w:val="left"/>
      <w:pPr>
        <w:ind w:left="982" w:hanging="420"/>
      </w:pPr>
      <w:rPr>
        <w:rFonts w:hint="eastAsia"/>
      </w:rPr>
    </w:lvl>
    <w:lvl w:ilvl="2" w:tentative="0">
      <w:start w:val="1"/>
      <w:numFmt w:val="lowerRoman"/>
      <w:lvlText w:val="%3."/>
      <w:lvlJc w:val="right"/>
      <w:pPr>
        <w:ind w:left="1402" w:hanging="420"/>
      </w:pPr>
      <w:rPr>
        <w:rFonts w:hint="eastAsia"/>
      </w:rPr>
    </w:lvl>
    <w:lvl w:ilvl="3" w:tentative="0">
      <w:start w:val="1"/>
      <w:numFmt w:val="decimal"/>
      <w:lvlText w:val="%4."/>
      <w:lvlJc w:val="left"/>
      <w:pPr>
        <w:ind w:left="1822" w:hanging="420"/>
      </w:pPr>
      <w:rPr>
        <w:rFonts w:hint="eastAsia"/>
      </w:rPr>
    </w:lvl>
    <w:lvl w:ilvl="4" w:tentative="0">
      <w:start w:val="1"/>
      <w:numFmt w:val="lowerLetter"/>
      <w:lvlText w:val="%5)"/>
      <w:lvlJc w:val="left"/>
      <w:pPr>
        <w:ind w:left="2242" w:hanging="420"/>
      </w:pPr>
      <w:rPr>
        <w:rFonts w:hint="eastAsia"/>
      </w:rPr>
    </w:lvl>
    <w:lvl w:ilvl="5" w:tentative="0">
      <w:start w:val="1"/>
      <w:numFmt w:val="lowerRoman"/>
      <w:lvlText w:val="%6."/>
      <w:lvlJc w:val="right"/>
      <w:pPr>
        <w:ind w:left="2662" w:hanging="420"/>
      </w:pPr>
      <w:rPr>
        <w:rFonts w:hint="eastAsia"/>
      </w:rPr>
    </w:lvl>
    <w:lvl w:ilvl="6" w:tentative="0">
      <w:start w:val="1"/>
      <w:numFmt w:val="decimal"/>
      <w:lvlText w:val="%7."/>
      <w:lvlJc w:val="left"/>
      <w:pPr>
        <w:ind w:left="3082" w:hanging="420"/>
      </w:pPr>
      <w:rPr>
        <w:rFonts w:hint="eastAsia"/>
      </w:rPr>
    </w:lvl>
    <w:lvl w:ilvl="7" w:tentative="0">
      <w:start w:val="1"/>
      <w:numFmt w:val="lowerLetter"/>
      <w:lvlText w:val="%8)"/>
      <w:lvlJc w:val="left"/>
      <w:pPr>
        <w:ind w:left="3502" w:hanging="420"/>
      </w:pPr>
      <w:rPr>
        <w:rFonts w:hint="eastAsia"/>
      </w:rPr>
    </w:lvl>
    <w:lvl w:ilvl="8" w:tentative="0">
      <w:start w:val="1"/>
      <w:numFmt w:val="lowerRoman"/>
      <w:lvlText w:val="%9."/>
      <w:lvlJc w:val="right"/>
      <w:pPr>
        <w:ind w:left="3922" w:hanging="420"/>
      </w:pPr>
      <w:rPr>
        <w:rFonts w:hint="eastAsia"/>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A2NTFkNmNiMDYyMjM2NzllZGU1YTM0NTk1ZjIzMzYifQ=="/>
  </w:docVars>
  <w:rsids>
    <w:rsidRoot w:val="0032456D"/>
    <w:rsid w:val="00037B8E"/>
    <w:rsid w:val="00042F4D"/>
    <w:rsid w:val="00045DCA"/>
    <w:rsid w:val="00055980"/>
    <w:rsid w:val="00055F99"/>
    <w:rsid w:val="00066680"/>
    <w:rsid w:val="0007348B"/>
    <w:rsid w:val="000A0C1D"/>
    <w:rsid w:val="000C33D6"/>
    <w:rsid w:val="000D689F"/>
    <w:rsid w:val="000E01CE"/>
    <w:rsid w:val="000E6DE2"/>
    <w:rsid w:val="000F5332"/>
    <w:rsid w:val="00115C41"/>
    <w:rsid w:val="0012705D"/>
    <w:rsid w:val="00127337"/>
    <w:rsid w:val="00135233"/>
    <w:rsid w:val="00137840"/>
    <w:rsid w:val="0017193C"/>
    <w:rsid w:val="001833C7"/>
    <w:rsid w:val="00184A64"/>
    <w:rsid w:val="001A0E26"/>
    <w:rsid w:val="001A19DD"/>
    <w:rsid w:val="001B0E88"/>
    <w:rsid w:val="001E1F83"/>
    <w:rsid w:val="001E6222"/>
    <w:rsid w:val="001E6C8F"/>
    <w:rsid w:val="001F2DBE"/>
    <w:rsid w:val="00211F60"/>
    <w:rsid w:val="002167BA"/>
    <w:rsid w:val="0022477F"/>
    <w:rsid w:val="002400C0"/>
    <w:rsid w:val="00246A6A"/>
    <w:rsid w:val="0028132D"/>
    <w:rsid w:val="002822FC"/>
    <w:rsid w:val="00287DCA"/>
    <w:rsid w:val="00290D83"/>
    <w:rsid w:val="002C4A81"/>
    <w:rsid w:val="002D2C95"/>
    <w:rsid w:val="002D6B1E"/>
    <w:rsid w:val="002D746F"/>
    <w:rsid w:val="002E19BA"/>
    <w:rsid w:val="002F77B0"/>
    <w:rsid w:val="0030447F"/>
    <w:rsid w:val="0032456D"/>
    <w:rsid w:val="0033560E"/>
    <w:rsid w:val="00337161"/>
    <w:rsid w:val="00341604"/>
    <w:rsid w:val="00343F2F"/>
    <w:rsid w:val="003554B7"/>
    <w:rsid w:val="00362A82"/>
    <w:rsid w:val="00363275"/>
    <w:rsid w:val="003676BF"/>
    <w:rsid w:val="00385892"/>
    <w:rsid w:val="00387C32"/>
    <w:rsid w:val="003950B2"/>
    <w:rsid w:val="00396BA5"/>
    <w:rsid w:val="003B1784"/>
    <w:rsid w:val="003B2BE4"/>
    <w:rsid w:val="003B6174"/>
    <w:rsid w:val="003C0B2B"/>
    <w:rsid w:val="003C6134"/>
    <w:rsid w:val="00404AF2"/>
    <w:rsid w:val="00425B50"/>
    <w:rsid w:val="004272E5"/>
    <w:rsid w:val="00431F43"/>
    <w:rsid w:val="0043797E"/>
    <w:rsid w:val="00452C08"/>
    <w:rsid w:val="00456887"/>
    <w:rsid w:val="00465556"/>
    <w:rsid w:val="00472A86"/>
    <w:rsid w:val="004754D8"/>
    <w:rsid w:val="00476189"/>
    <w:rsid w:val="0048366E"/>
    <w:rsid w:val="00487EC5"/>
    <w:rsid w:val="004923D7"/>
    <w:rsid w:val="00493626"/>
    <w:rsid w:val="00494C4C"/>
    <w:rsid w:val="0049599E"/>
    <w:rsid w:val="004A255A"/>
    <w:rsid w:val="004B1133"/>
    <w:rsid w:val="004C2DD3"/>
    <w:rsid w:val="004C649B"/>
    <w:rsid w:val="004D61F4"/>
    <w:rsid w:val="00507A1B"/>
    <w:rsid w:val="0051604B"/>
    <w:rsid w:val="00522005"/>
    <w:rsid w:val="00536215"/>
    <w:rsid w:val="0054490F"/>
    <w:rsid w:val="00551061"/>
    <w:rsid w:val="00552F5D"/>
    <w:rsid w:val="00567E21"/>
    <w:rsid w:val="005712D3"/>
    <w:rsid w:val="005A0DF4"/>
    <w:rsid w:val="005A4C72"/>
    <w:rsid w:val="005A653A"/>
    <w:rsid w:val="005B112C"/>
    <w:rsid w:val="005B4B2B"/>
    <w:rsid w:val="005C21A9"/>
    <w:rsid w:val="005D41FB"/>
    <w:rsid w:val="005D6D51"/>
    <w:rsid w:val="005E3ADD"/>
    <w:rsid w:val="005E6365"/>
    <w:rsid w:val="005F4ECA"/>
    <w:rsid w:val="00603290"/>
    <w:rsid w:val="00607ADB"/>
    <w:rsid w:val="00637FE1"/>
    <w:rsid w:val="00640351"/>
    <w:rsid w:val="00642EE1"/>
    <w:rsid w:val="00663BE7"/>
    <w:rsid w:val="00665E7E"/>
    <w:rsid w:val="00681719"/>
    <w:rsid w:val="00684C37"/>
    <w:rsid w:val="006C47DC"/>
    <w:rsid w:val="006C765C"/>
    <w:rsid w:val="006D5D99"/>
    <w:rsid w:val="006D6D5B"/>
    <w:rsid w:val="006E06E0"/>
    <w:rsid w:val="006E0CCC"/>
    <w:rsid w:val="006E115E"/>
    <w:rsid w:val="006E589A"/>
    <w:rsid w:val="006F40E8"/>
    <w:rsid w:val="00703DDD"/>
    <w:rsid w:val="00704811"/>
    <w:rsid w:val="0070613C"/>
    <w:rsid w:val="00710DCD"/>
    <w:rsid w:val="0071582C"/>
    <w:rsid w:val="00727DCB"/>
    <w:rsid w:val="007317A3"/>
    <w:rsid w:val="00735F12"/>
    <w:rsid w:val="00741A24"/>
    <w:rsid w:val="0075262E"/>
    <w:rsid w:val="00753A11"/>
    <w:rsid w:val="00765761"/>
    <w:rsid w:val="00776AD5"/>
    <w:rsid w:val="00793C35"/>
    <w:rsid w:val="007952DA"/>
    <w:rsid w:val="007A4F8B"/>
    <w:rsid w:val="007A511A"/>
    <w:rsid w:val="007B68E3"/>
    <w:rsid w:val="007C0B7B"/>
    <w:rsid w:val="007C1972"/>
    <w:rsid w:val="007E64C8"/>
    <w:rsid w:val="00802B4D"/>
    <w:rsid w:val="00803A22"/>
    <w:rsid w:val="008079C5"/>
    <w:rsid w:val="00813E38"/>
    <w:rsid w:val="008174F9"/>
    <w:rsid w:val="00822BE9"/>
    <w:rsid w:val="0087299F"/>
    <w:rsid w:val="00883887"/>
    <w:rsid w:val="00883956"/>
    <w:rsid w:val="008900AC"/>
    <w:rsid w:val="008949F7"/>
    <w:rsid w:val="00897668"/>
    <w:rsid w:val="008A157B"/>
    <w:rsid w:val="008A5F07"/>
    <w:rsid w:val="008B79EC"/>
    <w:rsid w:val="008C042D"/>
    <w:rsid w:val="008C7065"/>
    <w:rsid w:val="008D18A0"/>
    <w:rsid w:val="008D18A4"/>
    <w:rsid w:val="008E0E18"/>
    <w:rsid w:val="00900243"/>
    <w:rsid w:val="009017BA"/>
    <w:rsid w:val="00904777"/>
    <w:rsid w:val="00906D2E"/>
    <w:rsid w:val="009233C5"/>
    <w:rsid w:val="0092637A"/>
    <w:rsid w:val="00934ACD"/>
    <w:rsid w:val="0093643E"/>
    <w:rsid w:val="009364D7"/>
    <w:rsid w:val="00940163"/>
    <w:rsid w:val="0094243C"/>
    <w:rsid w:val="00952855"/>
    <w:rsid w:val="00974329"/>
    <w:rsid w:val="009A4E42"/>
    <w:rsid w:val="009B308E"/>
    <w:rsid w:val="009B5262"/>
    <w:rsid w:val="009C2AC0"/>
    <w:rsid w:val="009C4C05"/>
    <w:rsid w:val="009D5B7C"/>
    <w:rsid w:val="009D7973"/>
    <w:rsid w:val="009E4BF1"/>
    <w:rsid w:val="00A00571"/>
    <w:rsid w:val="00A134D5"/>
    <w:rsid w:val="00A162DE"/>
    <w:rsid w:val="00A209B3"/>
    <w:rsid w:val="00A261B9"/>
    <w:rsid w:val="00A27DF8"/>
    <w:rsid w:val="00A47801"/>
    <w:rsid w:val="00A55C68"/>
    <w:rsid w:val="00A6013B"/>
    <w:rsid w:val="00A6559B"/>
    <w:rsid w:val="00A74966"/>
    <w:rsid w:val="00A80931"/>
    <w:rsid w:val="00A97401"/>
    <w:rsid w:val="00AB0292"/>
    <w:rsid w:val="00AB2776"/>
    <w:rsid w:val="00AB5FA7"/>
    <w:rsid w:val="00AC376C"/>
    <w:rsid w:val="00AE23A7"/>
    <w:rsid w:val="00AF5A19"/>
    <w:rsid w:val="00B022B6"/>
    <w:rsid w:val="00B10BA2"/>
    <w:rsid w:val="00B1411C"/>
    <w:rsid w:val="00B23077"/>
    <w:rsid w:val="00B27142"/>
    <w:rsid w:val="00B47CD2"/>
    <w:rsid w:val="00B566D7"/>
    <w:rsid w:val="00B606BE"/>
    <w:rsid w:val="00B63110"/>
    <w:rsid w:val="00B658D0"/>
    <w:rsid w:val="00B975C0"/>
    <w:rsid w:val="00B97DA0"/>
    <w:rsid w:val="00BA59FB"/>
    <w:rsid w:val="00BB45AE"/>
    <w:rsid w:val="00BC7661"/>
    <w:rsid w:val="00BE2FA3"/>
    <w:rsid w:val="00C05568"/>
    <w:rsid w:val="00C07BB1"/>
    <w:rsid w:val="00C30C41"/>
    <w:rsid w:val="00C459FC"/>
    <w:rsid w:val="00C645FA"/>
    <w:rsid w:val="00C67D9C"/>
    <w:rsid w:val="00C74246"/>
    <w:rsid w:val="00CA54FD"/>
    <w:rsid w:val="00CB31D7"/>
    <w:rsid w:val="00CC243A"/>
    <w:rsid w:val="00CD079B"/>
    <w:rsid w:val="00CF618F"/>
    <w:rsid w:val="00D131D9"/>
    <w:rsid w:val="00D13F81"/>
    <w:rsid w:val="00D5417D"/>
    <w:rsid w:val="00D67329"/>
    <w:rsid w:val="00D81B9D"/>
    <w:rsid w:val="00DA2604"/>
    <w:rsid w:val="00DC3B53"/>
    <w:rsid w:val="00DD02BE"/>
    <w:rsid w:val="00DD796D"/>
    <w:rsid w:val="00E067DB"/>
    <w:rsid w:val="00E10726"/>
    <w:rsid w:val="00E10D8A"/>
    <w:rsid w:val="00E171CC"/>
    <w:rsid w:val="00E366BF"/>
    <w:rsid w:val="00E40DCF"/>
    <w:rsid w:val="00E42DA5"/>
    <w:rsid w:val="00E4476D"/>
    <w:rsid w:val="00E55A95"/>
    <w:rsid w:val="00E80D89"/>
    <w:rsid w:val="00E9326D"/>
    <w:rsid w:val="00E9338A"/>
    <w:rsid w:val="00EB1266"/>
    <w:rsid w:val="00EB2BFD"/>
    <w:rsid w:val="00EB2C7D"/>
    <w:rsid w:val="00ED0646"/>
    <w:rsid w:val="00ED09EA"/>
    <w:rsid w:val="00ED2EB8"/>
    <w:rsid w:val="00EE0B5F"/>
    <w:rsid w:val="00EE3E50"/>
    <w:rsid w:val="00EF2F70"/>
    <w:rsid w:val="00EF718F"/>
    <w:rsid w:val="00F24399"/>
    <w:rsid w:val="00F270D0"/>
    <w:rsid w:val="00F37832"/>
    <w:rsid w:val="00F41704"/>
    <w:rsid w:val="00F466BD"/>
    <w:rsid w:val="00F50FF0"/>
    <w:rsid w:val="00F53571"/>
    <w:rsid w:val="00F752C0"/>
    <w:rsid w:val="00FB7BA3"/>
    <w:rsid w:val="00FC0925"/>
    <w:rsid w:val="00FC17FE"/>
    <w:rsid w:val="00FD034E"/>
    <w:rsid w:val="00FE0014"/>
    <w:rsid w:val="00FE5135"/>
    <w:rsid w:val="01017684"/>
    <w:rsid w:val="01602972"/>
    <w:rsid w:val="01D958DB"/>
    <w:rsid w:val="02CA3CA8"/>
    <w:rsid w:val="02E22CE2"/>
    <w:rsid w:val="037F53D1"/>
    <w:rsid w:val="0440568B"/>
    <w:rsid w:val="0663677F"/>
    <w:rsid w:val="068E19FD"/>
    <w:rsid w:val="06936EDB"/>
    <w:rsid w:val="08B94818"/>
    <w:rsid w:val="09CA05C9"/>
    <w:rsid w:val="0C7637F4"/>
    <w:rsid w:val="0CFD055A"/>
    <w:rsid w:val="0D110C4F"/>
    <w:rsid w:val="0D302C2E"/>
    <w:rsid w:val="0D306AF8"/>
    <w:rsid w:val="0D910C60"/>
    <w:rsid w:val="0E6270C7"/>
    <w:rsid w:val="0EB43C26"/>
    <w:rsid w:val="0F0A004B"/>
    <w:rsid w:val="0F3557D0"/>
    <w:rsid w:val="0F3D2A0E"/>
    <w:rsid w:val="0F757924"/>
    <w:rsid w:val="0FF92FFA"/>
    <w:rsid w:val="110E2E43"/>
    <w:rsid w:val="1160746F"/>
    <w:rsid w:val="11A55AA9"/>
    <w:rsid w:val="142E2614"/>
    <w:rsid w:val="14BC76F2"/>
    <w:rsid w:val="15573B1C"/>
    <w:rsid w:val="1893718E"/>
    <w:rsid w:val="18F477DA"/>
    <w:rsid w:val="193F4B73"/>
    <w:rsid w:val="19CD1FA1"/>
    <w:rsid w:val="19DF9645"/>
    <w:rsid w:val="19F2533E"/>
    <w:rsid w:val="1B183F58"/>
    <w:rsid w:val="1C112ED9"/>
    <w:rsid w:val="1D244C0C"/>
    <w:rsid w:val="1D615DFF"/>
    <w:rsid w:val="1E15036A"/>
    <w:rsid w:val="212E63EE"/>
    <w:rsid w:val="22282732"/>
    <w:rsid w:val="22900EDF"/>
    <w:rsid w:val="22A17BB0"/>
    <w:rsid w:val="22C5224C"/>
    <w:rsid w:val="22C7348E"/>
    <w:rsid w:val="22FB28BD"/>
    <w:rsid w:val="230576F2"/>
    <w:rsid w:val="26571D76"/>
    <w:rsid w:val="26FB3566"/>
    <w:rsid w:val="27B87E1C"/>
    <w:rsid w:val="27DA63B5"/>
    <w:rsid w:val="27E50E00"/>
    <w:rsid w:val="28123DA1"/>
    <w:rsid w:val="28230DBF"/>
    <w:rsid w:val="29271066"/>
    <w:rsid w:val="29C72969"/>
    <w:rsid w:val="2A1E2ED6"/>
    <w:rsid w:val="2B5774B4"/>
    <w:rsid w:val="2BCE3E2C"/>
    <w:rsid w:val="2BDB2171"/>
    <w:rsid w:val="2C104D14"/>
    <w:rsid w:val="2E755089"/>
    <w:rsid w:val="2F6D7C66"/>
    <w:rsid w:val="3037399C"/>
    <w:rsid w:val="30A92C23"/>
    <w:rsid w:val="30F84879"/>
    <w:rsid w:val="32707FD3"/>
    <w:rsid w:val="334E1991"/>
    <w:rsid w:val="334F4944"/>
    <w:rsid w:val="335C4F5E"/>
    <w:rsid w:val="33C12E53"/>
    <w:rsid w:val="33D96FC2"/>
    <w:rsid w:val="34A264AC"/>
    <w:rsid w:val="34C06933"/>
    <w:rsid w:val="362E1274"/>
    <w:rsid w:val="36360EF6"/>
    <w:rsid w:val="37992F32"/>
    <w:rsid w:val="38B22A8A"/>
    <w:rsid w:val="3997540E"/>
    <w:rsid w:val="3A5245A4"/>
    <w:rsid w:val="3AC83310"/>
    <w:rsid w:val="3B9414DE"/>
    <w:rsid w:val="3BB70581"/>
    <w:rsid w:val="3BFED9D4"/>
    <w:rsid w:val="3D5C68AD"/>
    <w:rsid w:val="3D7F1A27"/>
    <w:rsid w:val="3DA13606"/>
    <w:rsid w:val="3DC14A8D"/>
    <w:rsid w:val="3E5F1744"/>
    <w:rsid w:val="3EDF5FB8"/>
    <w:rsid w:val="3EFA02ED"/>
    <w:rsid w:val="3F306387"/>
    <w:rsid w:val="405368AD"/>
    <w:rsid w:val="41156922"/>
    <w:rsid w:val="416B47B4"/>
    <w:rsid w:val="41BD6AC4"/>
    <w:rsid w:val="42975061"/>
    <w:rsid w:val="43DF549E"/>
    <w:rsid w:val="45214ECC"/>
    <w:rsid w:val="458C543E"/>
    <w:rsid w:val="461A06D5"/>
    <w:rsid w:val="4911701A"/>
    <w:rsid w:val="4A2800B7"/>
    <w:rsid w:val="4A9D74AF"/>
    <w:rsid w:val="4B944245"/>
    <w:rsid w:val="4B99180E"/>
    <w:rsid w:val="4E121C82"/>
    <w:rsid w:val="4EE63C40"/>
    <w:rsid w:val="4F3D78AC"/>
    <w:rsid w:val="4F5434AE"/>
    <w:rsid w:val="5273339D"/>
    <w:rsid w:val="528C6644"/>
    <w:rsid w:val="52DA7305"/>
    <w:rsid w:val="5345186F"/>
    <w:rsid w:val="535F64A6"/>
    <w:rsid w:val="543D7E8D"/>
    <w:rsid w:val="54967DED"/>
    <w:rsid w:val="55567471"/>
    <w:rsid w:val="559221ED"/>
    <w:rsid w:val="57D83DFB"/>
    <w:rsid w:val="57FB6A8F"/>
    <w:rsid w:val="583E1799"/>
    <w:rsid w:val="587E4091"/>
    <w:rsid w:val="5A6776CD"/>
    <w:rsid w:val="5B8637E6"/>
    <w:rsid w:val="5C467A75"/>
    <w:rsid w:val="5D1B7230"/>
    <w:rsid w:val="5DDBFEEE"/>
    <w:rsid w:val="5E1F1990"/>
    <w:rsid w:val="5F023B27"/>
    <w:rsid w:val="5F274A59"/>
    <w:rsid w:val="5F6E8E11"/>
    <w:rsid w:val="60252844"/>
    <w:rsid w:val="61921706"/>
    <w:rsid w:val="62480FBE"/>
    <w:rsid w:val="62AE3DBC"/>
    <w:rsid w:val="62EC5B86"/>
    <w:rsid w:val="630A162A"/>
    <w:rsid w:val="630C2BBF"/>
    <w:rsid w:val="637B352E"/>
    <w:rsid w:val="64236FA1"/>
    <w:rsid w:val="64D67929"/>
    <w:rsid w:val="66BFB5B0"/>
    <w:rsid w:val="67C22C41"/>
    <w:rsid w:val="68440CE5"/>
    <w:rsid w:val="69F90CA3"/>
    <w:rsid w:val="6ADA6FE4"/>
    <w:rsid w:val="6B2D43FA"/>
    <w:rsid w:val="6C8467AB"/>
    <w:rsid w:val="6D4016C1"/>
    <w:rsid w:val="6DC46050"/>
    <w:rsid w:val="6E0954DC"/>
    <w:rsid w:val="6F6F2844"/>
    <w:rsid w:val="6F991EAF"/>
    <w:rsid w:val="706248E5"/>
    <w:rsid w:val="70D54F38"/>
    <w:rsid w:val="712A62BB"/>
    <w:rsid w:val="727F2F33"/>
    <w:rsid w:val="739668F2"/>
    <w:rsid w:val="74052E79"/>
    <w:rsid w:val="7405663E"/>
    <w:rsid w:val="74AD3536"/>
    <w:rsid w:val="74FD9DBF"/>
    <w:rsid w:val="751F6573"/>
    <w:rsid w:val="75EFA48D"/>
    <w:rsid w:val="763F3FDA"/>
    <w:rsid w:val="77044320"/>
    <w:rsid w:val="7731698A"/>
    <w:rsid w:val="77767220"/>
    <w:rsid w:val="788D659F"/>
    <w:rsid w:val="78B673FD"/>
    <w:rsid w:val="7915472E"/>
    <w:rsid w:val="7A212553"/>
    <w:rsid w:val="7A342F8C"/>
    <w:rsid w:val="7A754B63"/>
    <w:rsid w:val="7BC87B0C"/>
    <w:rsid w:val="7CCA0A2C"/>
    <w:rsid w:val="7D443D41"/>
    <w:rsid w:val="7E4C0545"/>
    <w:rsid w:val="7E4E3891"/>
    <w:rsid w:val="7F7F716D"/>
    <w:rsid w:val="7FDA3EB2"/>
    <w:rsid w:val="CD2CD951"/>
    <w:rsid w:val="D6ED0AC6"/>
    <w:rsid w:val="DEF4DCF7"/>
    <w:rsid w:val="DF3BA5B5"/>
    <w:rsid w:val="EB7F0E62"/>
    <w:rsid w:val="EFFBFCAC"/>
    <w:rsid w:val="F3DF0BA5"/>
    <w:rsid w:val="F3F50CCD"/>
    <w:rsid w:val="F7DE555A"/>
    <w:rsid w:val="F7ED0E50"/>
    <w:rsid w:val="FAFC0AEE"/>
    <w:rsid w:val="FBBFA982"/>
    <w:rsid w:val="FF662290"/>
    <w:rsid w:val="FFBCE5DD"/>
    <w:rsid w:val="FFD5A58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name="heading 2"/>
    <w:lsdException w:qFormat="1" w:unhideWhenUsed="0" w:uiPriority="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8"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Theme="minorEastAsia" w:cstheme="minorBidi"/>
      <w:kern w:val="2"/>
      <w:sz w:val="21"/>
      <w:szCs w:val="22"/>
      <w:lang w:val="en-US" w:eastAsia="zh-CN" w:bidi="ar-SA"/>
    </w:rPr>
  </w:style>
  <w:style w:type="paragraph" w:styleId="2">
    <w:name w:val="heading 2"/>
    <w:basedOn w:val="1"/>
    <w:next w:val="1"/>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semiHidden/>
    <w:qFormat/>
    <w:uiPriority w:val="0"/>
    <w:pPr>
      <w:keepNext/>
      <w:keepLines/>
      <w:spacing w:line="416" w:lineRule="auto"/>
      <w:outlineLvl w:val="2"/>
    </w:pPr>
    <w:rPr>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annotation text"/>
    <w:basedOn w:val="1"/>
    <w:link w:val="20"/>
    <w:semiHidden/>
    <w:unhideWhenUsed/>
    <w:qFormat/>
    <w:uiPriority w:val="99"/>
    <w:pPr>
      <w:jc w:val="left"/>
    </w:pPr>
  </w:style>
  <w:style w:type="paragraph" w:styleId="5">
    <w:name w:val="Body Text"/>
    <w:basedOn w:val="1"/>
    <w:next w:val="6"/>
    <w:semiHidden/>
    <w:qFormat/>
    <w:uiPriority w:val="98"/>
    <w:rPr>
      <w:rFonts w:ascii="仿宋_GB2312" w:eastAsia="仿宋_GB2312"/>
      <w:sz w:val="32"/>
    </w:rPr>
  </w:style>
  <w:style w:type="paragraph" w:customStyle="1" w:styleId="6">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styleId="7">
    <w:name w:val="Plain Text"/>
    <w:basedOn w:val="1"/>
    <w:link w:val="29"/>
    <w:qFormat/>
    <w:uiPriority w:val="0"/>
    <w:pPr>
      <w:jc w:val="left"/>
    </w:pPr>
    <w:rPr>
      <w:rFonts w:ascii="宋体" w:hAnsi="Courier New"/>
      <w:szCs w:val="20"/>
    </w:rPr>
  </w:style>
  <w:style w:type="paragraph" w:styleId="8">
    <w:name w:val="Balloon Text"/>
    <w:basedOn w:val="1"/>
    <w:link w:val="21"/>
    <w:semiHidden/>
    <w:unhideWhenUsed/>
    <w:qFormat/>
    <w:uiPriority w:val="99"/>
    <w:rPr>
      <w:sz w:val="18"/>
      <w:szCs w:val="18"/>
    </w:rPr>
  </w:style>
  <w:style w:type="paragraph" w:styleId="9">
    <w:name w:val="footer"/>
    <w:basedOn w:val="1"/>
    <w:link w:val="18"/>
    <w:unhideWhenUsed/>
    <w:qFormat/>
    <w:uiPriority w:val="99"/>
    <w:pPr>
      <w:tabs>
        <w:tab w:val="center" w:pos="4153"/>
        <w:tab w:val="right" w:pos="8306"/>
      </w:tabs>
      <w:snapToGrid w:val="0"/>
      <w:jc w:val="left"/>
    </w:pPr>
    <w:rPr>
      <w:sz w:val="18"/>
      <w:szCs w:val="18"/>
    </w:rPr>
  </w:style>
  <w:style w:type="paragraph" w:styleId="10">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jc w:val="left"/>
    </w:pPr>
    <w:rPr>
      <w:rFonts w:eastAsia="宋体" w:cs="Times New Roman"/>
      <w:kern w:val="0"/>
      <w:sz w:val="24"/>
      <w:szCs w:val="24"/>
    </w:rPr>
  </w:style>
  <w:style w:type="table" w:styleId="13">
    <w:name w:val="Table Grid"/>
    <w:qFormat/>
    <w:uiPriority w:val="0"/>
    <w:rPr>
      <w:rFonts w:asciiTheme="minorHAnsi" w:hAnsiTheme="minorHAnsi" w:eastAsiaTheme="minorEastAsia" w:cstheme="minorBid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
  </w:style>
  <w:style w:type="character" w:styleId="15">
    <w:name w:val="Hyperlink"/>
    <w:basedOn w:val="14"/>
    <w:qFormat/>
    <w:uiPriority w:val="99"/>
    <w:rPr>
      <w:rFonts w:cs="Times New Roman"/>
      <w:color w:val="1F4F88"/>
      <w:u w:val="none"/>
    </w:rPr>
  </w:style>
  <w:style w:type="character" w:styleId="16">
    <w:name w:val="annotation reference"/>
    <w:basedOn w:val="14"/>
    <w:semiHidden/>
    <w:unhideWhenUsed/>
    <w:qFormat/>
    <w:uiPriority w:val="99"/>
    <w:rPr>
      <w:sz w:val="21"/>
      <w:szCs w:val="21"/>
    </w:rPr>
  </w:style>
  <w:style w:type="character" w:customStyle="1" w:styleId="17">
    <w:name w:val="页眉 字符"/>
    <w:basedOn w:val="14"/>
    <w:link w:val="10"/>
    <w:qFormat/>
    <w:uiPriority w:val="99"/>
    <w:rPr>
      <w:sz w:val="18"/>
      <w:szCs w:val="18"/>
    </w:rPr>
  </w:style>
  <w:style w:type="character" w:customStyle="1" w:styleId="18">
    <w:name w:val="页脚 字符"/>
    <w:basedOn w:val="14"/>
    <w:link w:val="9"/>
    <w:qFormat/>
    <w:uiPriority w:val="99"/>
    <w:rPr>
      <w:sz w:val="18"/>
      <w:szCs w:val="18"/>
    </w:rPr>
  </w:style>
  <w:style w:type="paragraph" w:customStyle="1" w:styleId="19">
    <w:name w:val="列出段落1"/>
    <w:basedOn w:val="1"/>
    <w:qFormat/>
    <w:uiPriority w:val="0"/>
    <w:pPr>
      <w:ind w:firstLine="420" w:firstLineChars="200"/>
    </w:pPr>
  </w:style>
  <w:style w:type="character" w:customStyle="1" w:styleId="20">
    <w:name w:val="批注文字 字符"/>
    <w:basedOn w:val="14"/>
    <w:link w:val="4"/>
    <w:semiHidden/>
    <w:qFormat/>
    <w:uiPriority w:val="99"/>
    <w:rPr>
      <w:rFonts w:ascii="Calibri" w:hAnsi="Calibri"/>
    </w:rPr>
  </w:style>
  <w:style w:type="character" w:customStyle="1" w:styleId="21">
    <w:name w:val="批注框文本 字符"/>
    <w:basedOn w:val="14"/>
    <w:link w:val="8"/>
    <w:semiHidden/>
    <w:qFormat/>
    <w:uiPriority w:val="99"/>
    <w:rPr>
      <w:rFonts w:eastAsiaTheme="minorEastAsia" w:cstheme="minorBidi"/>
      <w:kern w:val="2"/>
      <w:sz w:val="18"/>
      <w:szCs w:val="18"/>
    </w:rPr>
  </w:style>
  <w:style w:type="character" w:customStyle="1" w:styleId="22">
    <w:name w:val="font51"/>
    <w:basedOn w:val="14"/>
    <w:qFormat/>
    <w:uiPriority w:val="0"/>
    <w:rPr>
      <w:rFonts w:hint="eastAsia" w:ascii="仿宋" w:hAnsi="仿宋" w:eastAsia="仿宋" w:cs="仿宋"/>
      <w:color w:val="000000"/>
      <w:sz w:val="24"/>
      <w:szCs w:val="24"/>
      <w:u w:val="none"/>
    </w:rPr>
  </w:style>
  <w:style w:type="paragraph" w:styleId="23">
    <w:name w:val="List Paragraph"/>
    <w:basedOn w:val="1"/>
    <w:unhideWhenUsed/>
    <w:qFormat/>
    <w:uiPriority w:val="99"/>
    <w:pPr>
      <w:ind w:firstLine="420" w:firstLineChars="200"/>
    </w:pPr>
  </w:style>
  <w:style w:type="paragraph" w:customStyle="1" w:styleId="24">
    <w:name w:val="修订1"/>
    <w:hidden/>
    <w:semiHidden/>
    <w:qFormat/>
    <w:uiPriority w:val="99"/>
    <w:rPr>
      <w:rFonts w:ascii="Calibri" w:hAnsi="Calibri" w:eastAsiaTheme="minorEastAsia" w:cstheme="minorBidi"/>
      <w:kern w:val="2"/>
      <w:sz w:val="21"/>
      <w:szCs w:val="22"/>
      <w:lang w:val="en-US" w:eastAsia="zh-CN" w:bidi="ar-SA"/>
    </w:rPr>
  </w:style>
  <w:style w:type="paragraph" w:customStyle="1" w:styleId="25">
    <w:name w:val="修订2"/>
    <w:hidden/>
    <w:semiHidden/>
    <w:qFormat/>
    <w:uiPriority w:val="99"/>
    <w:rPr>
      <w:rFonts w:ascii="Calibri" w:hAnsi="Calibri" w:eastAsiaTheme="minorEastAsia" w:cstheme="minorBidi"/>
      <w:kern w:val="2"/>
      <w:sz w:val="21"/>
      <w:szCs w:val="22"/>
      <w:lang w:val="en-US" w:eastAsia="zh-CN" w:bidi="ar-SA"/>
    </w:rPr>
  </w:style>
  <w:style w:type="paragraph" w:customStyle="1" w:styleId="26">
    <w:name w:val="修订3"/>
    <w:hidden/>
    <w:semiHidden/>
    <w:qFormat/>
    <w:uiPriority w:val="99"/>
    <w:rPr>
      <w:rFonts w:ascii="Calibri" w:hAnsi="Calibri" w:eastAsiaTheme="minorEastAsia" w:cstheme="minorBidi"/>
      <w:kern w:val="2"/>
      <w:sz w:val="21"/>
      <w:szCs w:val="22"/>
      <w:lang w:val="en-US" w:eastAsia="zh-CN" w:bidi="ar-SA"/>
    </w:rPr>
  </w:style>
  <w:style w:type="paragraph" w:customStyle="1" w:styleId="27">
    <w:name w:val="修订4"/>
    <w:hidden/>
    <w:semiHidden/>
    <w:qFormat/>
    <w:uiPriority w:val="99"/>
    <w:rPr>
      <w:rFonts w:ascii="Calibri" w:hAnsi="Calibri" w:eastAsiaTheme="minorEastAsia" w:cstheme="minorBidi"/>
      <w:kern w:val="2"/>
      <w:sz w:val="21"/>
      <w:szCs w:val="22"/>
      <w:lang w:val="en-US" w:eastAsia="zh-CN" w:bidi="ar-SA"/>
    </w:rPr>
  </w:style>
  <w:style w:type="paragraph" w:customStyle="1" w:styleId="28">
    <w:name w:val="修订5"/>
    <w:hidden/>
    <w:semiHidden/>
    <w:qFormat/>
    <w:uiPriority w:val="99"/>
    <w:rPr>
      <w:rFonts w:ascii="Calibri" w:hAnsi="Calibri" w:eastAsiaTheme="minorEastAsia" w:cstheme="minorBidi"/>
      <w:kern w:val="2"/>
      <w:sz w:val="21"/>
      <w:szCs w:val="22"/>
      <w:lang w:val="en-US" w:eastAsia="zh-CN" w:bidi="ar-SA"/>
    </w:rPr>
  </w:style>
  <w:style w:type="character" w:customStyle="1" w:styleId="29">
    <w:name w:val="纯文本 字符"/>
    <w:basedOn w:val="14"/>
    <w:link w:val="7"/>
    <w:qFormat/>
    <w:uiPriority w:val="0"/>
    <w:rPr>
      <w:rFonts w:ascii="宋体" w:hAnsi="Courier New" w:eastAsiaTheme="minorEastAsia" w:cstheme="minorBidi"/>
      <w:kern w:val="2"/>
      <w:sz w:val="21"/>
    </w:rPr>
  </w:style>
  <w:style w:type="paragraph" w:customStyle="1" w:styleId="30">
    <w:name w:val="修订6"/>
    <w:hidden/>
    <w:semiHidden/>
    <w:qFormat/>
    <w:uiPriority w:val="99"/>
    <w:rPr>
      <w:rFonts w:ascii="Calibri" w:hAnsi="Calibri" w:eastAsiaTheme="minorEastAsia" w:cstheme="minorBidi"/>
      <w:kern w:val="2"/>
      <w:sz w:val="21"/>
      <w:szCs w:val="22"/>
      <w:lang w:val="en-US" w:eastAsia="zh-CN" w:bidi="ar-SA"/>
    </w:rPr>
  </w:style>
  <w:style w:type="paragraph" w:customStyle="1" w:styleId="31">
    <w:name w:val="Table Paragraph"/>
    <w:basedOn w:val="1"/>
    <w:qFormat/>
    <w:uiPriority w:val="1"/>
  </w:style>
  <w:style w:type="table" w:customStyle="1" w:styleId="32">
    <w:name w:val="Table Normal"/>
    <w:basedOn w:val="12"/>
    <w:semiHidden/>
    <w:unhideWhenUsed/>
    <w:qFormat/>
    <w:uiPriority w:val="2"/>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33">
    <w:name w:val="一级标题"/>
    <w:basedOn w:val="7"/>
    <w:qFormat/>
    <w:uiPriority w:val="1"/>
    <w:pPr>
      <w:numPr>
        <w:ilvl w:val="0"/>
        <w:numId w:val="1"/>
      </w:numPr>
      <w:spacing w:line="360" w:lineRule="auto"/>
      <w:ind w:left="420"/>
      <w:outlineLvl w:val="1"/>
    </w:pPr>
    <w:rPr>
      <w:rFonts w:ascii="黑体" w:eastAsia="黑体"/>
      <w:b/>
      <w:bCs/>
      <w:sz w:val="28"/>
    </w:rPr>
  </w:style>
  <w:style w:type="paragraph" w:customStyle="1" w:styleId="34">
    <w:name w:val="标书正文"/>
    <w:basedOn w:val="7"/>
    <w:qFormat/>
    <w:uiPriority w:val="9"/>
    <w:pPr>
      <w:spacing w:line="360" w:lineRule="auto"/>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10</Pages>
  <Words>1427</Words>
  <Characters>1667</Characters>
  <Lines>26</Lines>
  <Paragraphs>7</Paragraphs>
  <TotalTime>17</TotalTime>
  <ScaleCrop>false</ScaleCrop>
  <LinksUpToDate>false</LinksUpToDate>
  <CharactersWithSpaces>1690</CharactersWithSpaces>
  <Application>WPS Office_12.1.0.24655_F1E327BC-269C-435d-A152-05C5408002CA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2023-05-24T02:19:00Z</dcterms:created>
  <dc:creator>jn</dc:creator>
  <cp:lastModifiedBy>张立明</cp:lastModifiedBy>
  <cp:lastPrinted>2021-01-17T03:15:00Z</cp:lastPrinted>
  <dcterms:modified xsi:type="dcterms:W3CDTF">2026-10-23T07:10:05Z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2052-12.1.0.24655</vt:lpwstr>
  </property>
  <property fmtid="{D5CDD505-2E9C-101B-9397-08002B2CF9AE}" pid="3" name="ICV">
    <vt:lpwstr>CD186C38D3404F899DE1D7BD014DF1CC_13</vt:lpwstr>
  </property>
  <property fmtid="{D5CDD505-2E9C-101B-9397-08002B2CF9AE}" pid="4" name="KSOTemplateDocerSaveRecord">
    <vt:lpwstr>eyJoZGlkIjoiNTA2NTFkNmNiMDYyMjM2NzllZGU1YTM0NTk1ZjIzMzYiLCJ1c2VySWQiOiIzMTIyMDUyNjMifQ==</vt:lpwstr>
  </property>
</Properties>
</file>