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51775DA">
      <w:pPr>
        <w:pStyle w:val="style0"/>
        <w:jc w:val="center"/>
        <w:rPr>
          <w:rFonts w:ascii="宋体" w:hAnsi="宋体"/>
          <w:sz w:val="30"/>
          <w:szCs w:val="30"/>
        </w:rPr>
      </w:pPr>
      <w:r>
        <w:rPr>
          <w:rFonts w:ascii="宋体" w:hAnsi="宋体" w:hint="eastAsia"/>
          <w:sz w:val="30"/>
          <w:szCs w:val="30"/>
        </w:rPr>
        <w:t xml:space="preserve"> </w:t>
      </w:r>
    </w:p>
    <w:p w14:paraId="7E65104A">
      <w:pPr>
        <w:pStyle w:val="style0"/>
        <w:jc w:val="center"/>
        <w:rPr>
          <w:rFonts w:ascii="宋体" w:hAnsi="宋体" w:hint="eastAsia"/>
          <w:sz w:val="44"/>
          <w:szCs w:val="48"/>
        </w:rPr>
      </w:pPr>
      <w:r>
        <w:rPr>
          <w:rFonts w:ascii="宋体" w:hAnsi="宋体" w:hint="eastAsia"/>
          <w:sz w:val="44"/>
          <w:szCs w:val="48"/>
        </w:rPr>
        <w:t>中国重汽集团</w:t>
      </w:r>
    </w:p>
    <w:p w14:paraId="2C7FE262">
      <w:pPr>
        <w:pStyle w:val="style0"/>
        <w:jc w:val="center"/>
        <w:rPr>
          <w:rFonts w:ascii="宋体" w:hAnsi="宋体"/>
          <w:sz w:val="44"/>
          <w:szCs w:val="48"/>
        </w:rPr>
      </w:pPr>
      <w:r>
        <w:rPr>
          <w:rFonts w:ascii="宋体" w:hAnsi="宋体" w:hint="eastAsia"/>
          <w:sz w:val="44"/>
          <w:szCs w:val="48"/>
        </w:rPr>
        <w:t>2026年度能源管道设施年度维修项目</w:t>
      </w:r>
    </w:p>
    <w:p w14:paraId="30A9A4D7">
      <w:pPr>
        <w:pStyle w:val="style0"/>
        <w:ind w:right="280"/>
        <w:jc w:val="right"/>
        <w:rPr>
          <w:sz w:val="28"/>
          <w:szCs w:val="28"/>
        </w:rPr>
      </w:pPr>
    </w:p>
    <w:p w14:paraId="0406C0B4">
      <w:pPr>
        <w:pStyle w:val="style0"/>
        <w:jc w:val="right"/>
        <w:rPr>
          <w:sz w:val="28"/>
          <w:szCs w:val="28"/>
        </w:rPr>
      </w:pPr>
    </w:p>
    <w:p w14:paraId="37E7FE1C">
      <w:pPr>
        <w:pStyle w:val="style0"/>
        <w:jc w:val="center"/>
        <w:rPr>
          <w:rFonts w:ascii="黑体" w:eastAsia="黑体" w:hAnsi="宋体"/>
          <w:sz w:val="56"/>
          <w:szCs w:val="84"/>
        </w:rPr>
      </w:pPr>
      <w:r>
        <w:rPr>
          <w:rFonts w:ascii="黑体" w:eastAsia="黑体" w:hAnsi="宋体" w:hint="eastAsia"/>
          <w:sz w:val="56"/>
          <w:szCs w:val="84"/>
        </w:rPr>
        <w:t>招</w:t>
      </w:r>
    </w:p>
    <w:p w14:paraId="2EE65A17">
      <w:pPr>
        <w:pStyle w:val="style0"/>
        <w:jc w:val="center"/>
        <w:rPr>
          <w:rFonts w:ascii="黑体" w:eastAsia="黑体" w:hAnsi="宋体"/>
          <w:sz w:val="56"/>
          <w:szCs w:val="84"/>
        </w:rPr>
      </w:pPr>
    </w:p>
    <w:p w14:paraId="28686271">
      <w:pPr>
        <w:pStyle w:val="style0"/>
        <w:jc w:val="center"/>
        <w:rPr>
          <w:rFonts w:ascii="黑体" w:eastAsia="黑体" w:hAnsi="宋体"/>
          <w:sz w:val="56"/>
          <w:szCs w:val="84"/>
        </w:rPr>
      </w:pPr>
      <w:r>
        <w:rPr>
          <w:rFonts w:ascii="黑体" w:eastAsia="黑体" w:hAnsi="宋体" w:hint="eastAsia"/>
          <w:sz w:val="56"/>
          <w:szCs w:val="84"/>
        </w:rPr>
        <w:t>标</w:t>
      </w:r>
    </w:p>
    <w:p w14:paraId="4D361EA4">
      <w:pPr>
        <w:pStyle w:val="style0"/>
        <w:jc w:val="center"/>
        <w:rPr>
          <w:rFonts w:ascii="黑体" w:eastAsia="黑体" w:hAnsi="宋体"/>
          <w:sz w:val="56"/>
          <w:szCs w:val="84"/>
        </w:rPr>
      </w:pPr>
    </w:p>
    <w:p w14:paraId="1F1F765B">
      <w:pPr>
        <w:pStyle w:val="style0"/>
        <w:jc w:val="center"/>
        <w:rPr>
          <w:rFonts w:ascii="黑体" w:eastAsia="黑体" w:hAnsi="宋体"/>
          <w:sz w:val="56"/>
          <w:szCs w:val="84"/>
        </w:rPr>
      </w:pPr>
      <w:r>
        <w:rPr>
          <w:rFonts w:ascii="黑体" w:eastAsia="黑体" w:hAnsi="宋体" w:hint="eastAsia"/>
          <w:sz w:val="56"/>
          <w:szCs w:val="84"/>
        </w:rPr>
        <w:t>书</w:t>
      </w:r>
    </w:p>
    <w:p w14:paraId="41E7C147">
      <w:pPr>
        <w:pStyle w:val="style0"/>
        <w:rPr>
          <w:rFonts w:ascii="黑体" w:eastAsia="黑体" w:hAnsi="宋体"/>
          <w:sz w:val="56"/>
          <w:szCs w:val="84"/>
        </w:rPr>
      </w:pPr>
    </w:p>
    <w:p w14:paraId="104127FB">
      <w:pPr>
        <w:pStyle w:val="style0"/>
        <w:ind w:right="2240" w:firstLine="1280" w:firstLineChars="400"/>
        <w:jc w:val="left"/>
        <w:rPr>
          <w:rFonts w:ascii="华文仿宋" w:eastAsia="华文仿宋" w:hAnsi="华文仿宋"/>
          <w:sz w:val="32"/>
          <w:szCs w:val="28"/>
        </w:rPr>
      </w:pPr>
    </w:p>
    <w:p w14:paraId="583E01CB">
      <w:pPr>
        <w:pStyle w:val="style0"/>
        <w:ind w:right="2240" w:firstLine="1280" w:firstLineChars="400"/>
        <w:jc w:val="left"/>
        <w:rPr>
          <w:rFonts w:ascii="华文仿宋" w:eastAsia="华文仿宋" w:hAnsi="华文仿宋"/>
          <w:sz w:val="32"/>
          <w:szCs w:val="28"/>
        </w:rPr>
      </w:pPr>
    </w:p>
    <w:p w14:paraId="1F2A7BEA">
      <w:pPr>
        <w:pStyle w:val="style0"/>
        <w:ind w:right="2240" w:firstLine="1280" w:firstLineChars="400"/>
        <w:jc w:val="left"/>
        <w:rPr>
          <w:rFonts w:ascii="华文仿宋" w:eastAsia="华文仿宋" w:hAnsi="华文仿宋"/>
          <w:sz w:val="32"/>
          <w:szCs w:val="28"/>
        </w:rPr>
      </w:pPr>
      <w:r>
        <w:rPr>
          <w:rFonts w:ascii="华文仿宋" w:eastAsia="华文仿宋" w:hAnsi="华文仿宋" w:hint="eastAsia"/>
          <w:sz w:val="32"/>
          <w:szCs w:val="28"/>
        </w:rPr>
        <w:t xml:space="preserve">                </w:t>
      </w:r>
    </w:p>
    <w:p w14:paraId="767F38AD">
      <w:pPr>
        <w:pStyle w:val="style0"/>
        <w:ind w:left="210" w:leftChars="100" w:right="2240" w:firstLine="1065" w:firstLineChars="333"/>
        <w:jc w:val="left"/>
        <w:rPr>
          <w:rFonts w:ascii="华文仿宋" w:eastAsia="华文仿宋" w:hAnsi="华文仿宋"/>
          <w:sz w:val="32"/>
          <w:szCs w:val="28"/>
        </w:rPr>
      </w:pPr>
      <w:r>
        <w:rPr>
          <w:rFonts w:ascii="华文仿宋" w:eastAsia="华文仿宋" w:hAnsi="华文仿宋" w:hint="eastAsia"/>
          <w:sz w:val="32"/>
          <w:szCs w:val="28"/>
        </w:rPr>
        <w:t xml:space="preserve">                        </w:t>
      </w:r>
    </w:p>
    <w:p w14:paraId="44A12B6D">
      <w:pPr>
        <w:pStyle w:val="style0"/>
        <w:jc w:val="left"/>
        <w:rPr>
          <w:rFonts w:ascii="华文仿宋" w:eastAsia="华文仿宋" w:hAnsi="华文仿宋"/>
          <w:sz w:val="32"/>
          <w:szCs w:val="28"/>
        </w:rPr>
      </w:pPr>
    </w:p>
    <w:p w14:paraId="03355C75">
      <w:pPr>
        <w:pStyle w:val="style0"/>
        <w:jc w:val="center"/>
        <w:rPr>
          <w:rFonts w:ascii="宋体" w:hAnsi="宋体"/>
          <w:sz w:val="28"/>
          <w:szCs w:val="28"/>
        </w:rPr>
      </w:pPr>
      <w:r>
        <w:rPr>
          <w:rFonts w:ascii="宋体" w:hAnsi="宋体" w:hint="eastAsia"/>
          <w:sz w:val="28"/>
          <w:szCs w:val="28"/>
        </w:rPr>
        <w:t>时间： 202</w:t>
      </w:r>
      <w:r>
        <w:rPr>
          <w:rFonts w:ascii="宋体" w:hAnsi="宋体" w:hint="eastAsia"/>
          <w:sz w:val="28"/>
          <w:szCs w:val="28"/>
          <w:lang w:val="en-US" w:eastAsia="zh-CN"/>
        </w:rPr>
        <w:t>6</w:t>
      </w:r>
      <w:r>
        <w:rPr>
          <w:rFonts w:ascii="宋体" w:hAnsi="宋体" w:hint="eastAsia"/>
          <w:sz w:val="28"/>
          <w:szCs w:val="28"/>
        </w:rPr>
        <w:t>年</w:t>
      </w:r>
      <w:r>
        <w:rPr>
          <w:rFonts w:ascii="宋体" w:hAnsi="宋体" w:hint="eastAsia"/>
          <w:sz w:val="28"/>
          <w:szCs w:val="28"/>
          <w:lang w:val="en-US" w:eastAsia="zh-CN"/>
        </w:rPr>
        <w:t>10</w:t>
      </w:r>
      <w:r>
        <w:rPr>
          <w:rFonts w:ascii="宋体" w:hAnsi="宋体" w:hint="eastAsia"/>
          <w:sz w:val="28"/>
          <w:szCs w:val="28"/>
        </w:rPr>
        <w:t>月</w:t>
      </w:r>
    </w:p>
    <w:p w14:paraId="29AB73C0">
      <w:pPr>
        <w:pStyle w:val="style0"/>
        <w:spacing w:lineRule="auto" w:line="480"/>
        <w:jc w:val="center"/>
        <w:rPr>
          <w:rFonts w:ascii="宋体" w:hAnsi="宋体"/>
          <w:b/>
          <w:bCs/>
          <w:sz w:val="48"/>
          <w:szCs w:val="48"/>
        </w:rPr>
      </w:pPr>
    </w:p>
    <w:p w14:paraId="6E365F08">
      <w:pPr>
        <w:pStyle w:val="style0"/>
        <w:spacing w:lineRule="auto" w:line="480"/>
        <w:jc w:val="center"/>
        <w:rPr>
          <w:rFonts w:ascii="宋体" w:hAnsi="宋体"/>
          <w:b/>
          <w:bCs/>
          <w:sz w:val="48"/>
          <w:szCs w:val="48"/>
        </w:rPr>
      </w:pPr>
    </w:p>
    <w:p w14:paraId="1C0FB366">
      <w:pPr>
        <w:pStyle w:val="style90"/>
        <w:spacing w:lineRule="auto" w:line="360"/>
        <w:jc w:val="center"/>
        <w:rPr>
          <w:rFonts w:ascii="黑体" w:eastAsia="黑体"/>
          <w:b/>
          <w:bCs/>
          <w:sz w:val="36"/>
          <w:szCs w:val="36"/>
        </w:rPr>
      </w:pPr>
      <w:r>
        <w:rPr>
          <w:rFonts w:ascii="黑体" w:eastAsia="黑体" w:hint="eastAsia"/>
          <w:b/>
          <w:bCs/>
          <w:sz w:val="36"/>
          <w:szCs w:val="36"/>
        </w:rPr>
        <w:t xml:space="preserve"> 招标公告</w:t>
      </w:r>
    </w:p>
    <w:p w14:paraId="430219A3">
      <w:pPr>
        <w:pStyle w:val="style90"/>
        <w:spacing w:lineRule="auto" w:line="360"/>
        <w:rPr>
          <w:rFonts w:ascii="黑体" w:eastAsia="黑体"/>
          <w:b/>
          <w:bCs/>
          <w:sz w:val="28"/>
        </w:rPr>
      </w:pPr>
      <w:r>
        <w:rPr>
          <w:rFonts w:ascii="黑体" w:eastAsia="黑体" w:hint="eastAsia"/>
          <w:b/>
          <w:bCs/>
          <w:sz w:val="28"/>
        </w:rPr>
        <w:t>一、项目名称</w:t>
      </w:r>
    </w:p>
    <w:p w14:paraId="0BEA657F">
      <w:pPr>
        <w:pStyle w:val="style90"/>
        <w:spacing w:lineRule="auto" w:line="360"/>
        <w:ind w:left="420"/>
        <w:rPr>
          <w:rFonts w:hint="eastAsia"/>
        </w:rPr>
      </w:pPr>
      <w:r>
        <w:rPr>
          <w:rFonts w:hint="eastAsia"/>
        </w:rPr>
        <w:t>项目名称：</w:t>
      </w:r>
      <w:bookmarkStart w:id="0" w:name="OLE_LINK1"/>
      <w:r>
        <w:rPr>
          <w:rFonts w:hint="eastAsia"/>
          <w:lang w:val="en-US" w:eastAsia="zh-CN"/>
        </w:rPr>
        <w:t>中国重汽集团2026年度能源管道设施年度维修项目</w:t>
      </w:r>
    </w:p>
    <w:p w14:paraId="241DF5CA">
      <w:pPr>
        <w:pStyle w:val="style90"/>
        <w:spacing w:lineRule="auto" w:line="360"/>
        <w:ind w:left="420"/>
        <w:rPr>
          <w:rFonts w:eastAsia="宋体" w:hint="default"/>
          <w:lang w:val="en-US" w:eastAsia="zh-CN"/>
        </w:rPr>
      </w:pPr>
      <w:r>
        <w:rPr>
          <w:rFonts w:hint="eastAsia"/>
          <w:lang w:val="en-US" w:eastAsia="zh-CN"/>
        </w:rPr>
        <w:t>项目编号：</w:t>
      </w:r>
      <w:bookmarkStart w:id="1" w:name="_GoBack"/>
      <w:bookmarkEnd w:id="1"/>
      <w:r>
        <w:rPr>
          <w:rFonts w:hint="eastAsia"/>
          <w:highlight w:val="yellow"/>
          <w:lang w:val="en-US" w:eastAsia="zh-CN"/>
        </w:rPr>
        <w:t>ZBGL2026100038</w:t>
      </w:r>
    </w:p>
    <w:bookmarkEnd w:id="0"/>
    <w:p w14:paraId="505B76CB">
      <w:pPr>
        <w:pStyle w:val="style90"/>
        <w:spacing w:lineRule="auto" w:line="360"/>
        <w:rPr>
          <w:rFonts w:ascii="黑体" w:eastAsia="黑体"/>
          <w:b/>
          <w:bCs/>
          <w:sz w:val="28"/>
        </w:rPr>
      </w:pPr>
      <w:r>
        <w:rPr>
          <w:rFonts w:ascii="黑体" w:eastAsia="黑体" w:hint="eastAsia"/>
          <w:b/>
          <w:bCs/>
          <w:sz w:val="28"/>
        </w:rPr>
        <w:t>二、招标内容</w:t>
      </w:r>
    </w:p>
    <w:p w14:paraId="7B454723">
      <w:pPr>
        <w:pStyle w:val="style90"/>
        <w:spacing w:lineRule="auto" w:line="360"/>
        <w:ind w:firstLine="420" w:firstLineChars="200"/>
        <w:rPr>
          <w:rFonts w:eastAsia="宋体" w:hint="eastAsia"/>
          <w:lang w:eastAsia="zh-CN"/>
        </w:rPr>
      </w:pPr>
      <w:r>
        <w:rPr>
          <w:rFonts w:hint="eastAsia"/>
        </w:rPr>
        <w:t>招标内容：中国重汽集团2026年度能源管道设施年度维修，济南地区单位：卡车公司、济南商用车公司、发动机厂、变速箱厂、车桥公司、部件公司、成型厂、橡塑件公司、轻卡公司</w:t>
      </w:r>
      <w:r>
        <w:rPr>
          <w:rFonts w:hint="eastAsia"/>
          <w:lang w:eastAsia="zh-CN"/>
        </w:rPr>
        <w:t>。</w:t>
      </w:r>
    </w:p>
    <w:p w14:paraId="5E1ECF1F">
      <w:pPr>
        <w:pStyle w:val="style90"/>
        <w:spacing w:lineRule="auto" w:line="360"/>
        <w:rPr>
          <w:rFonts w:ascii="黑体" w:eastAsia="黑体"/>
          <w:b/>
          <w:bCs/>
          <w:sz w:val="28"/>
        </w:rPr>
      </w:pPr>
      <w:r>
        <w:rPr>
          <w:rFonts w:ascii="黑体" w:eastAsia="黑体" w:hint="eastAsia"/>
          <w:b/>
          <w:bCs/>
          <w:sz w:val="28"/>
        </w:rPr>
        <w:t>三、招标形式</w:t>
      </w:r>
    </w:p>
    <w:p w14:paraId="6B14F028">
      <w:pPr>
        <w:pStyle w:val="style90"/>
        <w:spacing w:lineRule="auto" w:line="360"/>
        <w:ind w:firstLine="420" w:firstLineChars="200"/>
        <w:rPr/>
      </w:pPr>
      <w:r>
        <w:rPr>
          <w:rFonts w:hint="eastAsia"/>
        </w:rPr>
        <w:t>招标形式：公开招标。</w:t>
      </w:r>
    </w:p>
    <w:p w14:paraId="10F262BD">
      <w:pPr>
        <w:pStyle w:val="style90"/>
        <w:spacing w:lineRule="auto" w:line="360"/>
        <w:rPr>
          <w:rFonts w:ascii="黑体" w:eastAsia="黑体"/>
          <w:b/>
          <w:bCs/>
          <w:sz w:val="28"/>
        </w:rPr>
      </w:pPr>
      <w:r>
        <w:rPr>
          <w:rFonts w:ascii="黑体" w:eastAsia="黑体" w:hint="eastAsia"/>
          <w:b/>
          <w:bCs/>
          <w:sz w:val="28"/>
        </w:rPr>
        <w:t>四、议程安排</w:t>
      </w:r>
    </w:p>
    <w:p w14:paraId="5DA6D38D">
      <w:pPr>
        <w:pStyle w:val="style90"/>
        <w:spacing w:lineRule="auto" w:line="360"/>
        <w:ind w:left="840" w:leftChars="200" w:hanging="420" w:hangingChars="200"/>
        <w:rPr/>
      </w:pPr>
      <w:r>
        <w:rPr>
          <w:rFonts w:hint="eastAsia"/>
        </w:rPr>
        <w:t>1.公告时间：</w:t>
      </w:r>
      <w:r>
        <w:rPr>
          <w:rFonts w:hint="eastAsia"/>
          <w:highlight w:val="yellow"/>
          <w:lang w:eastAsia="zh-CN"/>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default"/>
          <w:highlight w:val="yellow"/>
          <w:lang w:val="en-US"/>
        </w:rPr>
        <w:t>16</w:t>
      </w:r>
      <w:r>
        <w:rPr>
          <w:rFonts w:hint="eastAsia"/>
          <w:highlight w:val="yellow"/>
        </w:rPr>
        <w:t>日</w:t>
      </w:r>
      <w:r>
        <w:rPr>
          <w:rFonts w:hint="eastAsia"/>
        </w:rPr>
        <w:t>。</w:t>
      </w:r>
    </w:p>
    <w:p w14:paraId="5974F9D9">
      <w:pPr>
        <w:pStyle w:val="style90"/>
        <w:spacing w:lineRule="auto" w:line="360"/>
        <w:ind w:left="840" w:leftChars="200" w:hanging="420" w:hangingChars="200"/>
        <w:rPr/>
      </w:pPr>
      <w:r>
        <w:rPr>
          <w:rFonts w:hint="eastAsia"/>
        </w:rPr>
        <w:t>2.</w:t>
      </w:r>
      <w:r>
        <w:rPr>
          <w:rFonts w:hint="eastAsia"/>
          <w:lang w:val="en-US" w:eastAsia="zh-CN"/>
        </w:rPr>
        <w:t>商务</w:t>
      </w:r>
      <w:r>
        <w:rPr>
          <w:rFonts w:hint="eastAsia"/>
        </w:rPr>
        <w:t>答疑联系人：</w:t>
      </w:r>
      <w:r>
        <w:rPr>
          <w:rFonts w:hint="eastAsia"/>
          <w:lang w:val="en-US" w:eastAsia="zh-CN"/>
        </w:rPr>
        <w:t>李老师</w:t>
      </w:r>
      <w:r>
        <w:rPr>
          <w:rFonts w:hint="eastAsia"/>
        </w:rPr>
        <w:t>；答疑方式：书面（或电话）答疑；联系电话：</w:t>
      </w:r>
      <w:r>
        <w:rPr>
          <w:rFonts w:hint="eastAsia"/>
          <w:lang w:val="en-US" w:eastAsia="zh-CN"/>
        </w:rPr>
        <w:t>18663777951</w:t>
      </w:r>
      <w:r>
        <w:rPr>
          <w:rFonts w:hint="eastAsia"/>
        </w:rPr>
        <w:t>。</w:t>
      </w:r>
    </w:p>
    <w:p w14:paraId="3B1634AD">
      <w:pPr>
        <w:pStyle w:val="style90"/>
        <w:spacing w:lineRule="auto" w:line="360"/>
        <w:ind w:left="840" w:leftChars="200" w:hanging="420" w:hangingChars="200"/>
        <w:rPr/>
      </w:pPr>
      <w:r>
        <w:rPr>
          <w:rFonts w:hint="eastAsia"/>
        </w:rPr>
        <w:t>3.开标时间：</w:t>
      </w:r>
      <w:r>
        <w:rPr>
          <w:rFonts w:hint="eastAsia"/>
          <w:highlight w:val="yellow"/>
          <w:lang w:eastAsia="zh-CN"/>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w:t>
      </w:r>
      <w:r>
        <w:rPr>
          <w:rFonts w:hint="default"/>
          <w:highlight w:val="yellow"/>
          <w:lang w:val="en-US" w:eastAsia="zh-CN"/>
        </w:rPr>
        <w:t>8</w:t>
      </w:r>
      <w:r>
        <w:rPr>
          <w:rFonts w:hint="eastAsia"/>
          <w:highlight w:val="yellow"/>
        </w:rPr>
        <w:t>日上午9:</w:t>
      </w:r>
      <w:r>
        <w:rPr>
          <w:highlight w:val="yellow"/>
        </w:rPr>
        <w:t>0</w:t>
      </w:r>
      <w:r>
        <w:rPr>
          <w:rFonts w:hint="eastAsia"/>
          <w:highlight w:val="yellow"/>
        </w:rPr>
        <w:t>0 时</w:t>
      </w:r>
      <w:r>
        <w:rPr>
          <w:rFonts w:hint="eastAsia"/>
        </w:rPr>
        <w:t>（</w:t>
      </w:r>
      <w:r>
        <w:rPr>
          <w:rFonts w:hint="eastAsia"/>
          <w:b/>
          <w:bCs/>
          <w:highlight w:val="yellow"/>
        </w:rPr>
        <w:t>暂定，以实际通知为准</w:t>
      </w:r>
      <w:r>
        <w:rPr>
          <w:rFonts w:ascii="宋体" w:cs="宋体" w:eastAsia="宋体" w:hAnsi="宋体" w:hint="default"/>
          <w:b w:val="false"/>
          <w:bCs w:val="false"/>
          <w:sz w:val="21"/>
          <w:szCs w:val="21"/>
          <w:highlight w:val="yellow"/>
          <w:lang w:val="en-US" w:eastAsia="zh-CN"/>
        </w:rPr>
        <w:t>）</w:t>
      </w:r>
      <w:r>
        <w:rPr>
          <w:rFonts w:hint="eastAsia"/>
        </w:rPr>
        <w:t>）。</w:t>
      </w:r>
    </w:p>
    <w:p w14:paraId="04B6C4D7">
      <w:pPr>
        <w:pStyle w:val="style90"/>
        <w:spacing w:lineRule="auto" w:line="360"/>
        <w:ind w:left="840" w:leftChars="200" w:hanging="420" w:hangingChars="200"/>
        <w:rPr/>
      </w:pPr>
      <w:r>
        <w:rPr>
          <w:rFonts w:hint="eastAsia"/>
        </w:rPr>
        <w:t>4.开标地点：</w:t>
      </w:r>
      <w:r>
        <w:rPr>
          <w:rFonts w:hint="eastAsia"/>
          <w:highlight w:val="yellow"/>
          <w:lang w:val="en-US" w:eastAsia="zh-CN"/>
        </w:rPr>
        <w:t>线上会议</w:t>
      </w:r>
      <w:r>
        <w:rPr>
          <w:rFonts w:hint="eastAsia"/>
        </w:rPr>
        <w:t>。</w:t>
      </w:r>
    </w:p>
    <w:p w14:paraId="11D78C6B">
      <w:pPr>
        <w:pStyle w:val="style90"/>
        <w:spacing w:lineRule="auto" w:line="360"/>
        <w:rPr>
          <w:rFonts w:ascii="黑体" w:eastAsia="黑体"/>
          <w:b/>
          <w:bCs/>
          <w:sz w:val="28"/>
        </w:rPr>
      </w:pPr>
      <w:r>
        <w:rPr>
          <w:rFonts w:ascii="黑体" w:eastAsia="黑体" w:hint="eastAsia"/>
          <w:b/>
          <w:bCs/>
          <w:sz w:val="28"/>
        </w:rPr>
        <w:t>五、报名方式</w:t>
      </w:r>
    </w:p>
    <w:p w14:paraId="22A858F8">
      <w:pPr>
        <w:pStyle w:val="style90"/>
        <w:spacing w:lineRule="auto" w:line="360"/>
        <w:ind w:firstLine="405"/>
        <w:rPr>
          <w:rFonts w:hint="eastAsia"/>
          <w:lang w:eastAsia="zh-CN"/>
        </w:rPr>
      </w:pPr>
      <w:r>
        <w:rPr>
          <w:rFonts w:hint="eastAsia"/>
        </w:rPr>
        <w:t>1.</w:t>
      </w:r>
      <w:r>
        <w:rPr>
          <w:rFonts w:hint="eastAsia"/>
          <w:b/>
          <w:bCs/>
          <w:highlight w:val="yellow"/>
        </w:rPr>
        <w:t>应标截止时间：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default"/>
          <w:highlight w:val="yellow"/>
          <w:lang w:val="en-US"/>
        </w:rPr>
        <w:t>22</w:t>
      </w:r>
      <w:r>
        <w:rPr>
          <w:rFonts w:hint="eastAsia"/>
          <w:highlight w:val="yellow"/>
        </w:rPr>
        <w:t>日17点前。</w:t>
      </w:r>
      <w:r>
        <w:rPr>
          <w:rFonts w:hint="eastAsia"/>
          <w:lang w:eastAsia="zh-CN"/>
        </w:rPr>
        <w:t>（</w:t>
      </w:r>
      <w:r>
        <w:rPr>
          <w:rFonts w:hint="eastAsia"/>
        </w:rPr>
        <w:t>注册审核需2-4日</w:t>
      </w:r>
      <w:r>
        <w:rPr>
          <w:rFonts w:hint="eastAsia"/>
          <w:lang w:eastAsia="zh-CN"/>
        </w:rPr>
        <w:t>，</w:t>
      </w:r>
      <w:r>
        <w:rPr>
          <w:rFonts w:hint="eastAsia"/>
          <w:lang w:val="en-US" w:eastAsia="zh-CN"/>
        </w:rPr>
        <w:t>请预留出驳回修改时间</w:t>
      </w:r>
      <w:r>
        <w:rPr>
          <w:rFonts w:hint="eastAsia"/>
        </w:rPr>
        <w:t>，应标截止时间精确到秒，逾期将无法应标。请自行掌握时间，避免无法应标。</w:t>
      </w:r>
      <w:r>
        <w:rPr>
          <w:rFonts w:hint="eastAsia"/>
          <w:lang w:eastAsia="zh-CN"/>
        </w:rPr>
        <w:t>）在中国重汽e采通平台应标成功后，进入“供应商投标”环节，投递盖章扫描版电子标书（包含资质标书、技术标书、商务标书），用“公司名称+文件名称”命名。</w:t>
      </w:r>
      <w:r>
        <w:rPr>
          <w:rFonts w:hint="eastAsia"/>
          <w:highlight w:val="yellow"/>
          <w:lang w:eastAsia="zh-CN"/>
        </w:rPr>
        <w:t>若逾期未在中国重汽e采通平台上传电子标书，即便递交了纸版投标文件，一律视为无效投标。</w:t>
      </w:r>
    </w:p>
    <w:p w14:paraId="5E6C0B1E">
      <w:pPr>
        <w:pStyle w:val="style90"/>
        <w:spacing w:lineRule="auto" w:line="360"/>
        <w:ind w:firstLine="405"/>
        <w:rPr>
          <w:rFonts w:hint="eastAsia"/>
        </w:rPr>
      </w:pPr>
      <w:r>
        <w:rPr>
          <w:rFonts w:hint="eastAsia"/>
        </w:rPr>
        <w:t>2.方式：投标人首先对投标报名单位进行资格审，对于资质审核通过的供方，获得该本项目招标书电子版</w:t>
      </w:r>
      <w:r>
        <w:rPr>
          <w:rFonts w:hint="eastAsia"/>
          <w:lang w:eastAsia="zh-CN"/>
        </w:rPr>
        <w:t>（</w:t>
      </w:r>
      <w:r>
        <w:rPr>
          <w:rFonts w:hint="eastAsia"/>
          <w:lang w:val="en-US" w:eastAsia="zh-CN"/>
        </w:rPr>
        <w:t>在E采通投标页面自行下载</w:t>
      </w:r>
      <w:r>
        <w:rPr>
          <w:rFonts w:hint="eastAsia"/>
          <w:lang w:eastAsia="zh-CN"/>
        </w:rPr>
        <w:t>）</w:t>
      </w:r>
      <w:r>
        <w:rPr>
          <w:rFonts w:hint="eastAsia"/>
        </w:rPr>
        <w:t>对于应标的单位，需缴纳投标保证金证明，并在https://ecaitong.sinotruk.com:8012/#/login注册账户。</w:t>
      </w:r>
    </w:p>
    <w:p w14:paraId="3D55B252">
      <w:pPr>
        <w:pStyle w:val="style90"/>
        <w:spacing w:lineRule="auto" w:line="360"/>
        <w:ind w:left="0" w:leftChars="0" w:firstLine="420" w:firstLineChars="200"/>
        <w:rPr>
          <w:rFonts w:hint="eastAsia"/>
        </w:rPr>
      </w:pPr>
      <w:r>
        <w:rPr>
          <w:rFonts w:hint="eastAsia"/>
        </w:rPr>
        <w:t>投标人应提前登录中国重汽e采通进行注册备案，备案成功后在中国重汽e采通查看标书文件，不开通e采通开将无法进行招投标。投标人应自备电脑（笔记本）进行流程操作，注意应标、投标、开标、再次报价时间开始、截止节点，如错过时间节点将无法进行招投标流程节点的操作。进入商务标后按招标方要求在重汽e采通进行价格报价和逐轮报价，商务标中还需提供开标一览表（价格分解表）。</w:t>
      </w:r>
    </w:p>
    <w:p w14:paraId="19970CBC">
      <w:pPr>
        <w:pStyle w:val="style90"/>
        <w:spacing w:lineRule="auto" w:line="360"/>
        <w:ind w:left="0" w:leftChars="0" w:firstLine="420" w:firstLineChars="200"/>
        <w:rPr>
          <w:rFonts w:hint="eastAsia"/>
        </w:rPr>
      </w:pPr>
      <w:r>
        <w:rPr>
          <w:rFonts w:hint="eastAsia"/>
          <w:lang w:val="en-US" w:eastAsia="zh-CN"/>
        </w:rPr>
        <w:t>投标方</w:t>
      </w:r>
      <w:r>
        <w:rPr>
          <w:rFonts w:hint="eastAsia"/>
        </w:rPr>
        <w:t>报名同时请提前按照附件《非生产供应商注册操作手册》完成平台注册（网址：https://ecaitong.sinotruk.com:8012/#/loginn），注册时，业务主管部门选择“生产制造部”，类别选择“设备维保”。注册并审核通过后方能参与本项目投标，审核通过后请电话告知招标方联系人。</w:t>
      </w:r>
    </w:p>
    <w:p w14:paraId="49053EC3">
      <w:pPr>
        <w:pStyle w:val="style90"/>
        <w:spacing w:lineRule="auto" w:line="360"/>
        <w:ind w:left="0" w:leftChars="0" w:firstLine="420" w:firstLineChars="200"/>
        <w:rPr>
          <w:rFonts w:hint="default"/>
          <w:highlight w:val="yellow"/>
          <w:lang w:val="en-US" w:eastAsia="zh-CN"/>
        </w:rPr>
      </w:pPr>
      <w:r>
        <w:rPr>
          <w:rFonts w:hint="eastAsia"/>
          <w:highlight w:val="yellow"/>
          <w:lang w:val="en-US" w:eastAsia="zh-CN"/>
        </w:rPr>
        <w:t>注：请务必在应标截止时间前完成注册、E采通系统近三年财务数据信息更新及应标操作，注册审核需2-4日，应标截止时间精确到秒，逾期将无法应标。请自行掌握时间，避免无法应标。</w:t>
      </w:r>
      <w:r>
        <w:rPr>
          <w:rFonts w:hint="eastAsia"/>
          <w:highlight w:val="yellow"/>
        </w:rPr>
        <w:t>“</w:t>
      </w:r>
      <w:r>
        <w:rPr>
          <w:rFonts w:hint="eastAsia"/>
          <w:highlight w:val="yellow"/>
          <w:lang w:val="en-US" w:eastAsia="zh-CN"/>
        </w:rPr>
        <w:t>请投标人确认中国重汽e采通系统中供应商信息完整、准确，因供应商信息不全或错误导致的报名不成功，由投标人自行承担。”</w:t>
      </w:r>
    </w:p>
    <w:p w14:paraId="2059459A">
      <w:pPr>
        <w:pStyle w:val="style90"/>
        <w:spacing w:lineRule="auto" w:line="360"/>
        <w:rPr>
          <w:rFonts w:ascii="黑体" w:eastAsia="黑体"/>
          <w:b/>
          <w:bCs/>
          <w:sz w:val="28"/>
        </w:rPr>
      </w:pPr>
      <w:r>
        <w:rPr>
          <w:rFonts w:ascii="黑体" w:eastAsia="黑体" w:hint="eastAsia"/>
          <w:b/>
          <w:bCs/>
          <w:sz w:val="28"/>
        </w:rPr>
        <w:t>六、投标须知</w:t>
      </w:r>
    </w:p>
    <w:p w14:paraId="543CA5DB">
      <w:pPr>
        <w:pStyle w:val="style90"/>
        <w:spacing w:lineRule="auto" w:line="360"/>
        <w:ind w:firstLine="422" w:firstLineChars="200"/>
        <w:rPr>
          <w:b/>
        </w:rPr>
      </w:pPr>
      <w:r>
        <w:rPr>
          <w:rFonts w:hint="eastAsia"/>
          <w:b/>
        </w:rPr>
        <w:t>1.合格投标人：</w:t>
      </w:r>
    </w:p>
    <w:p w14:paraId="01DA9D02">
      <w:pPr>
        <w:pStyle w:val="style90"/>
        <w:spacing w:lineRule="auto" w:line="360"/>
        <w:ind w:firstLine="422" w:firstLineChars="200"/>
        <w:rPr>
          <w:b/>
        </w:rPr>
      </w:pPr>
      <w:r>
        <w:rPr>
          <w:rFonts w:hint="eastAsia"/>
          <w:b/>
        </w:rPr>
        <w:t>1.合格投标人：</w:t>
      </w:r>
    </w:p>
    <w:p w14:paraId="34E23FA3">
      <w:pPr>
        <w:pStyle w:val="style90"/>
        <w:spacing w:lineRule="auto" w:line="360"/>
        <w:ind w:firstLine="420" w:firstLineChars="200"/>
        <w:rPr>
          <w:b/>
        </w:rPr>
      </w:pPr>
      <w:r>
        <w:rPr>
          <w:rFonts w:hAnsi="宋体" w:hint="eastAsia"/>
        </w:rPr>
        <w:t>⑴</w:t>
      </w:r>
      <w:r>
        <w:rPr>
          <w:rFonts w:hint="eastAsia"/>
        </w:rPr>
        <w:t>投标人须遵守《中华人民共和国招标投标法》、《中华人民共和国民法典》及其它有关的法律和法规；为中华人民共和国境内注册的独立法人机构，具有独立承担民事责任能力；</w:t>
      </w:r>
    </w:p>
    <w:p w14:paraId="2CDDE65F">
      <w:pPr>
        <w:pStyle w:val="style90"/>
        <w:spacing w:lineRule="auto" w:line="360"/>
        <w:ind w:left="0" w:leftChars="0" w:firstLine="422" w:firstLineChars="200"/>
        <w:rPr>
          <w:b/>
          <w:bCs/>
        </w:rPr>
      </w:pPr>
      <w:r>
        <w:rPr>
          <w:rFonts w:hAnsi="宋体" w:hint="eastAsia"/>
          <w:b/>
          <w:bCs/>
          <w:color w:val="ff0000"/>
          <w:highlight w:val="none"/>
        </w:rPr>
        <w:t>*</w:t>
      </w:r>
      <w:r>
        <w:rPr>
          <w:rFonts w:hAnsi="宋体" w:hint="eastAsia"/>
          <w:b/>
          <w:bCs/>
        </w:rPr>
        <w:t>⑵</w:t>
      </w:r>
      <w:r>
        <w:rPr>
          <w:rFonts w:hint="eastAsia"/>
          <w:b/>
          <w:bCs/>
        </w:rPr>
        <w:t>公司经营范围满足招标项目需求</w:t>
      </w:r>
      <w:r>
        <w:rPr>
          <w:rFonts w:hAnsi="宋体" w:hint="eastAsia"/>
          <w:b/>
          <w:bCs/>
        </w:rPr>
        <w:t>；且具有三年以上的相关工作经历或成功的类似工程案例</w:t>
      </w:r>
      <w:r>
        <w:rPr>
          <w:rFonts w:hAnsi="宋体" w:hint="eastAsia"/>
          <w:b/>
          <w:bCs/>
          <w:lang w:eastAsia="zh-CN"/>
        </w:rPr>
        <w:t>，</w:t>
      </w:r>
      <w:r>
        <w:rPr>
          <w:rFonts w:ascii="宋体" w:hAnsi="宋体" w:hint="eastAsia"/>
          <w:b/>
          <w:bCs/>
          <w:sz w:val="21"/>
          <w:szCs w:val="21"/>
        </w:rPr>
        <w:t>公司注册资本不少于</w:t>
      </w:r>
      <w:r>
        <w:rPr>
          <w:rFonts w:hAnsi="宋体" w:hint="eastAsia"/>
          <w:b/>
          <w:bCs/>
          <w:sz w:val="21"/>
          <w:szCs w:val="21"/>
          <w:u w:val="single"/>
          <w:lang w:val="en-US" w:eastAsia="zh-CN"/>
        </w:rPr>
        <w:t>1</w:t>
      </w:r>
      <w:r>
        <w:rPr>
          <w:rFonts w:ascii="宋体" w:hAnsi="宋体" w:hint="eastAsia"/>
          <w:b/>
          <w:bCs/>
          <w:sz w:val="21"/>
          <w:szCs w:val="21"/>
          <w:u w:val="single"/>
        </w:rPr>
        <w:t>00万元</w:t>
      </w:r>
      <w:r>
        <w:rPr>
          <w:rFonts w:ascii="宋体" w:hAnsi="宋体" w:hint="eastAsia"/>
          <w:b/>
          <w:bCs/>
          <w:sz w:val="21"/>
          <w:szCs w:val="21"/>
        </w:rPr>
        <w:t>（人民币）</w:t>
      </w:r>
      <w:r>
        <w:rPr>
          <w:rFonts w:hint="eastAsia"/>
          <w:b/>
          <w:bCs/>
        </w:rPr>
        <w:t>；</w:t>
      </w:r>
    </w:p>
    <w:p w14:paraId="10DE02FA">
      <w:pPr>
        <w:pStyle w:val="style90"/>
        <w:spacing w:lineRule="auto" w:line="360"/>
        <w:ind w:firstLine="422" w:firstLineChars="200"/>
        <w:rPr>
          <w:b/>
          <w:bCs/>
          <w:highlight w:val="none"/>
        </w:rPr>
      </w:pPr>
      <w:r>
        <w:rPr>
          <w:rFonts w:hAnsi="宋体" w:hint="eastAsia"/>
          <w:b/>
          <w:bCs/>
          <w:color w:val="ff0000"/>
          <w:highlight w:val="none"/>
        </w:rPr>
        <w:t>*</w:t>
      </w:r>
      <w:r>
        <w:rPr>
          <w:rFonts w:hint="eastAsia"/>
          <w:b/>
          <w:bCs/>
          <w:highlight w:val="none"/>
        </w:rPr>
        <w:t>⑶投标人须提供具有统一社会信用代码的新版营业执照副本原件及（或）复印件（加盖公章）；</w:t>
      </w:r>
    </w:p>
    <w:p w14:paraId="680A03C1">
      <w:pPr>
        <w:pStyle w:val="style90"/>
        <w:spacing w:lineRule="auto" w:line="360"/>
        <w:ind w:firstLine="420" w:firstLineChars="200"/>
        <w:rPr>
          <w:b/>
          <w:color w:val="auto"/>
          <w:highlight w:val="none"/>
        </w:rPr>
      </w:pPr>
      <w:r>
        <w:rPr>
          <w:rFonts w:hAnsi="宋体" w:hint="eastAsia"/>
        </w:rPr>
        <w:t>⑷</w:t>
      </w:r>
      <w:r>
        <w:rPr>
          <w:rFonts w:hint="eastAsia"/>
        </w:rPr>
        <w:t>具有良好的商业信誉，在国家企业信用信息公示系统中无</w:t>
      </w:r>
      <w:r>
        <w:rPr>
          <w:rFonts w:hint="eastAsia"/>
          <w:highlight w:val="none"/>
          <w:lang w:val="en-US" w:eastAsia="zh-CN"/>
        </w:rPr>
        <w:t>与本项目有关的</w:t>
      </w:r>
      <w:r>
        <w:rPr>
          <w:rFonts w:hint="eastAsia"/>
          <w:highlight w:val="none"/>
        </w:rPr>
        <w:t>行政处罚、列入经营异常名录和列入严重违法失信企业名单（黑名单）信息</w:t>
      </w:r>
      <w:r>
        <w:rPr>
          <w:rFonts w:hint="eastAsia"/>
          <w:color w:val="auto"/>
          <w:highlight w:val="none"/>
        </w:rPr>
        <w:t>但上述信息已被移除的可参与投标；</w:t>
      </w:r>
    </w:p>
    <w:p w14:paraId="62771017">
      <w:pPr>
        <w:pStyle w:val="style90"/>
        <w:spacing w:lineRule="auto" w:line="360"/>
        <w:ind w:firstLine="420" w:firstLineChars="200"/>
        <w:rPr>
          <w:color w:val="auto"/>
          <w:highlight w:val="none"/>
        </w:rPr>
      </w:pPr>
      <w:r>
        <w:rPr>
          <w:rFonts w:hAnsi="宋体" w:hint="eastAsia"/>
          <w:color w:val="auto"/>
          <w:highlight w:val="none"/>
        </w:rPr>
        <w:t>⑸</w:t>
      </w:r>
      <w:r>
        <w:rPr>
          <w:rFonts w:hint="eastAsia"/>
          <w:highlight w:val="none"/>
        </w:rPr>
        <w:t>投标人近三年内在经营活动中无与本项目有关的违法及重大违规情况；</w:t>
      </w:r>
    </w:p>
    <w:p w14:paraId="58E6DED2">
      <w:pPr>
        <w:pStyle w:val="style90"/>
        <w:spacing w:lineRule="auto" w:line="360"/>
        <w:ind w:firstLine="420" w:firstLineChars="200"/>
        <w:rPr/>
      </w:pPr>
      <w:r>
        <w:rPr>
          <w:rFonts w:hAnsi="宋体" w:hint="eastAsia"/>
        </w:rPr>
        <w:t>⑹</w:t>
      </w:r>
      <w:r>
        <w:rPr>
          <w:rFonts w:hint="eastAsia"/>
        </w:rPr>
        <w:t>具有健全的财务会计制度，财务状况和市场行为良好。没有处于被有权机关吊销营业执照、吊销资质、停业整顿、取消投标资格以及财产被接管、冻结或进入破产程序等</w:t>
      </w:r>
      <w:r>
        <w:rPr>
          <w:rFonts w:hint="eastAsia"/>
          <w:color w:val="ff0000"/>
        </w:rPr>
        <w:t>；</w:t>
      </w:r>
    </w:p>
    <w:p w14:paraId="2D300E5F">
      <w:pPr>
        <w:pStyle w:val="style90"/>
        <w:spacing w:lineRule="auto" w:line="360"/>
        <w:ind w:firstLine="420" w:firstLineChars="200"/>
        <w:rPr>
          <w:color w:val="auto"/>
        </w:rPr>
      </w:pPr>
      <w:r>
        <w:rPr>
          <w:rFonts w:hAnsi="宋体" w:hint="eastAsia"/>
        </w:rPr>
        <w:t>⑺</w:t>
      </w:r>
      <w:r>
        <w:rPr>
          <w:rFonts w:hint="eastAsia"/>
        </w:rPr>
        <w:t>投标人没有被列入招标人处《黑名单》（《黑名单</w:t>
      </w:r>
      <w:r>
        <w:rPr>
          <w:rFonts w:hint="eastAsia"/>
          <w:color w:val="auto"/>
        </w:rPr>
        <w:t>》指投标人</w:t>
      </w:r>
      <w:r>
        <w:rPr>
          <w:color w:val="auto"/>
        </w:rPr>
        <w:t>与招标人在以往</w:t>
      </w:r>
      <w:r>
        <w:rPr>
          <w:rFonts w:hint="eastAsia"/>
          <w:color w:val="auto"/>
        </w:rPr>
        <w:t>或</w:t>
      </w:r>
      <w:r>
        <w:rPr>
          <w:color w:val="auto"/>
        </w:rPr>
        <w:t>正在</w:t>
      </w:r>
      <w:r>
        <w:rPr>
          <w:rFonts w:hint="eastAsia"/>
          <w:color w:val="auto"/>
        </w:rPr>
        <w:t>进行</w:t>
      </w:r>
      <w:r>
        <w:rPr>
          <w:color w:val="auto"/>
        </w:rPr>
        <w:t>的合作中</w:t>
      </w:r>
      <w:r>
        <w:rPr>
          <w:rFonts w:hint="eastAsia"/>
          <w:color w:val="auto"/>
        </w:rPr>
        <w:t>，</w:t>
      </w:r>
      <w:r>
        <w:rPr>
          <w:color w:val="auto"/>
        </w:rPr>
        <w:t>存在</w:t>
      </w:r>
      <w:r>
        <w:rPr>
          <w:rFonts w:hint="eastAsia"/>
          <w:color w:val="auto"/>
        </w:rPr>
        <w:t>招标人</w:t>
      </w:r>
      <w:r>
        <w:rPr>
          <w:color w:val="auto"/>
        </w:rPr>
        <w:t>认为的</w:t>
      </w:r>
      <w:r>
        <w:rPr>
          <w:rFonts w:hint="eastAsia"/>
          <w:color w:val="auto"/>
        </w:rPr>
        <w:t>违反合同</w:t>
      </w:r>
      <w:r>
        <w:rPr>
          <w:color w:val="auto"/>
        </w:rPr>
        <w:t>约定或</w:t>
      </w:r>
      <w:r>
        <w:rPr>
          <w:rFonts w:hint="eastAsia"/>
          <w:color w:val="auto"/>
        </w:rPr>
        <w:t>违反法律法规</w:t>
      </w:r>
      <w:r>
        <w:rPr>
          <w:color w:val="auto"/>
        </w:rPr>
        <w:t>等的</w:t>
      </w:r>
      <w:r>
        <w:rPr>
          <w:rFonts w:hint="eastAsia"/>
          <w:color w:val="auto"/>
        </w:rPr>
        <w:t>失信行为）的；</w:t>
      </w:r>
    </w:p>
    <w:p w14:paraId="550CF77A">
      <w:pPr>
        <w:pStyle w:val="style0"/>
        <w:autoSpaceDE w:val="false"/>
        <w:autoSpaceDN w:val="false"/>
        <w:adjustRightInd w:val="false"/>
        <w:spacing w:lineRule="auto" w:line="360"/>
        <w:ind w:firstLine="422" w:firstLineChars="200"/>
        <w:jc w:val="left"/>
        <w:rPr>
          <w:rFonts w:ascii="宋体" w:hAnsi="Courier New" w:hint="eastAsia"/>
          <w:b/>
          <w:bCs/>
          <w:highlight w:val="none"/>
          <w:lang w:val="en-US" w:eastAsia="zh-CN"/>
        </w:rPr>
      </w:pPr>
      <w:r>
        <w:rPr>
          <w:rFonts w:ascii="宋体" w:hAnsi="Courier New" w:hint="eastAsia"/>
          <w:b/>
          <w:bCs/>
          <w:color w:val="ff0000"/>
          <w:highlight w:val="none"/>
        </w:rPr>
        <w:t>*</w:t>
      </w:r>
      <w:r>
        <w:rPr>
          <w:rFonts w:ascii="宋体" w:hAnsi="Courier New" w:hint="eastAsia"/>
          <w:b/>
          <w:bCs/>
          <w:highlight w:val="none"/>
        </w:rPr>
        <w:t>⑻</w:t>
      </w:r>
      <w:r>
        <w:rPr>
          <w:rFonts w:ascii="宋体" w:hAnsi="Courier New" w:hint="eastAsia"/>
          <w:b/>
          <w:bCs/>
          <w:highlight w:val="none"/>
          <w:lang w:val="en-US" w:eastAsia="zh-CN"/>
        </w:rPr>
        <w:t>①经会计师事务所审计且出具无保留意见的近三年（2023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01CBDCD4">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22" w:firstLineChars="200"/>
        <w:textAlignment w:val="auto"/>
        <w:rPr>
          <w:rFonts w:ascii="宋体" w:hAnsi="Courier New"/>
          <w:b/>
          <w:bCs/>
          <w:highlight w:val="none"/>
        </w:rPr>
      </w:pPr>
      <w:r>
        <w:rPr>
          <w:rFonts w:hAnsi="宋体" w:hint="eastAsia"/>
          <w:b/>
          <w:bCs/>
          <w:color w:val="ff0000"/>
          <w:highlight w:val="none"/>
        </w:rPr>
        <w:t>*</w:t>
      </w:r>
      <w:r>
        <w:rPr>
          <w:rFonts w:ascii="宋体" w:hAnsi="宋体" w:hint="eastAsia"/>
          <w:b/>
          <w:bCs/>
          <w:highlight w:val="none"/>
        </w:rPr>
        <w:t>⑼</w:t>
      </w:r>
      <w:r>
        <w:rPr>
          <w:rFonts w:ascii="宋体" w:hAnsi="Courier New" w:hint="eastAsia"/>
          <w:b/>
          <w:bCs/>
          <w:highlight w:val="none"/>
        </w:rPr>
        <w:t>投标人须提供法人授权委托书原件（在投标文件副本中可用复印件）及投标单位的法定代表人或授权代表的身份证原件及复印件（加盖公章）；</w:t>
      </w:r>
    </w:p>
    <w:p w14:paraId="0F7E402F">
      <w:pPr>
        <w:pStyle w:val="style90"/>
        <w:spacing w:lineRule="auto" w:line="360"/>
        <w:ind w:firstLine="420" w:firstLineChars="200"/>
        <w:rPr/>
      </w:pPr>
      <w:r>
        <w:rPr>
          <w:rFonts w:hAnsi="宋体" w:hint="eastAsia"/>
        </w:rPr>
        <w:t>⑽</w:t>
      </w:r>
      <w:r>
        <w:rPr>
          <w:rFonts w:hint="eastAsia"/>
        </w:rPr>
        <w:t>投标人须具有履行合同所必须的设备、财务、技术、服务等方面的资质和能力；</w:t>
      </w:r>
    </w:p>
    <w:p w14:paraId="419A4081">
      <w:pPr>
        <w:pStyle w:val="style90"/>
        <w:spacing w:lineRule="auto" w:line="360"/>
        <w:ind w:firstLine="420" w:firstLineChars="200"/>
        <w:rPr/>
      </w:pPr>
      <w:r>
        <w:rPr>
          <w:rFonts w:hAnsi="宋体" w:hint="eastAsia"/>
        </w:rPr>
        <w:t>⑾</w:t>
      </w:r>
      <w:r>
        <w:rPr>
          <w:rFonts w:hint="eastAsia"/>
        </w:rPr>
        <w:t>投标人须具有完全履行招标文件的所有要求的能力；</w:t>
      </w:r>
    </w:p>
    <w:p w14:paraId="4A7EAD95">
      <w:pPr>
        <w:pStyle w:val="style90"/>
        <w:spacing w:lineRule="auto" w:line="360"/>
        <w:ind w:firstLine="420" w:firstLineChars="200"/>
        <w:rPr/>
      </w:pPr>
      <w:r>
        <w:rPr>
          <w:rFonts w:hAnsi="宋体" w:hint="eastAsia"/>
        </w:rPr>
        <w:t>⑿</w:t>
      </w:r>
      <w:r>
        <w:rPr>
          <w:rFonts w:hint="eastAsia"/>
        </w:rPr>
        <w:t>投标人须负责提供合理的便于运输的包装物，并承担相关费用；</w:t>
      </w:r>
    </w:p>
    <w:p w14:paraId="3D466A79">
      <w:pPr>
        <w:pStyle w:val="style90"/>
        <w:spacing w:lineRule="auto" w:line="360"/>
        <w:ind w:firstLine="420" w:firstLineChars="200"/>
        <w:rPr/>
      </w:pPr>
      <w:r>
        <w:rPr>
          <w:rFonts w:hAnsi="宋体" w:hint="eastAsia"/>
        </w:rPr>
        <w:t>⒀</w:t>
      </w:r>
      <w:r>
        <w:rPr>
          <w:rFonts w:hint="eastAsia"/>
        </w:rPr>
        <w:t>投标人须认可招标人的工作指令，包括节、假日能正常开展工作的要求；</w:t>
      </w:r>
    </w:p>
    <w:p w14:paraId="70B2D05D">
      <w:pPr>
        <w:pStyle w:val="style90"/>
        <w:spacing w:lineRule="auto" w:line="360"/>
        <w:ind w:firstLine="420" w:firstLineChars="200"/>
        <w:rPr/>
      </w:pPr>
      <w:r>
        <w:rPr>
          <w:rFonts w:hAnsi="宋体" w:hint="eastAsia"/>
        </w:rPr>
        <w:t>⒁</w:t>
      </w:r>
      <w:r>
        <w:rPr>
          <w:rFonts w:hint="eastAsia"/>
        </w:rPr>
        <w:t>投标人须认可招标人终止合同后3个月退还履约保证金的招标要求；</w:t>
      </w:r>
    </w:p>
    <w:p w14:paraId="6430F9F0">
      <w:pPr>
        <w:pStyle w:val="style90"/>
        <w:spacing w:lineRule="auto" w:line="360"/>
        <w:ind w:firstLine="422" w:firstLineChars="200"/>
        <w:rPr>
          <w:b/>
          <w:bCs/>
          <w:highlight w:val="none"/>
        </w:rPr>
      </w:pPr>
      <w:r>
        <w:rPr>
          <w:rFonts w:hAnsi="宋体" w:hint="eastAsia"/>
          <w:b/>
          <w:bCs/>
          <w:color w:val="ff0000"/>
          <w:highlight w:val="none"/>
        </w:rPr>
        <w:t>*</w:t>
      </w:r>
      <w:r>
        <w:rPr>
          <w:rFonts w:hAnsi="宋体" w:hint="eastAsia"/>
          <w:b/>
          <w:bCs/>
          <w:highlight w:val="none"/>
        </w:rPr>
        <w:t>⒂</w:t>
      </w:r>
      <w:r>
        <w:rPr>
          <w:rFonts w:hint="eastAsia"/>
          <w:b/>
          <w:bCs/>
          <w:highlight w:val="none"/>
        </w:rPr>
        <w:t>投标人必须是最终投标、签订合同的单位，不得以任何理由将已中标项目以任何形式转包给其他单位；</w:t>
      </w:r>
    </w:p>
    <w:p w14:paraId="1F45D350">
      <w:pPr>
        <w:pStyle w:val="style90"/>
        <w:spacing w:lineRule="auto" w:line="360"/>
        <w:ind w:firstLine="422" w:firstLineChars="200"/>
        <w:rPr>
          <w:b/>
          <w:bCs/>
          <w:highlight w:val="none"/>
        </w:rPr>
      </w:pPr>
      <w:r>
        <w:rPr>
          <w:rFonts w:hAnsi="宋体" w:hint="eastAsia"/>
          <w:b/>
          <w:bCs/>
          <w:color w:val="ff0000"/>
          <w:highlight w:val="none"/>
        </w:rPr>
        <w:t>*</w:t>
      </w:r>
      <w:r>
        <w:rPr>
          <w:rFonts w:hAnsi="宋体" w:hint="eastAsia"/>
          <w:b/>
          <w:bCs/>
          <w:highlight w:val="none"/>
        </w:rPr>
        <w:t>⒃</w:t>
      </w:r>
      <w:r>
        <w:rPr>
          <w:rFonts w:hint="eastAsia"/>
          <w:b/>
          <w:bCs/>
          <w:highlight w:val="none"/>
        </w:rPr>
        <w:t>本次招标项目不接受联合体投标；</w:t>
      </w:r>
    </w:p>
    <w:p w14:paraId="2A46B71D">
      <w:pPr>
        <w:pStyle w:val="style0"/>
        <w:spacing w:lineRule="auto" w:line="360"/>
        <w:ind w:firstLine="422" w:firstLineChars="200"/>
        <w:rPr>
          <w:rFonts w:ascii="宋体" w:hAnsi="宋体" w:hint="eastAsia"/>
          <w:b/>
          <w:bCs/>
          <w:highlight w:val="none"/>
        </w:rPr>
      </w:pPr>
      <w:r>
        <w:rPr>
          <w:rFonts w:hAnsi="宋体" w:hint="eastAsia"/>
          <w:b/>
          <w:bCs/>
          <w:color w:val="ff0000"/>
          <w:highlight w:val="none"/>
        </w:rPr>
        <w:t>*</w:t>
      </w:r>
      <w:r>
        <w:rPr>
          <w:rFonts w:ascii="宋体" w:hAnsi="宋体" w:hint="eastAsia"/>
          <w:b/>
          <w:bCs/>
          <w:highlight w:val="none"/>
        </w:rPr>
        <w:t>⒄投标人在向招标人出示《投标保证金缴纳凭证》后方可进行投标；</w:t>
      </w:r>
    </w:p>
    <w:p w14:paraId="20C7DB51">
      <w:pPr>
        <w:pStyle w:val="style0"/>
        <w:spacing w:lineRule="auto" w:line="360"/>
        <w:ind w:firstLine="420" w:firstLineChars="200"/>
        <w:rPr>
          <w:rFonts w:hAnsi="宋体" w:hint="eastAsia"/>
          <w:b w:val="false"/>
          <w:bCs w:val="false"/>
          <w:highlight w:val="none"/>
        </w:rPr>
      </w:pPr>
      <w:r>
        <w:rPr>
          <w:rFonts w:hAnsi="宋体" w:hint="eastAsia"/>
          <w:b w:val="false"/>
          <w:bCs w:val="false"/>
          <w:lang w:eastAsia="zh-CN"/>
        </w:rPr>
        <w:t>⒅</w:t>
      </w:r>
      <w:r>
        <w:rPr>
          <w:rFonts w:hAnsi="宋体" w:hint="eastAsia"/>
          <w:b w:val="false"/>
          <w:bCs w:val="false"/>
          <w:highlight w:val="none"/>
        </w:rPr>
        <w:t>如为代理商投标，需获得生产厂家正式授权原件并具备售后服务承诺原件。</w:t>
      </w:r>
    </w:p>
    <w:p w14:paraId="41122561">
      <w:pPr>
        <w:pStyle w:val="style90"/>
        <w:spacing w:lineRule="auto" w:line="360"/>
        <w:ind w:firstLine="420" w:firstLineChars="200"/>
        <w:rPr>
          <w:rFonts w:hAnsi="宋体" w:hint="eastAsia"/>
        </w:rPr>
      </w:pPr>
      <w:r>
        <w:rPr>
          <w:rFonts w:ascii="Times New Roman" w:cs="Times New Roman" w:eastAsia="宋体" w:hAnsi="宋体" w:hint="eastAsia"/>
          <w:b w:val="false"/>
          <w:bCs w:val="false"/>
          <w:kern w:val="2"/>
          <w:sz w:val="21"/>
          <w:szCs w:val="20"/>
          <w:lang w:val="en-US" w:bidi="ar-SA" w:eastAsia="zh-CN"/>
        </w:rPr>
        <w:t>⒆</w:t>
      </w:r>
      <w:r>
        <w:rPr>
          <w:rFonts w:hAnsi="宋体" w:hint="eastAsia"/>
        </w:rPr>
        <w:t>供方的直接或间接股东、法定代表人、董事、监事、高管非重汽员工及其亲属。</w:t>
      </w:r>
    </w:p>
    <w:p w14:paraId="45180B81">
      <w:pPr>
        <w:pStyle w:val="style90"/>
        <w:spacing w:lineRule="auto" w:line="360"/>
        <w:ind w:firstLine="422" w:firstLineChars="200"/>
        <w:rPr>
          <w:b/>
          <w:color w:val="auto"/>
        </w:rPr>
      </w:pPr>
      <w:r>
        <w:rPr>
          <w:rFonts w:hint="eastAsia"/>
          <w:b/>
          <w:bCs/>
          <w:color w:val="auto"/>
        </w:rPr>
        <w:t>注：上述带“</w:t>
      </w:r>
      <w:r>
        <w:rPr>
          <w:rFonts w:hAnsi="宋体" w:hint="eastAsia"/>
          <w:b/>
          <w:bCs/>
          <w:color w:val="ff0000"/>
        </w:rPr>
        <w:t>*</w:t>
      </w:r>
      <w:r>
        <w:rPr>
          <w:rFonts w:hint="eastAsia"/>
          <w:b/>
          <w:bCs/>
          <w:color w:val="auto"/>
        </w:rPr>
        <w:t>”项为必备的资格文件，在开标前核验（由投标人单独提供），缺一项按废标处理，其余文件开标后核验。</w:t>
      </w:r>
      <w:r>
        <w:rPr>
          <w:rFonts w:hint="eastAsia"/>
          <w:b/>
          <w:color w:val="auto"/>
        </w:rPr>
        <w:t>逾期的投标文件招标人不予受理。</w:t>
      </w:r>
    </w:p>
    <w:p w14:paraId="6E523F2B">
      <w:pPr>
        <w:pStyle w:val="style90"/>
        <w:spacing w:lineRule="auto" w:line="360"/>
        <w:ind w:firstLine="482" w:firstLineChars="200"/>
        <w:rPr>
          <w:rFonts w:hint="eastAsia"/>
          <w:b/>
          <w:sz w:val="24"/>
          <w:szCs w:val="24"/>
        </w:rPr>
      </w:pPr>
      <w:r>
        <w:rPr>
          <w:rFonts w:hint="eastAsia"/>
          <w:b/>
          <w:sz w:val="24"/>
          <w:szCs w:val="24"/>
        </w:rPr>
        <w:t>2.投标文件格式组成</w:t>
      </w:r>
    </w:p>
    <w:p w14:paraId="58026E69">
      <w:pPr>
        <w:pStyle w:val="style4133"/>
        <w:keepNext w:val="false"/>
        <w:keepLines w:val="false"/>
        <w:pageBreakBefore w:val="false"/>
        <w:widowControl w:val="false"/>
        <w:kinsoku/>
        <w:wordWrap/>
        <w:overflowPunct/>
        <w:topLinePunct w:val="false"/>
        <w:autoSpaceDE/>
        <w:autoSpaceDN/>
        <w:bidi w:val="false"/>
        <w:adjustRightInd/>
        <w:snapToGrid/>
        <w:spacing w:lineRule="exact" w:line="440"/>
        <w:ind w:firstLine="420" w:firstLineChars="200"/>
        <w:textAlignment w:val="auto"/>
        <w:rPr>
          <w:rFonts w:ascii="宋体" w:cs="Times New Roman" w:eastAsia="宋体" w:hAnsi="Courier New" w:hint="eastAsia"/>
          <w:kern w:val="2"/>
          <w:sz w:val="21"/>
          <w:lang w:val="en-US" w:bidi="ar-SA" w:eastAsia="zh-CN"/>
        </w:rPr>
      </w:pPr>
      <w:r>
        <w:rPr>
          <w:rFonts w:ascii="宋体" w:cs="Times New Roman" w:eastAsia="宋体" w:hAnsi="Courier New" w:hint="eastAsia"/>
          <w:kern w:val="2"/>
          <w:sz w:val="21"/>
          <w:lang w:val="en-US" w:bidi="ar-SA" w:eastAsia="zh-CN"/>
        </w:rPr>
        <w:t>本项目投标文件为盖章扫描电子版投标文件。投标人编写的投标文件由《投标文件（资质标）》、《投标文件（技术标）》、《投标文件（商务标）</w:t>
      </w:r>
      <w:r>
        <w:rPr>
          <w:rFonts w:cs="Times New Roman" w:hint="eastAsia"/>
          <w:kern w:val="2"/>
          <w:sz w:val="21"/>
          <w:lang w:val="en-US" w:bidi="ar-SA" w:eastAsia="zh-CN"/>
        </w:rPr>
        <w:t>》</w:t>
      </w:r>
      <w:r>
        <w:rPr>
          <w:rFonts w:ascii="宋体" w:cs="Times New Roman" w:eastAsia="宋体" w:hAnsi="Courier New" w:hint="eastAsia"/>
          <w:kern w:val="2"/>
          <w:sz w:val="21"/>
          <w:lang w:val="en-US" w:bidi="ar-SA" w:eastAsia="zh-CN"/>
        </w:rPr>
        <w:t>含（开标一览表）文件组成，共计3个文件。</w:t>
      </w:r>
    </w:p>
    <w:p w14:paraId="41C025E9">
      <w:pPr>
        <w:pStyle w:val="style90"/>
        <w:spacing w:lineRule="auto" w:line="360"/>
        <w:ind w:firstLine="482" w:firstLineChars="200"/>
        <w:rPr>
          <w:b/>
          <w:sz w:val="24"/>
          <w:szCs w:val="24"/>
        </w:rPr>
      </w:pPr>
      <w:r>
        <w:rPr>
          <w:rFonts w:hint="eastAsia"/>
          <w:b/>
          <w:sz w:val="24"/>
          <w:szCs w:val="24"/>
        </w:rPr>
        <w:t>2.1资质文件：</w:t>
      </w:r>
    </w:p>
    <w:p w14:paraId="70870B01">
      <w:pPr>
        <w:pStyle w:val="style90"/>
        <w:spacing w:lineRule="auto" w:line="360"/>
        <w:ind w:left="420" w:leftChars="200" w:firstLine="0" w:firstLineChars="0"/>
        <w:rPr>
          <w:rFonts w:hint="eastAsia"/>
          <w:b/>
        </w:rPr>
      </w:pPr>
      <w:r>
        <w:rPr>
          <w:rFonts w:hint="eastAsia"/>
          <w:b/>
        </w:rPr>
        <w:t>2.1.1</w:t>
      </w:r>
      <w:r>
        <w:rPr>
          <w:rFonts w:hint="eastAsia"/>
          <w:b/>
          <w:lang w:val="en-US" w:eastAsia="zh-CN"/>
        </w:rPr>
        <w:t xml:space="preserve">  </w:t>
      </w:r>
      <w:r>
        <w:rPr>
          <w:rFonts w:ascii="Times New Roman" w:cs="Times New Roman" w:hAnsi="Times New Roman" w:hint="eastAsia"/>
          <w:color w:val="auto"/>
        </w:rPr>
        <w:t>营业执照副本原件</w:t>
      </w:r>
      <w:r>
        <w:rPr>
          <w:rFonts w:ascii="Times New Roman" w:cs="Times New Roman" w:hAnsi="Times New Roman" w:hint="eastAsia"/>
          <w:color w:val="auto"/>
          <w:lang w:val="en-US" w:eastAsia="zh-CN"/>
        </w:rPr>
        <w:t>或复印件</w:t>
      </w:r>
      <w:r>
        <w:rPr>
          <w:rFonts w:ascii="Times New Roman" w:cs="Times New Roman" w:hAnsi="Times New Roman" w:hint="default"/>
          <w:color w:val="auto"/>
        </w:rPr>
        <w:t>（需加盖公章）</w:t>
      </w:r>
      <w:r>
        <w:rPr>
          <w:rFonts w:hint="eastAsia"/>
          <w:b/>
        </w:rPr>
        <w:t>；</w:t>
      </w:r>
    </w:p>
    <w:p w14:paraId="66367A94">
      <w:pPr>
        <w:pStyle w:val="style90"/>
        <w:spacing w:lineRule="auto" w:line="360"/>
        <w:ind w:firstLine="422" w:firstLineChars="200"/>
        <w:rPr>
          <w:b/>
        </w:rPr>
      </w:pPr>
      <w:r>
        <w:rPr>
          <w:rFonts w:hint="eastAsia"/>
          <w:b/>
          <w:lang w:val="en-US" w:eastAsia="zh-CN"/>
        </w:rPr>
        <w:t xml:space="preserve">2.1.2  </w:t>
      </w:r>
      <w:r>
        <w:rPr>
          <w:rFonts w:ascii="Times New Roman" w:cs="Times New Roman" w:hAnsi="Times New Roman" w:hint="default"/>
          <w:color w:val="auto"/>
        </w:rPr>
        <w:t>法定代表人授</w:t>
      </w:r>
      <w:r>
        <w:rPr>
          <w:rFonts w:ascii="Times New Roman" w:cs="Times New Roman" w:hAnsi="Times New Roman" w:hint="default"/>
          <w:color w:val="auto"/>
          <w:highlight w:val="none"/>
        </w:rPr>
        <w:t>权书（附件</w:t>
      </w:r>
      <w:r>
        <w:rPr>
          <w:rFonts w:ascii="Times New Roman" w:cs="Times New Roman" w:hAnsi="Times New Roman" w:hint="eastAsia"/>
          <w:color w:val="auto"/>
          <w:highlight w:val="none"/>
          <w:lang w:val="en-US" w:eastAsia="zh-CN"/>
        </w:rPr>
        <w:t>1</w:t>
      </w:r>
      <w:r>
        <w:rPr>
          <w:rFonts w:ascii="Times New Roman" w:cs="Times New Roman" w:hAnsi="Times New Roman" w:hint="default"/>
          <w:color w:val="auto"/>
          <w:highlight w:val="none"/>
        </w:rPr>
        <w:t>）；法定代表人参加投标的，提供法人身份证明文件即可；被授权人参加投标的，需提供法定代表人授权委托书（含法人身份证和被授权人身份证正反面复印件）</w:t>
      </w:r>
    </w:p>
    <w:p w14:paraId="7A60C7D7">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ascii="Times New Roman" w:cs="Times New Roman" w:hAnsi="Times New Roman" w:hint="eastAsia"/>
          <w:color w:val="auto"/>
          <w:highlight w:val="none"/>
        </w:rPr>
      </w:pPr>
      <w:r>
        <w:rPr>
          <w:rFonts w:hint="eastAsia"/>
          <w:b/>
        </w:rPr>
        <w:t>2.1.3</w:t>
      </w:r>
      <w:r>
        <w:rPr>
          <w:rFonts w:hint="eastAsia"/>
          <w:b/>
        </w:rPr>
        <w:tab/>
      </w:r>
      <w:r>
        <w:rPr>
          <w:rFonts w:ascii="Times New Roman" w:cs="Times New Roman" w:hAnsi="Times New Roman" w:hint="eastAsia"/>
          <w:color w:val="auto"/>
          <w:highlight w:val="none"/>
        </w:rPr>
        <w:t>经会计师事务所审计且出具无保留意见的近三年的财务审计报告，并加盖公章，包括但不限于报告页、经审计的资产负债表、利润表、现金流量表及报表附注</w:t>
      </w:r>
      <w:r>
        <w:rPr>
          <w:rFonts w:ascii="Times New Roman" w:cs="Times New Roman" w:hAnsi="Times New Roman" w:hint="eastAsia"/>
          <w:color w:val="auto"/>
          <w:highlight w:val="none"/>
          <w:lang w:eastAsia="zh-CN"/>
        </w:rPr>
        <w:t>，且未显示异常</w:t>
      </w:r>
      <w:r>
        <w:rPr>
          <w:rFonts w:ascii="Times New Roman" w:cs="Times New Roman" w:hAnsi="Times New Roman" w:hint="eastAsia"/>
          <w:color w:val="auto"/>
          <w:highlight w:val="none"/>
        </w:rPr>
        <w:t>。如投标人公司没有经审计的财务报告，可提供加盖公章的近三年财务报表，包括但不限于资产负债表、利润表、现金流量表</w:t>
      </w:r>
      <w:r>
        <w:rPr>
          <w:rFonts w:ascii="Times New Roman" w:cs="Times New Roman" w:hAnsi="Times New Roman" w:hint="eastAsia"/>
          <w:color w:val="auto"/>
          <w:highlight w:val="none"/>
          <w:lang w:eastAsia="zh-CN"/>
        </w:rPr>
        <w:t>；</w:t>
      </w:r>
      <w:r>
        <w:rPr>
          <w:rFonts w:ascii="Times New Roman" w:cs="Times New Roman" w:hAnsi="Times New Roman" w:hint="eastAsia"/>
          <w:color w:val="auto"/>
          <w:highlight w:val="none"/>
        </w:rPr>
        <w:t>应提供中文版本的审计报告或财务报表</w:t>
      </w:r>
      <w:r>
        <w:rPr>
          <w:rFonts w:ascii="Times New Roman" w:cs="Times New Roman" w:hAnsi="Times New Roman" w:hint="eastAsia"/>
          <w:color w:val="auto"/>
          <w:highlight w:val="none"/>
          <w:lang w:eastAsia="zh-CN"/>
        </w:rPr>
        <w:t>，</w:t>
      </w:r>
      <w:r>
        <w:rPr>
          <w:rFonts w:ascii="Times New Roman" w:cs="Times New Roman" w:hAnsi="Times New Roman" w:hint="default"/>
          <w:color w:val="auto"/>
          <w:highlight w:val="none"/>
          <w:lang w:val="en-US" w:eastAsia="zh-CN"/>
        </w:rPr>
        <w:t>必须连续，同时填写投标人基本情况表（附件</w:t>
      </w:r>
      <w:r>
        <w:rPr>
          <w:rFonts w:ascii="Times New Roman" w:cs="Times New Roman" w:hAnsi="Times New Roman" w:hint="eastAsia"/>
          <w:color w:val="auto"/>
          <w:highlight w:val="none"/>
          <w:lang w:val="en-US" w:eastAsia="zh-CN"/>
        </w:rPr>
        <w:t>2</w:t>
      </w:r>
      <w:r>
        <w:rPr>
          <w:rFonts w:ascii="Times New Roman" w:cs="Times New Roman" w:hAnsi="Times New Roman" w:hint="default"/>
          <w:color w:val="auto"/>
          <w:highlight w:val="none"/>
          <w:lang w:val="en-US" w:eastAsia="zh-CN"/>
        </w:rPr>
        <w:t>）</w:t>
      </w:r>
      <w:r>
        <w:rPr>
          <w:rFonts w:ascii="宋体" w:cs="Times New Roman" w:eastAsia="宋体" w:hAnsi="宋体" w:hint="eastAsia"/>
          <w:b w:val="false"/>
          <w:bCs/>
          <w:highlight w:val="none"/>
          <w:lang w:val="en-US" w:eastAsia="zh-CN"/>
        </w:rPr>
        <w:t>；</w:t>
      </w:r>
      <w:r>
        <w:rPr>
          <w:rFonts w:ascii="宋体" w:cs="Times New Roman" w:eastAsia="宋体" w:hAnsi="宋体" w:hint="eastAsia"/>
          <w:b w:val="false"/>
          <w:bCs/>
          <w:highlight w:val="none"/>
          <w:lang w:val="en-US" w:eastAsia="zh-CN"/>
        </w:rPr>
        <w:br/>
      </w:r>
      <w:r>
        <w:rPr>
          <w:rFonts w:ascii="宋体" w:cs="Times New Roman" w:eastAsia="宋体" w:hAnsi="宋体" w:hint="eastAsia"/>
          <w:b w:val="false"/>
          <w:bCs/>
          <w:highlight w:val="none"/>
          <w:lang w:val="en-US" w:eastAsia="zh-CN"/>
        </w:rPr>
        <w:t xml:space="preserve">    </w:t>
      </w:r>
      <w:r>
        <w:rPr>
          <w:rFonts w:hint="eastAsia"/>
          <w:b/>
        </w:rPr>
        <w:t>2.1.</w:t>
      </w:r>
      <w:r>
        <w:rPr>
          <w:rFonts w:hint="eastAsia"/>
          <w:b/>
          <w:lang w:val="en-US" w:eastAsia="zh-CN"/>
        </w:rPr>
        <w:t xml:space="preserve">4 </w:t>
      </w:r>
      <w:r>
        <w:rPr>
          <w:rFonts w:ascii="Times New Roman" w:cs="Times New Roman" w:hAnsi="Times New Roman" w:hint="eastAsia"/>
          <w:color w:val="auto"/>
          <w:highlight w:val="none"/>
          <w:lang w:val="en-US" w:eastAsia="zh-CN"/>
        </w:rPr>
        <w:t>企业最近半年完税证明、信用证明材料（征信报告）；</w:t>
      </w:r>
    </w:p>
    <w:p w14:paraId="4D61F3E1">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textAlignment w:val="auto"/>
        <w:rPr>
          <w:rFonts w:ascii="Times New Roman" w:cs="Times New Roman" w:hAnsi="Times New Roman" w:hint="eastAsia"/>
          <w:color w:val="auto"/>
          <w:highlight w:val="none"/>
          <w:lang w:val="en-US" w:eastAsia="zh-CN"/>
        </w:rPr>
      </w:pPr>
      <w:r>
        <w:rPr>
          <w:rFonts w:hint="eastAsia"/>
          <w:b/>
          <w:lang w:val="en-US" w:eastAsia="zh-CN"/>
        </w:rPr>
        <w:t xml:space="preserve">    2</w:t>
      </w:r>
      <w:r>
        <w:rPr>
          <w:rFonts w:hint="eastAsia"/>
          <w:b/>
        </w:rPr>
        <w:t>.1.</w:t>
      </w:r>
      <w:r>
        <w:rPr>
          <w:rFonts w:hint="eastAsia"/>
          <w:b/>
          <w:lang w:val="en-US" w:eastAsia="zh-CN"/>
        </w:rPr>
        <w:t xml:space="preserve">5 </w:t>
      </w:r>
      <w:r>
        <w:rPr>
          <w:rFonts w:ascii="Times New Roman" w:cs="Times New Roman" w:hAnsi="Times New Roman" w:hint="eastAsia"/>
          <w:color w:val="auto"/>
          <w:highlight w:val="none"/>
          <w:lang w:val="en-US" w:eastAsia="zh-CN"/>
        </w:rPr>
        <w:t>年度纳税信用评价信息（可从电子税务局查询截图，需加盖公章）；</w:t>
      </w:r>
    </w:p>
    <w:p w14:paraId="4E46CB10">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ascii="Times New Roman" w:cs="Times New Roman" w:hAnsi="Times New Roman" w:hint="default"/>
          <w:color w:val="auto"/>
          <w:highlight w:val="none"/>
        </w:rPr>
      </w:pPr>
      <w:r>
        <w:rPr>
          <w:rFonts w:hint="eastAsia"/>
          <w:b/>
        </w:rPr>
        <w:t>2.1.</w:t>
      </w:r>
      <w:r>
        <w:rPr>
          <w:rFonts w:hint="eastAsia"/>
          <w:b/>
          <w:lang w:val="en-US" w:eastAsia="zh-CN"/>
        </w:rPr>
        <w:t>6</w:t>
      </w:r>
      <w:r>
        <w:rPr>
          <w:rFonts w:ascii="Times New Roman" w:cs="Times New Roman" w:hAnsi="Times New Roman" w:hint="eastAsia"/>
          <w:color w:val="auto"/>
          <w:highlight w:val="none"/>
          <w:lang w:val="en-US" w:eastAsia="zh-CN"/>
        </w:rPr>
        <w:t>企业对外担保说明（写明贵单位对外有无对外担保和质押业务，需加盖公章）；</w:t>
      </w:r>
    </w:p>
    <w:p w14:paraId="7C89376D">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ascii="Times New Roman" w:cs="Times New Roman" w:hAnsi="Times New Roman" w:hint="eastAsia"/>
          <w:color w:val="auto"/>
          <w:highlight w:val="none"/>
          <w:lang w:val="en-US" w:eastAsia="zh-CN"/>
        </w:rPr>
      </w:pPr>
      <w:r>
        <w:rPr>
          <w:rFonts w:hint="eastAsia"/>
          <w:b/>
        </w:rPr>
        <w:t>2.1.</w:t>
      </w:r>
      <w:r>
        <w:rPr>
          <w:rFonts w:hint="eastAsia"/>
          <w:b/>
          <w:lang w:val="en-US" w:eastAsia="zh-CN"/>
        </w:rPr>
        <w:t>7</w:t>
      </w:r>
      <w:r>
        <w:rPr>
          <w:rFonts w:ascii="Times New Roman" w:cs="Times New Roman" w:hAnsi="Times New Roman" w:hint="default"/>
          <w:color w:val="auto"/>
          <w:highlight w:val="none"/>
          <w:lang w:val="en-US" w:eastAsia="zh-CN"/>
        </w:rPr>
        <w:t>投标人在国家企业信用信息公示系统中无与本项目有关的行政处罚、经营异常和失信信息的声明（附投标当日系统内相关截图）</w:t>
      </w:r>
      <w:r>
        <w:rPr>
          <w:rFonts w:ascii="Times New Roman" w:cs="Times New Roman" w:hAnsi="Times New Roman" w:hint="eastAsia"/>
          <w:color w:val="auto"/>
          <w:highlight w:val="none"/>
          <w:lang w:val="en-US" w:eastAsia="zh-CN"/>
        </w:rPr>
        <w:t>；</w:t>
      </w:r>
    </w:p>
    <w:p w14:paraId="4402A5B1">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ascii="Times New Roman" w:cs="Times New Roman" w:hAnsi="Times New Roman" w:hint="eastAsia"/>
          <w:color w:val="auto"/>
          <w:highlight w:val="none"/>
          <w:lang w:val="en-US" w:eastAsia="zh-CN"/>
        </w:rPr>
      </w:pPr>
      <w:r>
        <w:rPr>
          <w:rFonts w:hint="eastAsia"/>
          <w:b/>
        </w:rPr>
        <w:t>2.1.</w:t>
      </w:r>
      <w:r>
        <w:rPr>
          <w:rFonts w:hint="eastAsia"/>
          <w:b/>
          <w:lang w:val="en-US" w:eastAsia="zh-CN"/>
        </w:rPr>
        <w:t>8</w:t>
      </w:r>
      <w:r>
        <w:rPr>
          <w:rFonts w:ascii="Times New Roman" w:cs="Times New Roman" w:hAnsi="Times New Roman" w:hint="eastAsia"/>
          <w:color w:val="auto"/>
          <w:highlight w:val="none"/>
          <w:lang w:val="en-US" w:eastAsia="zh-CN"/>
        </w:rPr>
        <w:t>投标人应具有相应生产证明，若非原厂商需提供原厂商授权书（原件或加盖投标单位公章的彩色打印件）；</w:t>
      </w:r>
    </w:p>
    <w:p w14:paraId="1E42F048">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200"/>
        <w:textAlignment w:val="auto"/>
        <w:rPr>
          <w:rFonts w:ascii="Times New Roman" w:cs="Times New Roman" w:hAnsi="Times New Roman" w:hint="eastAsia"/>
          <w:color w:val="auto"/>
          <w:highlight w:val="none"/>
          <w:lang w:val="en-US" w:eastAsia="zh-CN"/>
        </w:rPr>
      </w:pPr>
      <w:r>
        <w:rPr>
          <w:rFonts w:hint="eastAsia"/>
          <w:b/>
        </w:rPr>
        <w:t>2.1.</w:t>
      </w:r>
      <w:r>
        <w:rPr>
          <w:rFonts w:hint="eastAsia"/>
          <w:b/>
          <w:lang w:val="en-US" w:eastAsia="zh-CN"/>
        </w:rPr>
        <w:t>9</w:t>
      </w:r>
      <w:r>
        <w:rPr>
          <w:rFonts w:ascii="Times New Roman" w:cs="Times New Roman" w:hAnsi="Times New Roman" w:hint="default"/>
          <w:color w:val="auto"/>
          <w:highlight w:val="none"/>
          <w:lang w:val="en-US" w:eastAsia="zh-CN"/>
        </w:rPr>
        <w:t>保密承诺函（附件</w:t>
      </w:r>
      <w:r>
        <w:rPr>
          <w:rFonts w:ascii="Times New Roman" w:cs="Times New Roman" w:hAnsi="Times New Roman" w:hint="eastAsia"/>
          <w:color w:val="auto"/>
          <w:highlight w:val="none"/>
          <w:lang w:val="en-US" w:eastAsia="zh-CN"/>
        </w:rPr>
        <w:t>3</w:t>
      </w:r>
      <w:r>
        <w:rPr>
          <w:rFonts w:ascii="Times New Roman" w:cs="Times New Roman" w:hAnsi="Times New Roman" w:hint="default"/>
          <w:color w:val="auto"/>
          <w:highlight w:val="none"/>
          <w:lang w:val="en-US" w:eastAsia="zh-CN"/>
        </w:rPr>
        <w:t>，需</w:t>
      </w:r>
      <w:r>
        <w:rPr>
          <w:rFonts w:ascii="Times New Roman" w:cs="Times New Roman" w:hAnsi="Times New Roman" w:hint="eastAsia"/>
          <w:color w:val="auto"/>
          <w:highlight w:val="none"/>
          <w:lang w:val="en-US" w:eastAsia="zh-CN"/>
        </w:rPr>
        <w:t>加</w:t>
      </w:r>
      <w:r>
        <w:rPr>
          <w:rFonts w:ascii="Times New Roman" w:cs="Times New Roman" w:hAnsi="Times New Roman" w:hint="default"/>
          <w:color w:val="auto"/>
          <w:highlight w:val="none"/>
          <w:lang w:val="en-US" w:eastAsia="zh-CN"/>
        </w:rPr>
        <w:t>盖章）</w:t>
      </w:r>
      <w:r>
        <w:rPr>
          <w:rFonts w:ascii="Times New Roman" w:cs="Times New Roman" w:hAnsi="Times New Roman" w:hint="eastAsia"/>
          <w:color w:val="auto"/>
          <w:highlight w:val="none"/>
          <w:lang w:val="en-US" w:eastAsia="zh-CN"/>
        </w:rPr>
        <w:t>；</w:t>
      </w:r>
    </w:p>
    <w:p w14:paraId="3D766582">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ascii="Times New Roman" w:cs="Times New Roman" w:hAnsi="Times New Roman" w:hint="eastAsia"/>
          <w:color w:val="auto"/>
          <w:lang w:val="en-US" w:eastAsia="zh-CN"/>
        </w:rPr>
      </w:pPr>
      <w:r>
        <w:rPr>
          <w:rFonts w:hint="eastAsia"/>
          <w:b/>
        </w:rPr>
        <w:t>2.1.</w:t>
      </w:r>
      <w:r>
        <w:rPr>
          <w:rFonts w:hint="eastAsia"/>
          <w:b/>
          <w:lang w:val="en-US" w:eastAsia="zh-CN"/>
        </w:rPr>
        <w:t xml:space="preserve">10  </w:t>
      </w:r>
      <w:r>
        <w:rPr>
          <w:rFonts w:ascii="Times New Roman" w:cs="Times New Roman" w:hAnsi="Times New Roman" w:hint="default"/>
          <w:color w:val="auto"/>
          <w:highlight w:val="none"/>
          <w:lang w:val="en-US" w:eastAsia="zh-CN"/>
        </w:rPr>
        <w:t>202</w:t>
      </w:r>
      <w:r>
        <w:rPr>
          <w:rFonts w:ascii="Times New Roman" w:cs="Times New Roman" w:hAnsi="Times New Roman" w:hint="eastAsia"/>
          <w:color w:val="auto"/>
          <w:highlight w:val="none"/>
          <w:lang w:val="en-US" w:eastAsia="zh-CN"/>
        </w:rPr>
        <w:t>3</w:t>
      </w:r>
      <w:r>
        <w:rPr>
          <w:rFonts w:ascii="Times New Roman" w:cs="Times New Roman" w:hAnsi="Times New Roman" w:hint="default"/>
          <w:color w:val="auto"/>
          <w:highlight w:val="none"/>
          <w:lang w:val="en-US" w:eastAsia="zh-CN"/>
        </w:rPr>
        <w:t>年1月1日至今，企业近三</w:t>
      </w:r>
      <w:r>
        <w:rPr>
          <w:rFonts w:ascii="Times New Roman" w:cs="Times New Roman" w:hAnsi="Times New Roman" w:hint="default"/>
          <w:color w:val="auto"/>
          <w:lang w:val="en-US" w:eastAsia="zh-CN"/>
        </w:rPr>
        <w:t>年同类项目业绩证明，须提供用户清单、采购合同复印件</w:t>
      </w:r>
      <w:r>
        <w:rPr>
          <w:rFonts w:cs="Times New Roman" w:hint="eastAsia"/>
          <w:highlight w:val="none"/>
        </w:rPr>
        <w:t>；</w:t>
      </w:r>
    </w:p>
    <w:p w14:paraId="32865C30">
      <w:pPr>
        <w:pStyle w:val="style4133"/>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2" w:firstLineChars="200"/>
        <w:textAlignment w:val="auto"/>
        <w:rPr>
          <w:rFonts w:hint="eastAsia"/>
          <w:b/>
          <w:highlight w:val="yellow"/>
        </w:rPr>
      </w:pPr>
      <w:r>
        <w:rPr>
          <w:rFonts w:hint="eastAsia"/>
          <w:b/>
        </w:rPr>
        <w:t>2.1.</w:t>
      </w:r>
      <w:r>
        <w:rPr>
          <w:rFonts w:hint="eastAsia"/>
          <w:b/>
          <w:lang w:val="en-US" w:eastAsia="zh-CN"/>
        </w:rPr>
        <w:t>11</w:t>
      </w:r>
      <w:r>
        <w:rPr>
          <w:rFonts w:ascii="Times New Roman" w:cs="Times New Roman" w:hAnsi="Times New Roman" w:hint="eastAsia"/>
          <w:color w:val="auto"/>
          <w:lang w:val="en-US" w:eastAsia="zh-CN"/>
        </w:rPr>
        <w:t>投标保证金缴纳凭证，同时正文描述付款账号、户名、开户行名称、开户行行号、保证金金额。（见附件8）</w:t>
      </w:r>
    </w:p>
    <w:p w14:paraId="7261D059">
      <w:pPr>
        <w:pStyle w:val="style4133"/>
        <w:keepNext w:val="false"/>
        <w:keepLines w:val="false"/>
        <w:pageBreakBefore w:val="false"/>
        <w:widowControl w:val="false"/>
        <w:numPr>
          <w:ilvl w:val="0"/>
          <w:numId w:val="2"/>
        </w:numPr>
        <w:kinsoku/>
        <w:wordWrap/>
        <w:overflowPunct/>
        <w:topLinePunct w:val="false"/>
        <w:autoSpaceDE/>
        <w:autoSpaceDN/>
        <w:bidi w:val="false"/>
        <w:adjustRightInd/>
        <w:snapToGrid/>
        <w:spacing w:lineRule="exact" w:line="440"/>
        <w:ind w:left="0" w:leftChars="0" w:firstLine="422" w:firstLineChars="200"/>
        <w:textAlignment w:val="auto"/>
        <w:rPr>
          <w:b/>
          <w:bCs/>
          <w:color w:val="auto"/>
        </w:rPr>
      </w:pPr>
      <w:r>
        <w:rPr>
          <w:rFonts w:hint="eastAsia"/>
          <w:b/>
          <w:bCs/>
          <w:color w:val="auto"/>
        </w:rPr>
        <w:t>对于投标人资质审核不通过的，招标人有权拒绝其投标。</w:t>
      </w:r>
    </w:p>
    <w:p w14:paraId="04AA5B4A">
      <w:pPr>
        <w:pStyle w:val="style90"/>
        <w:spacing w:lineRule="auto" w:line="360"/>
        <w:ind w:firstLine="482" w:firstLineChars="200"/>
        <w:rPr>
          <w:b/>
          <w:color w:val="auto"/>
          <w:sz w:val="24"/>
          <w:szCs w:val="24"/>
        </w:rPr>
      </w:pPr>
      <w:r>
        <w:rPr>
          <w:rFonts w:hint="eastAsia"/>
          <w:b/>
          <w:color w:val="auto"/>
          <w:sz w:val="24"/>
          <w:szCs w:val="24"/>
        </w:rPr>
        <w:t>2.2 技术标：</w:t>
      </w:r>
    </w:p>
    <w:p w14:paraId="3C3E12A2">
      <w:pPr>
        <w:pStyle w:val="style90"/>
        <w:spacing w:lineRule="auto" w:line="360"/>
        <w:ind w:firstLine="422" w:firstLineChars="200"/>
        <w:rPr>
          <w:b/>
        </w:rPr>
      </w:pPr>
      <w:r>
        <w:rPr>
          <w:rFonts w:hint="eastAsia"/>
          <w:b/>
        </w:rPr>
        <w:t>2.2.1</w:t>
      </w:r>
      <w:r>
        <w:rPr>
          <w:rFonts w:hint="eastAsia"/>
          <w:b/>
        </w:rPr>
        <w:tab/>
      </w:r>
      <w:r>
        <w:rPr>
          <w:rFonts w:hint="eastAsia"/>
          <w:b/>
        </w:rPr>
        <w:t>技术规格偏离表</w:t>
      </w:r>
      <w:r>
        <w:rPr>
          <w:rFonts w:hint="eastAsia"/>
          <w:b/>
          <w:lang w:val="en-US" w:eastAsia="zh-CN"/>
        </w:rPr>
        <w:t>（见附件6）</w:t>
      </w:r>
      <w:r>
        <w:rPr>
          <w:rFonts w:hint="eastAsia"/>
          <w:b/>
        </w:rPr>
        <w:t>；</w:t>
      </w:r>
    </w:p>
    <w:p w14:paraId="57D063AF">
      <w:pPr>
        <w:pStyle w:val="style90"/>
        <w:spacing w:lineRule="auto" w:line="360"/>
        <w:ind w:firstLine="422" w:firstLineChars="200"/>
        <w:rPr>
          <w:rFonts w:eastAsia="宋体" w:hint="eastAsia"/>
          <w:b/>
          <w:lang w:eastAsia="zh-CN"/>
        </w:rPr>
      </w:pPr>
      <w:r>
        <w:rPr>
          <w:rFonts w:hint="eastAsia"/>
          <w:b/>
        </w:rPr>
        <w:t>2.2.2</w:t>
      </w:r>
      <w:r>
        <w:rPr>
          <w:rFonts w:hint="eastAsia"/>
          <w:b/>
        </w:rPr>
        <w:tab/>
      </w:r>
      <w:r>
        <w:rPr>
          <w:rFonts w:hint="eastAsia"/>
          <w:b/>
        </w:rPr>
        <w:t>备品备件工具材料明细表；货物从招标人验收后开始使用至投标资料表中规定的周期内正常、连续地使用所必须的备件和专用工具清单</w:t>
      </w:r>
      <w:r>
        <w:rPr>
          <w:rFonts w:hint="eastAsia"/>
          <w:b/>
          <w:lang w:eastAsia="zh-CN"/>
        </w:rPr>
        <w:t>（</w:t>
      </w:r>
      <w:r>
        <w:rPr>
          <w:rFonts w:hint="eastAsia"/>
          <w:b/>
          <w:lang w:val="en-US" w:eastAsia="zh-CN"/>
        </w:rPr>
        <w:t>若涉及</w:t>
      </w:r>
      <w:r>
        <w:rPr>
          <w:rFonts w:hint="eastAsia"/>
          <w:b/>
          <w:lang w:eastAsia="zh-CN"/>
        </w:rPr>
        <w:t>）；</w:t>
      </w:r>
    </w:p>
    <w:p w14:paraId="235768AC">
      <w:pPr>
        <w:pStyle w:val="style90"/>
        <w:spacing w:lineRule="auto" w:line="360"/>
        <w:ind w:firstLine="422" w:firstLineChars="200"/>
        <w:rPr>
          <w:b/>
        </w:rPr>
      </w:pPr>
      <w:r>
        <w:rPr>
          <w:rFonts w:hint="eastAsia"/>
          <w:b/>
        </w:rPr>
        <w:t>2.2.3</w:t>
      </w:r>
      <w:r>
        <w:rPr>
          <w:rFonts w:hint="eastAsia"/>
          <w:b/>
        </w:rPr>
        <w:tab/>
      </w:r>
      <w:r>
        <w:rPr>
          <w:rFonts w:hint="eastAsia"/>
          <w:b/>
        </w:rPr>
        <w:t>相关技术性能、参数的描述；证明货物和服务与招标文件的要求相一致的文件，可以是文字资料、图纸和数据，它包括：</w:t>
      </w:r>
    </w:p>
    <w:p w14:paraId="1C2048D1">
      <w:pPr>
        <w:pStyle w:val="style90"/>
        <w:spacing w:lineRule="auto" w:line="360"/>
        <w:ind w:firstLine="422" w:firstLineChars="200"/>
        <w:rPr>
          <w:b/>
        </w:rPr>
      </w:pPr>
      <w:r>
        <w:rPr>
          <w:rFonts w:hint="eastAsia"/>
          <w:b/>
        </w:rPr>
        <w:t>1）货物主要技术指标和性能的详细说明；</w:t>
      </w:r>
    </w:p>
    <w:p w14:paraId="10B54968">
      <w:pPr>
        <w:pStyle w:val="style90"/>
        <w:spacing w:lineRule="auto" w:line="360"/>
        <w:ind w:firstLine="422" w:firstLineChars="200"/>
        <w:rPr>
          <w:b/>
        </w:rPr>
      </w:pPr>
      <w:r>
        <w:rPr>
          <w:rFonts w:hint="eastAsia"/>
          <w:b/>
        </w:rPr>
        <w:t>2）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5423CCC0">
      <w:pPr>
        <w:pStyle w:val="style90"/>
        <w:spacing w:lineRule="auto" w:line="360"/>
        <w:ind w:firstLine="422" w:firstLineChars="200"/>
        <w:rPr>
          <w:rFonts w:hint="eastAsia"/>
          <w:b/>
        </w:rPr>
      </w:pPr>
      <w:r>
        <w:rPr>
          <w:rFonts w:hint="eastAsia"/>
          <w:b/>
        </w:rPr>
        <w:t>3）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5F4C56B8">
      <w:pPr>
        <w:pStyle w:val="style90"/>
        <w:spacing w:lineRule="auto" w:line="360"/>
        <w:ind w:firstLine="422" w:firstLineChars="200"/>
        <w:rPr>
          <w:rFonts w:cs="Times New Roman" w:hint="eastAsia"/>
          <w:b/>
          <w:color w:val="auto"/>
          <w:lang w:val="en-US" w:eastAsia="zh-CN"/>
        </w:rPr>
      </w:pPr>
      <w:r>
        <w:rPr>
          <w:rFonts w:hint="eastAsia"/>
          <w:b/>
          <w:color w:val="auto"/>
          <w:lang w:val="en-US" w:eastAsia="zh-CN"/>
        </w:rPr>
        <w:t>2.2.4  相关</w:t>
      </w:r>
      <w:r>
        <w:rPr>
          <w:rFonts w:ascii="宋体" w:cs="Times New Roman" w:hAnsi="Courier New" w:hint="eastAsia"/>
          <w:b/>
          <w:color w:val="auto"/>
        </w:rPr>
        <w:t>技术方案及组织措施</w:t>
      </w:r>
      <w:r>
        <w:rPr>
          <w:rFonts w:cs="Times New Roman" w:hAnsi="Courier New" w:hint="eastAsia"/>
          <w:b/>
          <w:color w:val="auto"/>
          <w:lang w:val="en-US" w:eastAsia="zh-CN"/>
        </w:rPr>
        <w:t>与相应资质</w:t>
      </w:r>
      <w:r>
        <w:rPr>
          <w:rFonts w:ascii="宋体" w:cs="Times New Roman" w:hAnsi="Courier New" w:hint="eastAsia"/>
          <w:b/>
          <w:color w:val="auto"/>
        </w:rPr>
        <w:t>施工人员</w:t>
      </w:r>
      <w:r>
        <w:rPr>
          <w:rFonts w:cs="Times New Roman" w:hAnsi="Courier New" w:hint="eastAsia"/>
          <w:b/>
          <w:color w:val="auto"/>
          <w:lang w:val="en-US" w:eastAsia="zh-CN"/>
        </w:rPr>
        <w:t>证明材料</w:t>
      </w:r>
      <w:r>
        <w:rPr>
          <w:rFonts w:cs="Times New Roman" w:hint="eastAsia"/>
          <w:b/>
          <w:color w:val="auto"/>
          <w:lang w:val="en-US" w:eastAsia="zh-CN"/>
        </w:rPr>
        <w:t>；</w:t>
      </w:r>
    </w:p>
    <w:p w14:paraId="5283A059">
      <w:pPr>
        <w:pStyle w:val="style90"/>
        <w:spacing w:lineRule="auto" w:line="360"/>
        <w:ind w:firstLine="422" w:firstLineChars="200"/>
        <w:rPr>
          <w:rFonts w:cs="Times New Roman" w:hint="eastAsia"/>
          <w:b/>
          <w:color w:val="auto"/>
          <w:lang w:val="en-US" w:eastAsia="zh-CN"/>
        </w:rPr>
      </w:pPr>
      <w:r>
        <w:rPr>
          <w:rFonts w:hint="eastAsia"/>
          <w:b/>
          <w:color w:val="auto"/>
          <w:lang w:val="en-US" w:eastAsia="zh-CN"/>
        </w:rPr>
        <w:t>2.2.5  投标人业绩证明文件，</w:t>
      </w:r>
      <w:r>
        <w:rPr>
          <w:rFonts w:hint="eastAsia"/>
          <w:b/>
          <w:color w:val="auto"/>
          <w:highlight w:val="yellow"/>
          <w:lang w:val="en-US" w:eastAsia="zh-CN"/>
        </w:rPr>
        <w:t xml:space="preserve">包括 </w:t>
      </w:r>
      <w:r>
        <w:rPr>
          <w:rFonts w:ascii="宋体" w:cs="Times New Roman" w:hint="eastAsia"/>
          <w:b/>
          <w:color w:val="auto"/>
          <w:kern w:val="2"/>
          <w:szCs w:val="20"/>
          <w:highlight w:val="yellow"/>
        </w:rPr>
        <w:t>20</w:t>
      </w:r>
      <w:r>
        <w:rPr>
          <w:rFonts w:ascii="宋体" w:cs="Times New Roman" w:hint="eastAsia"/>
          <w:b/>
          <w:color w:val="auto"/>
          <w:kern w:val="2"/>
          <w:szCs w:val="20"/>
          <w:highlight w:val="yellow"/>
          <w:lang w:val="en-US" w:eastAsia="zh-CN"/>
        </w:rPr>
        <w:t>2</w:t>
      </w:r>
      <w:r>
        <w:rPr>
          <w:rFonts w:cs="Times New Roman" w:hint="eastAsia"/>
          <w:b/>
          <w:color w:val="auto"/>
          <w:kern w:val="2"/>
          <w:szCs w:val="20"/>
          <w:highlight w:val="yellow"/>
          <w:lang w:val="en-US" w:eastAsia="zh-CN"/>
        </w:rPr>
        <w:t>3</w:t>
      </w:r>
      <w:r>
        <w:rPr>
          <w:rFonts w:ascii="宋体" w:cs="Times New Roman" w:hint="eastAsia"/>
          <w:b/>
          <w:color w:val="auto"/>
          <w:kern w:val="2"/>
          <w:szCs w:val="20"/>
          <w:highlight w:val="yellow"/>
        </w:rPr>
        <w:t>年1月1日以来在中国与本标同类规格产品的业绩，</w:t>
      </w:r>
      <w:r>
        <w:rPr>
          <w:rFonts w:ascii="宋体" w:cs="Times New Roman" w:hint="eastAsia"/>
          <w:b/>
          <w:color w:val="auto"/>
          <w:kern w:val="2"/>
          <w:szCs w:val="20"/>
          <w:highlight w:val="none"/>
        </w:rPr>
        <w:t>以合同</w:t>
      </w:r>
      <w:r>
        <w:rPr>
          <w:rFonts w:ascii="宋体" w:hAnsi="Courier New" w:hint="eastAsia"/>
          <w:b/>
          <w:color w:val="auto"/>
          <w:highlight w:val="none"/>
        </w:rPr>
        <w:t>复印件加盖公章为准（</w:t>
      </w:r>
      <w:r>
        <w:rPr>
          <w:rFonts w:ascii="宋体" w:hAnsi="Courier New" w:hint="eastAsia"/>
          <w:b/>
          <w:bCs w:val="false"/>
          <w:color w:val="auto"/>
          <w:highlight w:val="none"/>
        </w:rPr>
        <w:t>须有客户联系方式及联系人以供招标人核实确认）</w:t>
      </w:r>
      <w:r>
        <w:rPr>
          <w:rFonts w:ascii="宋体" w:hAnsi="Courier New" w:hint="eastAsia"/>
          <w:b/>
          <w:bCs w:val="false"/>
          <w:color w:val="auto"/>
          <w:highlight w:val="none"/>
          <w:lang w:eastAsia="zh-CN"/>
        </w:rPr>
        <w:t>；</w:t>
      </w:r>
    </w:p>
    <w:p w14:paraId="16EFA7E4">
      <w:pPr>
        <w:pStyle w:val="style90"/>
        <w:spacing w:lineRule="auto" w:line="360"/>
        <w:ind w:firstLine="422" w:firstLineChars="200"/>
        <w:rPr>
          <w:rFonts w:hint="default"/>
          <w:b/>
          <w:lang w:val="en-US" w:eastAsia="zh-CN"/>
        </w:rPr>
      </w:pPr>
      <w:r>
        <w:rPr>
          <w:rFonts w:hint="eastAsia"/>
          <w:b/>
        </w:rPr>
        <w:t>2.2.</w:t>
      </w:r>
      <w:r>
        <w:rPr>
          <w:rFonts w:hint="eastAsia"/>
          <w:b/>
          <w:lang w:val="en-US" w:eastAsia="zh-CN"/>
        </w:rPr>
        <w:t>6</w:t>
      </w:r>
      <w:r>
        <w:rPr>
          <w:rFonts w:hint="eastAsia"/>
          <w:b/>
        </w:rPr>
        <w:t xml:space="preserve">  技术标书中严禁出现与投标报价有关的内容</w:t>
      </w:r>
      <w:r>
        <w:rPr>
          <w:rFonts w:hint="eastAsia"/>
          <w:b/>
          <w:lang w:eastAsia="zh-CN"/>
        </w:rPr>
        <w:t>；</w:t>
      </w:r>
    </w:p>
    <w:p w14:paraId="2CA4E20E">
      <w:pPr>
        <w:pStyle w:val="style90"/>
        <w:spacing w:lineRule="auto" w:line="360"/>
        <w:ind w:firstLine="422" w:firstLineChars="200"/>
        <w:rPr>
          <w:rFonts w:eastAsia="宋体" w:hint="eastAsia"/>
          <w:b/>
          <w:lang w:val="en-US" w:eastAsia="zh-CN"/>
        </w:rPr>
      </w:pPr>
      <w:r>
        <w:rPr>
          <w:rFonts w:hint="eastAsia"/>
          <w:b/>
        </w:rPr>
        <w:t>2.2.</w:t>
      </w:r>
      <w:r>
        <w:rPr>
          <w:rFonts w:hint="eastAsia"/>
          <w:b/>
          <w:lang w:val="en-US" w:eastAsia="zh-CN"/>
        </w:rPr>
        <w:t>7  其他</w:t>
      </w:r>
      <w:r>
        <w:rPr>
          <w:rFonts w:hint="eastAsia"/>
          <w:b/>
          <w:lang w:eastAsia="zh-CN"/>
        </w:rPr>
        <w:t>。</w:t>
      </w:r>
    </w:p>
    <w:p w14:paraId="32334BA3">
      <w:pPr>
        <w:pStyle w:val="style90"/>
        <w:spacing w:lineRule="auto" w:line="360"/>
        <w:ind w:firstLine="482" w:firstLineChars="200"/>
        <w:rPr>
          <w:b/>
          <w:sz w:val="24"/>
          <w:szCs w:val="24"/>
        </w:rPr>
      </w:pPr>
      <w:r>
        <w:rPr>
          <w:rFonts w:hint="eastAsia"/>
          <w:b/>
          <w:sz w:val="24"/>
          <w:szCs w:val="24"/>
        </w:rPr>
        <w:t>2.3 商务标：</w:t>
      </w:r>
    </w:p>
    <w:p w14:paraId="434CDEFB">
      <w:pPr>
        <w:pStyle w:val="style90"/>
        <w:spacing w:lineRule="auto" w:line="360"/>
        <w:ind w:firstLine="422" w:firstLineChars="200"/>
        <w:rPr>
          <w:rFonts w:ascii="宋体" w:cs="Times New Roman" w:eastAsia="宋体" w:hint="eastAsia"/>
          <w:b/>
        </w:rPr>
      </w:pPr>
      <w:r>
        <w:rPr>
          <w:rFonts w:ascii="宋体" w:cs="Times New Roman" w:eastAsia="宋体" w:hint="eastAsia"/>
          <w:b/>
        </w:rPr>
        <w:t>2.3.1开标一览表</w:t>
      </w:r>
      <w:r>
        <w:rPr>
          <w:rFonts w:ascii="宋体" w:cs="Times New Roman" w:eastAsia="宋体" w:hint="eastAsia"/>
          <w:b/>
          <w:lang w:val="en-US" w:eastAsia="zh-CN"/>
        </w:rPr>
        <w:t>（见附件4）</w:t>
      </w:r>
      <w:r>
        <w:rPr>
          <w:rFonts w:ascii="宋体" w:cs="Times New Roman" w:eastAsia="宋体" w:hint="eastAsia"/>
          <w:b/>
        </w:rPr>
        <w:t>；</w:t>
      </w:r>
    </w:p>
    <w:p w14:paraId="254745FA">
      <w:pPr>
        <w:pStyle w:val="style90"/>
        <w:spacing w:lineRule="auto" w:line="360"/>
        <w:ind w:firstLine="422" w:firstLineChars="200"/>
        <w:rPr>
          <w:rFonts w:ascii="宋体" w:cs="Times New Roman" w:eastAsia="宋体" w:hint="eastAsia"/>
          <w:b/>
        </w:rPr>
      </w:pPr>
      <w:r>
        <w:rPr>
          <w:rFonts w:ascii="宋体" w:cs="Times New Roman" w:eastAsia="宋体" w:hint="eastAsia"/>
          <w:b/>
        </w:rPr>
        <w:t>2.3.</w:t>
      </w:r>
      <w:r>
        <w:rPr>
          <w:rFonts w:ascii="宋体" w:cs="Times New Roman" w:eastAsia="宋体" w:hint="eastAsia"/>
          <w:b/>
          <w:lang w:val="en-US" w:eastAsia="zh-CN"/>
        </w:rPr>
        <w:t>2</w:t>
      </w:r>
      <w:r>
        <w:rPr>
          <w:rFonts w:ascii="宋体" w:cs="Times New Roman" w:eastAsia="宋体" w:hint="eastAsia"/>
          <w:b/>
        </w:rPr>
        <w:t>投标函（附件</w:t>
      </w:r>
      <w:r>
        <w:rPr>
          <w:rFonts w:ascii="宋体" w:cs="Times New Roman" w:eastAsia="宋体" w:hint="eastAsia"/>
          <w:b/>
          <w:lang w:val="en-US" w:eastAsia="zh-CN"/>
        </w:rPr>
        <w:t>5</w:t>
      </w:r>
      <w:r>
        <w:rPr>
          <w:rFonts w:ascii="宋体" w:cs="Times New Roman" w:eastAsia="宋体" w:hint="eastAsia"/>
          <w:b/>
        </w:rPr>
        <w:t>）</w:t>
      </w:r>
    </w:p>
    <w:p w14:paraId="6F93399C">
      <w:pPr>
        <w:pStyle w:val="style90"/>
        <w:spacing w:lineRule="auto" w:line="360"/>
        <w:ind w:firstLine="422" w:firstLineChars="200"/>
        <w:rPr>
          <w:rFonts w:ascii="宋体" w:cs="Times New Roman" w:eastAsia="宋体" w:hint="eastAsia"/>
          <w:b/>
        </w:rPr>
      </w:pPr>
      <w:r>
        <w:rPr>
          <w:rFonts w:ascii="宋体" w:cs="Times New Roman" w:eastAsia="宋体" w:hint="eastAsia"/>
          <w:b/>
          <w:lang w:val="en-US" w:eastAsia="zh-CN"/>
        </w:rPr>
        <w:t xml:space="preserve">2.3.3 </w:t>
      </w:r>
      <w:r>
        <w:rPr>
          <w:rFonts w:ascii="宋体" w:cs="Times New Roman" w:eastAsia="宋体" w:hint="eastAsia"/>
          <w:b/>
        </w:rPr>
        <w:t>投标货物分项报价表</w:t>
      </w:r>
      <w:r>
        <w:rPr>
          <w:rFonts w:ascii="宋体" w:cs="Times New Roman" w:eastAsia="宋体" w:hint="eastAsia"/>
          <w:b/>
          <w:lang w:val="en-US" w:eastAsia="zh-CN"/>
        </w:rPr>
        <w:t>（见附件7）</w:t>
      </w:r>
      <w:r>
        <w:rPr>
          <w:rFonts w:ascii="宋体" w:cs="Times New Roman" w:eastAsia="宋体" w:hint="eastAsia"/>
          <w:b/>
        </w:rPr>
        <w:t>；</w:t>
      </w:r>
    </w:p>
    <w:p w14:paraId="73E84E15">
      <w:pPr>
        <w:pStyle w:val="style90"/>
        <w:spacing w:lineRule="auto" w:line="360"/>
        <w:ind w:firstLine="422" w:firstLineChars="200"/>
        <w:rPr>
          <w:rFonts w:ascii="宋体" w:cs="Times New Roman" w:eastAsia="宋体" w:hint="eastAsia"/>
          <w:b/>
          <w:lang w:val="en-US" w:eastAsia="zh-CN"/>
        </w:rPr>
      </w:pPr>
      <w:r>
        <w:rPr>
          <w:rFonts w:ascii="宋体" w:cs="Times New Roman" w:eastAsia="宋体" w:hint="eastAsia"/>
          <w:b/>
        </w:rPr>
        <w:t>2.3.4</w:t>
      </w:r>
      <w:r>
        <w:rPr>
          <w:rFonts w:ascii="宋体" w:cs="Times New Roman" w:eastAsia="宋体" w:hint="eastAsia"/>
          <w:b/>
          <w:lang w:val="en-US" w:eastAsia="zh-CN"/>
        </w:rPr>
        <w:t xml:space="preserve"> </w:t>
      </w:r>
      <w:r>
        <w:rPr>
          <w:rFonts w:ascii="宋体" w:cs="Times New Roman" w:eastAsia="宋体" w:hint="eastAsia"/>
          <w:b/>
        </w:rPr>
        <w:t>商务条款偏离表</w:t>
      </w:r>
      <w:r>
        <w:rPr>
          <w:rFonts w:ascii="宋体" w:cs="Times New Roman" w:eastAsia="宋体" w:hint="eastAsia"/>
          <w:b/>
          <w:lang w:val="en-US" w:eastAsia="zh-CN"/>
        </w:rPr>
        <w:t>（见附件6）；</w:t>
      </w:r>
    </w:p>
    <w:p w14:paraId="4A920171">
      <w:pPr>
        <w:pStyle w:val="style90"/>
        <w:spacing w:lineRule="auto" w:line="360"/>
        <w:ind w:firstLine="422" w:firstLineChars="200"/>
        <w:rPr>
          <w:rFonts w:hint="default"/>
          <w:b/>
          <w:lang w:val="en-US" w:eastAsia="zh-CN"/>
        </w:rPr>
      </w:pPr>
      <w:r>
        <w:rPr>
          <w:rFonts w:ascii="宋体" w:cs="Times New Roman" w:eastAsia="宋体" w:hint="eastAsia"/>
          <w:b/>
          <w:lang w:val="en-US" w:eastAsia="zh-CN"/>
        </w:rPr>
        <w:t>2.3.5 其他。</w:t>
      </w:r>
    </w:p>
    <w:p w14:paraId="5874CF98">
      <w:pPr>
        <w:pStyle w:val="style90"/>
        <w:spacing w:lineRule="auto" w:line="360"/>
        <w:ind w:firstLine="422" w:firstLineChars="200"/>
        <w:rPr>
          <w:b/>
        </w:rPr>
      </w:pPr>
      <w:r>
        <w:rPr>
          <w:rFonts w:hint="eastAsia"/>
          <w:b/>
        </w:rPr>
        <w:t>3.报价：</w:t>
      </w:r>
    </w:p>
    <w:p w14:paraId="30CB93EA">
      <w:pPr>
        <w:pStyle w:val="style90"/>
        <w:spacing w:lineRule="auto" w:line="360"/>
        <w:ind w:firstLine="420" w:firstLineChars="200"/>
        <w:rPr/>
      </w:pPr>
      <w:r>
        <w:rPr>
          <w:rFonts w:hAnsi="宋体" w:hint="eastAsia"/>
          <w:lang w:val="en-US" w:eastAsia="zh-CN"/>
        </w:rPr>
        <w:t>3.1</w:t>
      </w:r>
      <w:r>
        <w:rPr>
          <w:rFonts w:hint="eastAsia"/>
        </w:rPr>
        <w:t>本次</w:t>
      </w:r>
      <w:r>
        <w:rPr>
          <w:rFonts w:hint="eastAsia"/>
          <w:color w:val="auto"/>
        </w:rPr>
        <w:t>招标为公开招标，报价</w:t>
      </w:r>
      <w:r>
        <w:rPr>
          <w:rFonts w:hint="eastAsia"/>
        </w:rPr>
        <w:t>应为：投标人与招标人或其指派的答疑人员充分沟通确认基础上，由投标人在满足招标人所提出的、与本项目所有相关环节有关的所有费用。</w:t>
      </w:r>
    </w:p>
    <w:p w14:paraId="02DBCC62">
      <w:pPr>
        <w:pStyle w:val="style90"/>
        <w:numPr>
          <w:ilvl w:val="255"/>
          <w:numId w:val="0"/>
        </w:numPr>
        <w:spacing w:lineRule="auto" w:line="360"/>
        <w:ind w:left="420"/>
        <w:rPr>
          <w:rFonts w:hint="eastAsia"/>
          <w:color w:val="auto"/>
          <w:highlight w:val="yellow"/>
          <w:lang w:eastAsia="zh-CN"/>
        </w:rPr>
      </w:pPr>
      <w:r>
        <w:rPr>
          <w:rFonts w:hint="eastAsia"/>
          <w:color w:val="auto"/>
          <w:highlight w:val="yellow"/>
          <w:lang w:val="en-US" w:eastAsia="zh-CN"/>
        </w:rPr>
        <w:t>3.2所有分项投标单价按基准单价同比例下浮</w:t>
      </w:r>
      <w:r>
        <w:rPr>
          <w:rFonts w:hint="eastAsia"/>
          <w:color w:val="auto"/>
          <w:highlight w:val="yellow"/>
          <w:lang w:eastAsia="zh-CN"/>
        </w:rPr>
        <w:t>。</w:t>
      </w:r>
    </w:p>
    <w:p w14:paraId="523283B5">
      <w:pPr>
        <w:pStyle w:val="style90"/>
        <w:numPr>
          <w:ilvl w:val="255"/>
          <w:numId w:val="0"/>
        </w:numPr>
        <w:spacing w:lineRule="auto" w:line="360"/>
        <w:ind w:left="420"/>
        <w:rPr>
          <w:rFonts w:ascii="宋体" w:hAnsi="Courier New"/>
          <w:highlight w:val="yellow"/>
        </w:rPr>
      </w:pPr>
      <w:r>
        <w:rPr>
          <w:rFonts w:hint="eastAsia"/>
          <w:color w:val="auto"/>
          <w:highlight w:val="none"/>
          <w:lang w:val="en-US" w:eastAsia="zh-CN"/>
        </w:rPr>
        <w:t>*线上报价通过重汽e采通进行，单位为</w:t>
      </w:r>
      <w:r>
        <w:rPr>
          <w:rFonts w:hint="eastAsia"/>
          <w:b/>
          <w:bCs/>
          <w:color w:val="auto"/>
          <w:highlight w:val="yellow"/>
          <w:lang w:val="en-US" w:eastAsia="zh-CN"/>
        </w:rPr>
        <w:t>万元（含税），税率9%</w:t>
      </w:r>
      <w:r>
        <w:rPr>
          <w:rFonts w:hint="eastAsia"/>
          <w:color w:val="auto"/>
          <w:highlight w:val="none"/>
          <w:lang w:val="en-US" w:eastAsia="zh-CN"/>
        </w:rPr>
        <w:t>。</w:t>
      </w:r>
    </w:p>
    <w:p w14:paraId="21571409">
      <w:pPr>
        <w:pStyle w:val="style0"/>
        <w:autoSpaceDE w:val="false"/>
        <w:autoSpaceDN w:val="false"/>
        <w:adjustRightInd w:val="false"/>
        <w:spacing w:lineRule="auto" w:line="360"/>
        <w:ind w:firstLine="422" w:firstLineChars="200"/>
        <w:jc w:val="left"/>
        <w:rPr>
          <w:rFonts w:eastAsia="宋体" w:hint="eastAsia"/>
          <w:b/>
          <w:highlight w:val="yellow"/>
          <w:lang w:eastAsia="zh-CN"/>
        </w:rPr>
      </w:pPr>
      <w:r>
        <w:rPr>
          <w:rFonts w:hint="eastAsia"/>
          <w:b/>
        </w:rPr>
        <w:t>4、</w:t>
      </w:r>
      <w:r>
        <w:rPr>
          <w:rFonts w:hint="eastAsia"/>
          <w:b/>
          <w:highlight w:val="yellow"/>
        </w:rPr>
        <w:t>付款方式：半年期商业</w:t>
      </w:r>
      <w:r>
        <w:rPr>
          <w:rFonts w:hint="eastAsia"/>
          <w:b/>
          <w:highlight w:val="yellow"/>
          <w:lang w:val="en-US" w:eastAsia="zh-CN"/>
        </w:rPr>
        <w:t>汇</w:t>
      </w:r>
      <w:r>
        <w:rPr>
          <w:rFonts w:hint="eastAsia"/>
          <w:b/>
          <w:highlight w:val="yellow"/>
        </w:rPr>
        <w:t>票（包括银行承兑汇票和商业承兑汇票）</w:t>
      </w:r>
      <w:r>
        <w:rPr>
          <w:rFonts w:ascii="Calibri" w:hAnsi="Calibri" w:hint="eastAsia"/>
          <w:lang w:eastAsia="zh-CN"/>
        </w:rPr>
        <w:t>。</w:t>
      </w:r>
    </w:p>
    <w:p w14:paraId="133849FE">
      <w:pPr>
        <w:pStyle w:val="style4132"/>
        <w:keepNext w:val="false"/>
        <w:keepLines w:val="false"/>
        <w:pageBreakBefore w:val="false"/>
        <w:widowControl w:val="false"/>
        <w:numPr>
          <w:ilvl w:val="0"/>
          <w:numId w:val="0"/>
        </w:numPr>
        <w:kinsoku/>
        <w:wordWrap/>
        <w:overflowPunct/>
        <w:topLinePunct w:val="false"/>
        <w:autoSpaceDE/>
        <w:autoSpaceDN/>
        <w:bidi w:val="false"/>
        <w:adjustRightInd/>
        <w:spacing w:lineRule="auto" w:line="360"/>
        <w:ind w:left="422" w:leftChars="200" w:hanging="2" w:hangingChars="1"/>
        <w:textAlignment w:val="auto"/>
        <w:rPr>
          <w:rFonts w:ascii="宋体" w:cs="宋体" w:eastAsia="宋体" w:hAnsi="宋体" w:hint="eastAsia"/>
          <w:b w:val="false"/>
          <w:bCs w:val="false"/>
          <w:sz w:val="21"/>
          <w:szCs w:val="21"/>
          <w:highlight w:val="none"/>
        </w:rPr>
      </w:pPr>
      <w:r>
        <w:rPr>
          <w:rFonts w:ascii="宋体" w:cs="Times New Roman" w:eastAsia="宋体" w:hAnsi="Courier New" w:hint="eastAsia"/>
          <w:b w:val="false"/>
          <w:bCs w:val="false"/>
          <w:color w:val="auto"/>
          <w:kern w:val="2"/>
          <w:sz w:val="21"/>
          <w:highlight w:val="none"/>
          <w:lang w:val="en-US" w:bidi="ar-SA" w:eastAsia="zh-CN"/>
        </w:rPr>
        <w:t>付款节点：</w:t>
      </w:r>
      <w:r>
        <w:rPr>
          <w:rFonts w:ascii="宋体" w:cs="宋体" w:eastAsia="宋体" w:hAnsi="宋体" w:hint="eastAsia"/>
          <w:b w:val="false"/>
          <w:bCs w:val="false"/>
          <w:sz w:val="21"/>
          <w:szCs w:val="21"/>
          <w:highlight w:val="none"/>
        </w:rPr>
        <w:t>9：1</w:t>
      </w:r>
      <w:r>
        <w:rPr>
          <w:rFonts w:ascii="宋体" w:cs="宋体" w:eastAsia="宋体" w:hAnsi="宋体" w:hint="eastAsia"/>
          <w:b w:val="false"/>
          <w:bCs w:val="false"/>
          <w:sz w:val="21"/>
          <w:szCs w:val="21"/>
          <w:highlight w:val="none"/>
          <w:lang w:eastAsia="zh-CN"/>
        </w:rPr>
        <w:t>，</w:t>
      </w:r>
      <w:r>
        <w:rPr>
          <w:rFonts w:ascii="宋体" w:cs="宋体" w:eastAsia="宋体" w:hAnsi="宋体" w:hint="eastAsia"/>
          <w:b w:val="false"/>
          <w:bCs w:val="false"/>
          <w:sz w:val="21"/>
          <w:szCs w:val="21"/>
          <w:highlight w:val="none"/>
        </w:rPr>
        <w:t>乙方完成甲方的需求，乙方开具合同价款90%的收据并100%的增值税专用发票，经甲方核对无误后支付90%。质保金10%在质保期届满后开具合同价款10%的收据后支付。</w:t>
      </w:r>
    </w:p>
    <w:p w14:paraId="5EC87B3B">
      <w:pPr>
        <w:pStyle w:val="style66"/>
        <w:snapToGrid w:val="false"/>
        <w:spacing w:lineRule="auto" w:line="360"/>
        <w:ind w:firstLine="420" w:firstLineChars="200"/>
        <w:rPr>
          <w:rFonts w:ascii="宋体" w:cs="宋体" w:eastAsia="宋体" w:hAnsi="宋体" w:hint="eastAsia"/>
          <w:color w:val="auto"/>
          <w:sz w:val="21"/>
          <w:szCs w:val="21"/>
        </w:rPr>
      </w:pPr>
      <w:r>
        <w:rPr>
          <w:rFonts w:ascii="宋体" w:cs="宋体" w:eastAsia="宋体" w:hAnsi="宋体" w:hint="eastAsia"/>
          <w:color w:val="auto"/>
          <w:sz w:val="21"/>
          <w:szCs w:val="21"/>
        </w:rPr>
        <w:t>a)在合同约定维保期内全部实施完毕无质量问题，经最终验收合格后</w:t>
      </w:r>
      <w:r>
        <w:rPr>
          <w:rFonts w:ascii="宋体" w:cs="宋体" w:eastAsia="宋体" w:hAnsi="宋体" w:hint="eastAsia"/>
          <w:color w:val="auto"/>
          <w:sz w:val="21"/>
          <w:szCs w:val="21"/>
          <w:lang w:eastAsia="zh-CN"/>
        </w:rPr>
        <w:t>，</w:t>
      </w:r>
      <w:r>
        <w:rPr>
          <w:rFonts w:ascii="宋体" w:cs="宋体" w:eastAsia="宋体" w:hAnsi="宋体" w:hint="eastAsia"/>
          <w:color w:val="auto"/>
          <w:sz w:val="21"/>
          <w:szCs w:val="21"/>
        </w:rPr>
        <w:t>按照规定挂账后30天账期，账期满后提交资金计划后付给承揽方合同价格约</w:t>
      </w:r>
      <w:r>
        <w:rPr>
          <w:rFonts w:ascii="宋体" w:cs="宋体" w:eastAsia="宋体" w:hAnsi="宋体" w:hint="eastAsia"/>
          <w:color w:val="auto"/>
          <w:sz w:val="21"/>
          <w:szCs w:val="21"/>
          <w:u w:val="single"/>
        </w:rPr>
        <w:t xml:space="preserve"> </w:t>
      </w:r>
      <w:r>
        <w:rPr>
          <w:rFonts w:ascii="宋体" w:cs="宋体" w:eastAsia="宋体" w:hAnsi="宋体" w:hint="eastAsia"/>
          <w:color w:val="auto"/>
          <w:sz w:val="21"/>
          <w:szCs w:val="21"/>
          <w:u w:val="single"/>
          <w:lang w:val="en-US" w:eastAsia="zh-CN"/>
        </w:rPr>
        <w:t>9</w:t>
      </w:r>
      <w:r>
        <w:rPr>
          <w:rFonts w:ascii="宋体" w:cs="宋体" w:eastAsia="宋体" w:hAnsi="宋体" w:hint="eastAsia"/>
          <w:color w:val="auto"/>
          <w:sz w:val="21"/>
          <w:szCs w:val="21"/>
          <w:u w:val="single"/>
        </w:rPr>
        <w:t>0%</w:t>
      </w:r>
      <w:r>
        <w:rPr>
          <w:rFonts w:ascii="宋体" w:cs="宋体" w:eastAsia="宋体" w:hAnsi="宋体" w:hint="eastAsia"/>
          <w:color w:val="auto"/>
          <w:sz w:val="21"/>
          <w:szCs w:val="21"/>
        </w:rPr>
        <w:t>的价款。</w:t>
      </w:r>
    </w:p>
    <w:p w14:paraId="2DBD29B1">
      <w:pPr>
        <w:pStyle w:val="style179"/>
        <w:keepNext w:val="false"/>
        <w:keepLines w:val="false"/>
        <w:pageBreakBefore w:val="false"/>
        <w:widowControl w:val="false"/>
        <w:kinsoku/>
        <w:wordWrap/>
        <w:overflowPunct/>
        <w:topLinePunct w:val="false"/>
        <w:autoSpaceDE/>
        <w:autoSpaceDN/>
        <w:bidi w:val="false"/>
        <w:adjustRightInd/>
        <w:snapToGrid w:val="false"/>
        <w:spacing w:lineRule="auto" w:line="360"/>
        <w:ind w:left="0" w:leftChars="0" w:firstLine="420" w:firstLineChars="200"/>
        <w:jc w:val="left"/>
        <w:textAlignment w:val="auto"/>
        <w:rPr>
          <w:rFonts w:ascii="宋体" w:cs="宋体" w:eastAsia="宋体" w:hAnsi="宋体" w:hint="eastAsia"/>
          <w:color w:val="auto"/>
          <w:sz w:val="21"/>
          <w:szCs w:val="21"/>
        </w:rPr>
      </w:pPr>
      <w:r>
        <w:rPr>
          <w:rFonts w:ascii="宋体" w:cs="宋体" w:eastAsia="宋体" w:hAnsi="宋体" w:hint="eastAsia"/>
          <w:color w:val="auto"/>
          <w:sz w:val="21"/>
          <w:szCs w:val="21"/>
        </w:rPr>
        <w:t>b)剩余合同总金额的约</w:t>
      </w:r>
      <w:r>
        <w:rPr>
          <w:rFonts w:ascii="宋体" w:cs="宋体" w:eastAsia="宋体" w:hAnsi="宋体" w:hint="eastAsia"/>
          <w:color w:val="auto"/>
          <w:sz w:val="21"/>
          <w:szCs w:val="21"/>
          <w:u w:val="single"/>
        </w:rPr>
        <w:t>10%</w:t>
      </w:r>
      <w:r>
        <w:rPr>
          <w:rFonts w:ascii="宋体" w:cs="宋体" w:eastAsia="宋体" w:hAnsi="宋体" w:hint="eastAsia"/>
          <w:color w:val="auto"/>
          <w:sz w:val="21"/>
          <w:szCs w:val="21"/>
        </w:rPr>
        <w:t>作为质量保证金，待该合同标的质量保证期满，委托方在按照规定账期内支付给承揽方该合同价格的约10%尾款（如有问题，应扣除相应部分款项）。</w:t>
      </w:r>
    </w:p>
    <w:p w14:paraId="4BEE6C9F">
      <w:pPr>
        <w:pStyle w:val="style4132"/>
        <w:numPr>
          <w:ilvl w:val="0"/>
          <w:numId w:val="0"/>
        </w:numPr>
        <w:ind w:leftChars="0" w:firstLine="420" w:firstLineChars="200"/>
        <w:rPr>
          <w:rFonts w:ascii="宋体" w:cs="Times New Roman" w:eastAsia="宋体" w:hAnsi="Courier New" w:hint="eastAsia"/>
          <w:b w:val="false"/>
          <w:bCs w:val="false"/>
          <w:color w:val="auto"/>
          <w:kern w:val="2"/>
          <w:sz w:val="21"/>
          <w:highlight w:val="yellow"/>
          <w:lang w:val="en-US" w:bidi="ar-SA" w:eastAsia="zh-CN"/>
        </w:rPr>
      </w:pPr>
      <w:r>
        <w:rPr>
          <w:rFonts w:ascii="宋体" w:cs="宋体" w:eastAsia="宋体" w:hAnsi="宋体" w:hint="eastAsia"/>
          <w:b w:val="false"/>
          <w:bCs w:val="false"/>
          <w:sz w:val="21"/>
          <w:szCs w:val="21"/>
          <w:highlight w:val="none"/>
          <w:lang w:val="en-US" w:eastAsia="zh-CN"/>
        </w:rPr>
        <w:t>以上付款方式和节点</w:t>
      </w:r>
      <w:r>
        <w:rPr>
          <w:rFonts w:ascii="宋体" w:cs="宋体" w:eastAsia="宋体" w:hAnsi="宋体" w:hint="eastAsia"/>
          <w:b w:val="false"/>
          <w:bCs w:val="false"/>
          <w:sz w:val="21"/>
          <w:szCs w:val="21"/>
          <w:highlight w:val="none"/>
          <w:lang w:eastAsia="zh-CN"/>
        </w:rPr>
        <w:t>具体以双方最终签署的合同为准，</w:t>
      </w:r>
      <w:r>
        <w:rPr>
          <w:rFonts w:ascii="宋体" w:cs="宋体" w:eastAsia="宋体" w:hAnsi="宋体" w:hint="eastAsia"/>
          <w:b w:val="false"/>
          <w:bCs w:val="false"/>
          <w:sz w:val="21"/>
          <w:szCs w:val="21"/>
          <w:highlight w:val="yellow"/>
          <w:lang w:val="en-US" w:eastAsia="zh-CN"/>
        </w:rPr>
        <w:t>付款方式和节点不允许偏离</w:t>
      </w:r>
      <w:r>
        <w:rPr>
          <w:rFonts w:ascii="宋体" w:cs="宋体" w:eastAsia="宋体" w:hAnsi="宋体" w:hint="eastAsia"/>
          <w:b w:val="false"/>
          <w:bCs w:val="false"/>
          <w:sz w:val="21"/>
          <w:szCs w:val="21"/>
          <w:highlight w:val="none"/>
          <w:lang w:eastAsia="zh-CN"/>
        </w:rPr>
        <w:t>。</w:t>
      </w:r>
    </w:p>
    <w:p w14:paraId="4AA0A8DA">
      <w:pPr>
        <w:pStyle w:val="style90"/>
        <w:spacing w:lineRule="auto" w:line="360"/>
        <w:ind w:firstLine="422" w:firstLineChars="200"/>
        <w:rPr>
          <w:b/>
        </w:rPr>
      </w:pPr>
      <w:r>
        <w:rPr>
          <w:rFonts w:hint="eastAsia"/>
          <w:b/>
        </w:rPr>
        <w:t>5.技术规范及服务</w:t>
      </w:r>
    </w:p>
    <w:p w14:paraId="767455DD">
      <w:pPr>
        <w:pStyle w:val="style90"/>
        <w:spacing w:lineRule="auto" w:line="360"/>
        <w:ind w:firstLine="420" w:firstLineChars="200"/>
        <w:rPr/>
      </w:pPr>
      <w:r>
        <w:rPr>
          <w:rFonts w:hint="eastAsia"/>
        </w:rPr>
        <w:t>⑴投标人应与招标人指派的答疑人员充分沟通，理解认可并接受相关技术规范及服务要求。</w:t>
      </w:r>
    </w:p>
    <w:p w14:paraId="3453F227">
      <w:pPr>
        <w:pStyle w:val="style90"/>
        <w:spacing w:lineRule="auto" w:line="360"/>
        <w:ind w:firstLine="420" w:firstLineChars="200"/>
        <w:rPr/>
      </w:pPr>
      <w:r>
        <w:rPr>
          <w:rFonts w:hint="eastAsia"/>
        </w:rPr>
        <w:t>⑵投标人可免费提供的、包含但不限于招标人所要求的其他相关服务内容，按本招标书“第二章 投标文件编制”要求，在其“开标一览表”中一并说明。</w:t>
      </w:r>
    </w:p>
    <w:p w14:paraId="2532EA50">
      <w:pPr>
        <w:pStyle w:val="style90"/>
        <w:spacing w:lineRule="auto" w:line="360"/>
        <w:ind w:firstLine="422" w:firstLineChars="200"/>
        <w:rPr>
          <w:b/>
        </w:rPr>
      </w:pPr>
      <w:r>
        <w:rPr>
          <w:rFonts w:hint="eastAsia"/>
          <w:b/>
        </w:rPr>
        <w:t>6.其他</w:t>
      </w:r>
    </w:p>
    <w:p w14:paraId="11B79B36">
      <w:pPr>
        <w:pStyle w:val="style90"/>
        <w:spacing w:lineRule="auto" w:line="360"/>
        <w:ind w:firstLine="420" w:firstLineChars="200"/>
        <w:rPr/>
      </w:pPr>
      <w:r>
        <w:rPr>
          <w:rFonts w:hint="eastAsia"/>
        </w:rPr>
        <w:t>投标人须认可招标人由于招标人上级集团公司政策变化引起的随时终止项目的要求。如投标人不认可、不接受，则投标人在本招标书“第二章 投标文件编制”之“相关条款偏离表（含商务偏离及技术偏离）”中注明“不接受”字，招标人将视之为主动弃标。</w:t>
      </w:r>
    </w:p>
    <w:p w14:paraId="7D4DF028">
      <w:pPr>
        <w:pStyle w:val="style90"/>
        <w:spacing w:lineRule="auto" w:line="360"/>
        <w:ind w:firstLine="420" w:firstLineChars="200"/>
        <w:rPr/>
      </w:pPr>
      <w:r>
        <w:rPr>
          <w:rFonts w:hint="eastAsia"/>
        </w:rPr>
        <w:t>其余未尽事宜，均按合同约定。</w:t>
      </w:r>
    </w:p>
    <w:p w14:paraId="023EE627">
      <w:pPr>
        <w:pStyle w:val="style90"/>
        <w:spacing w:lineRule="auto" w:line="360"/>
        <w:ind w:firstLine="422" w:firstLineChars="200"/>
        <w:rPr>
          <w:b/>
        </w:rPr>
      </w:pPr>
      <w:r>
        <w:rPr>
          <w:rFonts w:hint="eastAsia"/>
          <w:b/>
        </w:rPr>
        <w:t>7.要求招标人或相关合同签订单位提供的配合，在标书文件中说明。</w:t>
      </w:r>
    </w:p>
    <w:p w14:paraId="2C3BECC6">
      <w:pPr>
        <w:pStyle w:val="style90"/>
        <w:spacing w:lineRule="auto" w:line="360"/>
        <w:rPr>
          <w:rFonts w:ascii="黑体" w:eastAsia="黑体"/>
          <w:b/>
          <w:bCs/>
          <w:sz w:val="28"/>
        </w:rPr>
      </w:pPr>
      <w:r>
        <w:rPr>
          <w:rFonts w:ascii="黑体" w:eastAsia="黑体" w:hint="eastAsia"/>
          <w:b/>
          <w:bCs/>
          <w:sz w:val="28"/>
        </w:rPr>
        <w:t>七、投标、开标、评标</w:t>
      </w:r>
    </w:p>
    <w:p w14:paraId="32CFF537">
      <w:pPr>
        <w:pStyle w:val="style90"/>
        <w:spacing w:lineRule="auto" w:line="360"/>
        <w:ind w:firstLine="420" w:firstLineChars="200"/>
        <w:rPr/>
      </w:pPr>
      <w:r>
        <w:rPr>
          <w:rFonts w:hint="eastAsia"/>
        </w:rPr>
        <w:t>1.投标保证金：</w:t>
      </w:r>
    </w:p>
    <w:p w14:paraId="1F7C9ABE">
      <w:pPr>
        <w:pStyle w:val="style90"/>
        <w:spacing w:lineRule="auto" w:line="360"/>
        <w:ind w:firstLine="420" w:firstLineChars="200"/>
        <w:rPr/>
      </w:pPr>
      <w:r>
        <w:rPr>
          <w:rFonts w:hAnsi="宋体" w:hint="eastAsia"/>
        </w:rPr>
        <w:t>⑴</w:t>
      </w:r>
      <w:r>
        <w:rPr>
          <w:rFonts w:hint="eastAsia"/>
          <w:highlight w:val="yellow"/>
        </w:rPr>
        <w:t>投标人向招标人财务部门缴纳</w:t>
      </w:r>
      <w:r>
        <w:rPr>
          <w:rFonts w:hint="eastAsia"/>
          <w:highlight w:val="yellow"/>
          <w:u w:val="single"/>
          <w:lang w:val="en-US" w:eastAsia="zh-CN"/>
        </w:rPr>
        <w:t>10</w:t>
      </w:r>
      <w:r>
        <w:rPr>
          <w:rFonts w:hint="eastAsia"/>
          <w:highlight w:val="yellow"/>
          <w:u w:val="single"/>
        </w:rPr>
        <w:t>000元</w:t>
      </w:r>
      <w:r>
        <w:rPr>
          <w:rFonts w:hint="eastAsia"/>
          <w:highlight w:val="yellow"/>
        </w:rPr>
        <w:t>（人民币）</w:t>
      </w:r>
      <w:r>
        <w:rPr>
          <w:rFonts w:hint="eastAsia"/>
        </w:rPr>
        <w:t>，作为投标人本次投标的保证金。</w:t>
      </w:r>
    </w:p>
    <w:p w14:paraId="2EA60BBB">
      <w:pPr>
        <w:pStyle w:val="style90"/>
        <w:spacing w:lineRule="auto" w:line="360"/>
        <w:ind w:firstLine="420" w:firstLineChars="200"/>
        <w:rPr/>
      </w:pPr>
      <w:r>
        <w:rPr>
          <w:rFonts w:hAnsi="宋体" w:hint="eastAsia"/>
        </w:rPr>
        <w:t>⑵</w:t>
      </w:r>
      <w:r>
        <w:rPr>
          <w:rFonts w:hint="eastAsia"/>
        </w:rPr>
        <w:t>缴纳方式：电汇或网银</w:t>
      </w:r>
      <w:r>
        <w:rPr>
          <w:rFonts w:hint="eastAsia"/>
          <w:lang w:eastAsia="zh-CN"/>
        </w:rPr>
        <w:t>，</w:t>
      </w:r>
      <w:r>
        <w:rPr>
          <w:rFonts w:hint="eastAsia"/>
        </w:rPr>
        <w:t>投标保证金应从基本账户转入</w:t>
      </w:r>
      <w:r>
        <w:rPr>
          <w:rFonts w:hint="eastAsia"/>
          <w:szCs w:val="22"/>
          <w:highlight w:val="yellow"/>
        </w:rPr>
        <w:t>需备注“</w:t>
      </w:r>
      <w:r>
        <w:rPr>
          <w:rFonts w:hint="eastAsia"/>
          <w:szCs w:val="22"/>
          <w:highlight w:val="yellow"/>
          <w:lang w:val="en-US" w:eastAsia="zh-CN"/>
        </w:rPr>
        <w:t>中国重汽集团2026年度能源管道设施年度维修项目</w:t>
      </w:r>
      <w:r>
        <w:rPr>
          <w:rFonts w:hint="eastAsia"/>
          <w:szCs w:val="22"/>
          <w:highlight w:val="yellow"/>
        </w:rPr>
        <w:t>投标保证金”</w:t>
      </w:r>
      <w:r>
        <w:rPr>
          <w:rFonts w:hint="eastAsia"/>
        </w:rPr>
        <w:t>；</w:t>
      </w:r>
    </w:p>
    <w:p w14:paraId="0627E493">
      <w:pPr>
        <w:pStyle w:val="style90"/>
        <w:spacing w:lineRule="auto" w:line="360"/>
        <w:ind w:firstLine="420" w:firstLineChars="200"/>
        <w:rPr/>
      </w:pPr>
      <w:r>
        <w:rPr>
          <w:rFonts w:hAnsi="宋体" w:hint="eastAsia"/>
        </w:rPr>
        <w:t>⑶</w:t>
      </w:r>
      <w:r>
        <w:rPr>
          <w:rFonts w:hint="eastAsia"/>
        </w:rPr>
        <w:t>接收单位：中国重型汽车集团有限公司；</w:t>
      </w:r>
    </w:p>
    <w:p w14:paraId="538B026F">
      <w:pPr>
        <w:pStyle w:val="style90"/>
        <w:spacing w:lineRule="auto" w:line="360"/>
        <w:ind w:firstLine="420" w:firstLineChars="200"/>
        <w:rPr/>
      </w:pPr>
      <w:r>
        <w:rPr>
          <w:rFonts w:hAnsi="宋体" w:hint="eastAsia"/>
        </w:rPr>
        <w:t>⑷</w:t>
      </w:r>
      <w:r>
        <w:rPr>
          <w:rFonts w:hint="eastAsia"/>
        </w:rPr>
        <w:t>转账信息：</w:t>
      </w:r>
    </w:p>
    <w:tbl>
      <w:tblPr>
        <w:tblStyle w:val="style105"/>
        <w:tblW w:w="0" w:type="auto"/>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287"/>
      </w:tblGrid>
      <w:tr w14:paraId="2D22C998">
        <w:trPr>
          <w:trHeight w:val="432" w:hRule="atLeast"/>
        </w:trPr>
        <w:tc>
          <w:tcPr>
            <w:tcW w:w="8287" w:type="dxa"/>
            <w:tcBorders/>
            <w:vAlign w:val="center"/>
          </w:tcPr>
          <w:p w14:paraId="638DDC3C">
            <w:pPr>
              <w:pStyle w:val="style90"/>
              <w:ind w:firstLine="420" w:firstLineChars="200"/>
              <w:rPr/>
            </w:pPr>
            <w:r>
              <w:rPr>
                <w:rFonts w:hint="eastAsia"/>
              </w:rPr>
              <w:t>开户银行：中国建设银行股份有限公司济南天桥支行</w:t>
            </w:r>
          </w:p>
        </w:tc>
      </w:tr>
      <w:tr w14:paraId="4E45A0A9">
        <w:tblPrEx/>
        <w:trPr>
          <w:trHeight w:val="419" w:hRule="atLeast"/>
        </w:trPr>
        <w:tc>
          <w:tcPr>
            <w:tcW w:w="8287" w:type="dxa"/>
            <w:tcBorders/>
            <w:vAlign w:val="center"/>
          </w:tcPr>
          <w:p w14:paraId="1774FAFB">
            <w:pPr>
              <w:pStyle w:val="style90"/>
              <w:ind w:firstLine="420" w:firstLineChars="200"/>
              <w:rPr/>
            </w:pPr>
            <w:r>
              <w:rPr>
                <w:rFonts w:hint="eastAsia"/>
              </w:rPr>
              <w:t>户名：中国重汽集团济南动力有限公司</w:t>
            </w:r>
          </w:p>
        </w:tc>
      </w:tr>
      <w:tr w14:paraId="61C86582">
        <w:tblPrEx/>
        <w:trPr>
          <w:trHeight w:val="448" w:hRule="atLeast"/>
        </w:trPr>
        <w:tc>
          <w:tcPr>
            <w:tcW w:w="8287" w:type="dxa"/>
            <w:tcBorders/>
            <w:vAlign w:val="center"/>
          </w:tcPr>
          <w:p w14:paraId="23AB6CCE">
            <w:pPr>
              <w:pStyle w:val="style90"/>
              <w:ind w:firstLine="420" w:firstLineChars="200"/>
              <w:rPr>
                <w:rFonts w:eastAsia="宋体" w:hint="default"/>
                <w:lang w:val="en-US" w:eastAsia="zh-CN"/>
              </w:rPr>
            </w:pPr>
            <w:r>
              <w:rPr>
                <w:rFonts w:hint="eastAsia"/>
              </w:rPr>
              <w:t>账号：</w:t>
            </w:r>
            <w:r>
              <w:rPr>
                <w:rFonts w:hint="eastAsia"/>
                <w:lang w:val="en-US" w:eastAsia="zh-CN"/>
              </w:rPr>
              <w:t>37001616508050150300</w:t>
            </w:r>
          </w:p>
        </w:tc>
      </w:tr>
      <w:tr w14:paraId="4D542845">
        <w:tblPrEx/>
        <w:trPr>
          <w:trHeight w:val="448" w:hRule="atLeast"/>
        </w:trPr>
        <w:tc>
          <w:tcPr>
            <w:tcW w:w="8287" w:type="dxa"/>
            <w:tcBorders/>
            <w:vAlign w:val="center"/>
          </w:tcPr>
          <w:p w14:paraId="106365F0">
            <w:pPr>
              <w:pStyle w:val="style90"/>
              <w:ind w:firstLine="420" w:firstLineChars="200"/>
              <w:rPr/>
            </w:pPr>
            <w:r>
              <w:rPr>
                <w:rFonts w:hint="eastAsia"/>
              </w:rPr>
              <w:t>纳税人识别号：91370100787411873C</w:t>
            </w:r>
          </w:p>
        </w:tc>
      </w:tr>
    </w:tbl>
    <w:p w14:paraId="37D20D89">
      <w:pPr>
        <w:pStyle w:val="style90"/>
        <w:spacing w:lineRule="auto" w:line="360"/>
        <w:ind w:firstLine="420" w:firstLineChars="200"/>
        <w:rPr/>
      </w:pPr>
      <w:r>
        <w:rPr>
          <w:rFonts w:hint="eastAsia"/>
        </w:rPr>
        <w:t>⑸</w:t>
      </w:r>
      <w:r>
        <w:rPr>
          <w:rFonts w:hint="eastAsia"/>
          <w:highlight w:val="yellow"/>
        </w:rPr>
        <w:t>保证金截止时间：</w:t>
      </w:r>
      <w:r>
        <w:rPr>
          <w:rFonts w:hint="eastAsia"/>
          <w:highlight w:val="yellow"/>
          <w:lang w:eastAsia="zh-CN"/>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default"/>
          <w:highlight w:val="yellow"/>
          <w:lang w:val="en-US"/>
        </w:rPr>
        <w:t>22</w:t>
      </w:r>
      <w:r>
        <w:rPr>
          <w:rFonts w:hint="eastAsia"/>
          <w:highlight w:val="yellow"/>
        </w:rPr>
        <w:t>日17时</w:t>
      </w:r>
      <w:r>
        <w:rPr>
          <w:highlight w:val="yellow"/>
        </w:rPr>
        <w:t>00</w:t>
      </w:r>
      <w:r>
        <w:rPr>
          <w:rFonts w:hint="eastAsia"/>
          <w:highlight w:val="yellow"/>
        </w:rPr>
        <w:t>分前</w:t>
      </w:r>
    </w:p>
    <w:p w14:paraId="37F5C3E0">
      <w:pPr>
        <w:pStyle w:val="style90"/>
        <w:spacing w:lineRule="auto" w:line="360"/>
        <w:ind w:firstLine="420" w:firstLineChars="200"/>
        <w:rPr/>
      </w:pPr>
      <w:r>
        <w:rPr>
          <w:rFonts w:hint="eastAsia"/>
        </w:rPr>
        <w:t>⑹说明：</w:t>
      </w:r>
    </w:p>
    <w:p w14:paraId="34BB59FA">
      <w:pPr>
        <w:pStyle w:val="style90"/>
        <w:spacing w:lineRule="auto" w:line="360"/>
        <w:ind w:firstLine="420" w:firstLineChars="200"/>
        <w:rPr/>
      </w:pPr>
      <w:r>
        <w:rPr>
          <w:rFonts w:hint="eastAsia"/>
        </w:rPr>
        <w:t>(a)无正当理由随意放弃投标、</w:t>
      </w:r>
      <w:r>
        <w:t>撤销投标文件</w:t>
      </w:r>
      <w:r>
        <w:rPr>
          <w:rFonts w:hint="eastAsia"/>
        </w:rPr>
        <w:t>、</w:t>
      </w:r>
      <w:r>
        <w:t>中标后</w:t>
      </w:r>
      <w:r>
        <w:rPr>
          <w:rFonts w:hint="eastAsia"/>
        </w:rPr>
        <w:t>无</w:t>
      </w:r>
      <w:r>
        <w:t>正当理由</w:t>
      </w:r>
      <w:r>
        <w:rPr>
          <w:rFonts w:hint="eastAsia"/>
        </w:rPr>
        <w:t>拒签</w:t>
      </w:r>
      <w:r>
        <w:t>合同</w:t>
      </w:r>
      <w:r>
        <w:rPr>
          <w:rFonts w:hint="eastAsia"/>
        </w:rPr>
        <w:t>、</w:t>
      </w:r>
      <w:r>
        <w:t>在签订合同时向招标人</w:t>
      </w:r>
      <w:r>
        <w:rPr>
          <w:rFonts w:hint="eastAsia"/>
        </w:rPr>
        <w:t>或合同签订单位</w:t>
      </w:r>
      <w:r>
        <w:t>提出</w:t>
      </w:r>
      <w:r>
        <w:rPr>
          <w:rFonts w:hint="eastAsia"/>
        </w:rPr>
        <w:t>无理</w:t>
      </w:r>
      <w:r>
        <w:t>附加条件</w:t>
      </w:r>
      <w:r>
        <w:rPr>
          <w:rFonts w:hint="eastAsia"/>
        </w:rPr>
        <w:t>的，</w:t>
      </w:r>
      <w:r>
        <w:t>投标保证金不予返还</w:t>
      </w:r>
      <w:r>
        <w:rPr>
          <w:rFonts w:hint="eastAsia"/>
        </w:rPr>
        <w:t>，该投标人2</w:t>
      </w:r>
      <w:r>
        <w:t>年</w:t>
      </w:r>
      <w:r>
        <w:rPr>
          <w:rFonts w:hint="eastAsia"/>
        </w:rPr>
        <w:t>不得参与招标人组织的招投标项目。不存在以上违规情况的投标人，</w:t>
      </w:r>
      <w:r>
        <w:t>招标人</w:t>
      </w:r>
      <w:r>
        <w:rPr>
          <w:rFonts w:hint="eastAsia"/>
        </w:rPr>
        <w:t>按照退款程序，按投标人（除中标人外）所提供的</w:t>
      </w:r>
      <w:r>
        <w:rPr>
          <w:rFonts w:hAnsi="宋体" w:hint="eastAsia"/>
        </w:rPr>
        <w:t>投标保证金退付表</w:t>
      </w:r>
      <w:r>
        <w:rPr>
          <w:rFonts w:hint="eastAsia"/>
        </w:rPr>
        <w:t>退还</w:t>
      </w:r>
      <w:r>
        <w:t>投标保证金</w:t>
      </w:r>
      <w:r>
        <w:rPr>
          <w:rFonts w:hint="eastAsia"/>
        </w:rPr>
        <w:t>（本金，不计息）。</w:t>
      </w:r>
      <w:r>
        <w:rPr>
          <w:rFonts w:hAnsi="宋体" w:hint="eastAsia"/>
        </w:rPr>
        <w:t>（详见 “三、投标文件格式要求”之格式8相关要求）</w:t>
      </w:r>
    </w:p>
    <w:p w14:paraId="572B527C">
      <w:pPr>
        <w:pStyle w:val="style90"/>
        <w:spacing w:lineRule="auto" w:line="360"/>
        <w:ind w:firstLine="420" w:firstLineChars="200"/>
        <w:rPr/>
      </w:pPr>
      <w:r>
        <w:rPr>
          <w:rFonts w:hint="eastAsia"/>
        </w:rPr>
        <w:t>(b)投标人在向招标人出示《投标保证金缴纳凭证》后方可进行投标。</w:t>
      </w:r>
    </w:p>
    <w:p w14:paraId="72B1D6C1">
      <w:pPr>
        <w:pStyle w:val="style90"/>
        <w:spacing w:lineRule="auto" w:line="360"/>
        <w:ind w:firstLine="420" w:firstLineChars="200"/>
        <w:rPr/>
      </w:pPr>
      <w:r>
        <w:rPr>
          <w:rFonts w:hint="eastAsia"/>
        </w:rPr>
        <w:t>(c)发生以下情况时，项目实施单位有权没收保证金：</w:t>
      </w:r>
    </w:p>
    <w:p w14:paraId="67D27306">
      <w:pPr>
        <w:pStyle w:val="style90"/>
        <w:spacing w:lineRule="auto" w:line="360"/>
        <w:ind w:left="1260" w:leftChars="400" w:hanging="420" w:hangingChars="200"/>
        <w:rPr/>
      </w:pPr>
      <w:r>
        <w:rPr>
          <w:rFonts w:hint="eastAsia"/>
        </w:rPr>
        <w:t>a）截至开标前3天，投标人无正当理由且未以书面形式递交说明而在投标截止日不来投标的；</w:t>
      </w:r>
    </w:p>
    <w:p w14:paraId="3F26A600">
      <w:pPr>
        <w:pStyle w:val="style90"/>
        <w:spacing w:lineRule="auto" w:line="360"/>
        <w:ind w:left="420" w:leftChars="200" w:firstLine="420" w:firstLineChars="200"/>
        <w:rPr/>
      </w:pPr>
      <w:r>
        <w:rPr>
          <w:rFonts w:hint="eastAsia"/>
        </w:rPr>
        <w:t>b）投标人递送投标文件后，无正当理由放弃投标的；</w:t>
      </w:r>
    </w:p>
    <w:p w14:paraId="5F52DF7B">
      <w:pPr>
        <w:pStyle w:val="style90"/>
        <w:spacing w:lineRule="auto" w:line="360"/>
        <w:ind w:left="420" w:leftChars="200" w:firstLine="420" w:firstLineChars="200"/>
        <w:rPr/>
      </w:pPr>
      <w:r>
        <w:rPr>
          <w:rFonts w:hint="eastAsia"/>
        </w:rPr>
        <w:t>c）自中标通知书发出之日起30日内，中标人无正当理由不签订合同的；</w:t>
      </w:r>
    </w:p>
    <w:p w14:paraId="2098EDC9">
      <w:pPr>
        <w:pStyle w:val="style90"/>
        <w:spacing w:lineRule="auto" w:line="360"/>
        <w:ind w:left="420" w:leftChars="200" w:firstLine="420" w:firstLineChars="200"/>
        <w:rPr/>
      </w:pPr>
      <w:r>
        <w:rPr>
          <w:rFonts w:hint="eastAsia"/>
        </w:rPr>
        <w:t>d）投标人在投标过程中被查实有串标、围标、陪标等违规违纪行为的；</w:t>
      </w:r>
    </w:p>
    <w:p w14:paraId="7DAD17B8">
      <w:pPr>
        <w:pStyle w:val="style90"/>
        <w:spacing w:lineRule="auto" w:line="360"/>
        <w:ind w:left="1050" w:leftChars="400" w:hanging="210" w:hangingChars="100"/>
        <w:rPr/>
      </w:pPr>
      <w:r>
        <w:rPr>
          <w:rFonts w:hint="eastAsia"/>
        </w:rPr>
        <w:t>e）投标人有违约违规行为或被投诉、举报的，在调查处理期间，保证金暂不退还，待调查处理结束后按有关规定处理。</w:t>
      </w:r>
    </w:p>
    <w:p w14:paraId="34FF3C8A">
      <w:pPr>
        <w:pStyle w:val="style90"/>
        <w:spacing w:lineRule="auto" w:line="360"/>
        <w:ind w:firstLine="420" w:firstLineChars="200"/>
        <w:rPr/>
      </w:pPr>
      <w:r>
        <w:rPr>
          <w:rFonts w:hint="eastAsia"/>
        </w:rPr>
        <w:t>2.开标</w:t>
      </w:r>
    </w:p>
    <w:p w14:paraId="0245953C">
      <w:pPr>
        <w:pStyle w:val="style90"/>
        <w:spacing w:lineRule="auto" w:line="360"/>
        <w:ind w:firstLine="420" w:firstLineChars="200"/>
        <w:rPr/>
      </w:pPr>
      <w:r>
        <w:rPr>
          <w:rFonts w:hint="eastAsia"/>
        </w:rPr>
        <w:t>（1）本次招标的开标、评标由招标人依法组织实施，本次招标采用技术标和商务标分级开标的模式。</w:t>
      </w:r>
    </w:p>
    <w:p w14:paraId="30D03413">
      <w:pPr>
        <w:pStyle w:val="style90"/>
        <w:spacing w:lineRule="auto" w:line="360"/>
        <w:ind w:firstLine="420" w:firstLineChars="200"/>
        <w:rPr/>
      </w:pPr>
      <w:r>
        <w:rPr>
          <w:rFonts w:hint="eastAsia"/>
        </w:rPr>
        <w:t>（2）本项目开标时间和地点见投标人须知前附表。开标会议由招标人组织并主持。招标人邀请各投标人派员参加开标会议。投标人未参加开标的，视同认可开标结果。</w:t>
      </w:r>
    </w:p>
    <w:p w14:paraId="0FCC3A68">
      <w:pPr>
        <w:pStyle w:val="style90"/>
        <w:spacing w:lineRule="auto" w:line="360"/>
        <w:ind w:firstLine="420" w:firstLineChars="200"/>
        <w:rPr/>
      </w:pPr>
      <w:r>
        <w:rPr>
          <w:rFonts w:hint="eastAsia"/>
        </w:rPr>
        <w:t>（3）开标程序</w:t>
      </w:r>
    </w:p>
    <w:p w14:paraId="08C47440">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0" w:firstLine="420" w:firstLineChars="200"/>
        <w:textAlignment w:val="auto"/>
        <w:rPr>
          <w:rFonts w:ascii="宋体" w:cs="宋体" w:eastAsia="宋体" w:hAnsi="宋体" w:hint="eastAsia"/>
          <w:b w:val="false"/>
          <w:bCs/>
          <w:color w:val="000000"/>
          <w:sz w:val="21"/>
          <w:szCs w:val="21"/>
          <w:highlight w:val="none"/>
        </w:rPr>
      </w:pPr>
      <w:r>
        <w:rPr>
          <w:rFonts w:ascii="宋体" w:cs="宋体" w:eastAsia="宋体" w:hAnsi="宋体" w:hint="eastAsia"/>
          <w:b w:val="false"/>
          <w:bCs/>
          <w:color w:val="000000"/>
          <w:sz w:val="21"/>
          <w:szCs w:val="21"/>
          <w:highlight w:val="none"/>
        </w:rPr>
        <w:t>应标资格审查：在“中国重汽e采通”应标报名时，按照</w:t>
      </w:r>
      <w:r>
        <w:rPr>
          <w:rFonts w:ascii="宋体" w:cs="宋体" w:eastAsia="宋体" w:hAnsi="宋体" w:hint="eastAsia"/>
          <w:b w:val="false"/>
          <w:bCs/>
          <w:color w:val="000000"/>
          <w:sz w:val="21"/>
          <w:szCs w:val="21"/>
          <w:highlight w:val="none"/>
          <w:lang w:val="en-US" w:eastAsia="zh-CN"/>
        </w:rPr>
        <w:t>招标</w:t>
      </w:r>
      <w:r>
        <w:rPr>
          <w:rFonts w:ascii="宋体" w:cs="宋体" w:hAnsi="宋体" w:hint="eastAsia"/>
          <w:b w:val="false"/>
          <w:bCs/>
          <w:color w:val="000000"/>
          <w:sz w:val="21"/>
          <w:szCs w:val="21"/>
          <w:highlight w:val="none"/>
          <w:lang w:val="en-US" w:eastAsia="zh-CN"/>
        </w:rPr>
        <w:t>文件</w:t>
      </w:r>
      <w:r>
        <w:rPr>
          <w:rFonts w:ascii="宋体" w:cs="宋体" w:eastAsia="宋体" w:hAnsi="宋体" w:hint="eastAsia"/>
          <w:b w:val="false"/>
          <w:bCs/>
          <w:color w:val="000000"/>
          <w:sz w:val="21"/>
          <w:szCs w:val="21"/>
          <w:highlight w:val="none"/>
          <w:lang w:val="en-US" w:eastAsia="zh-CN"/>
        </w:rPr>
        <w:t>中</w:t>
      </w:r>
      <w:r>
        <w:rPr>
          <w:rFonts w:ascii="宋体" w:cs="宋体" w:eastAsia="宋体" w:hAnsi="宋体" w:hint="eastAsia"/>
          <w:b w:val="false"/>
          <w:bCs/>
          <w:color w:val="000000"/>
          <w:sz w:val="21"/>
          <w:szCs w:val="21"/>
          <w:highlight w:val="cyan"/>
          <w:lang w:val="en-US" w:eastAsia="zh-CN"/>
        </w:rPr>
        <w:t>“应标文件的编制”</w:t>
      </w:r>
      <w:r>
        <w:rPr>
          <w:rFonts w:ascii="宋体" w:cs="宋体" w:eastAsia="宋体" w:hAnsi="宋体" w:hint="eastAsia"/>
          <w:b w:val="false"/>
          <w:bCs/>
          <w:color w:val="000000"/>
          <w:sz w:val="21"/>
          <w:szCs w:val="21"/>
          <w:highlight w:val="none"/>
          <w:lang w:val="en-US" w:eastAsia="zh-CN"/>
        </w:rPr>
        <w:t>编制</w:t>
      </w:r>
      <w:r>
        <w:rPr>
          <w:rFonts w:ascii="宋体" w:cs="宋体" w:eastAsia="宋体" w:hAnsi="宋体" w:hint="eastAsia"/>
          <w:b w:val="false"/>
          <w:bCs/>
          <w:color w:val="000000"/>
          <w:sz w:val="21"/>
          <w:szCs w:val="21"/>
          <w:highlight w:val="none"/>
        </w:rPr>
        <w:t>资料，上传完毕后，等待审核；</w:t>
      </w:r>
    </w:p>
    <w:p w14:paraId="3925B8AD">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0" w:firstLine="420" w:firstLineChars="200"/>
        <w:textAlignment w:val="auto"/>
        <w:rPr>
          <w:rFonts w:ascii="宋体" w:cs="宋体" w:eastAsia="宋体" w:hAnsi="宋体" w:hint="eastAsia"/>
          <w:b w:val="false"/>
          <w:bCs/>
          <w:color w:val="000000"/>
          <w:sz w:val="21"/>
          <w:szCs w:val="21"/>
          <w:highlight w:val="none"/>
        </w:rPr>
      </w:pPr>
      <w:r>
        <w:rPr>
          <w:rFonts w:ascii="宋体" w:cs="宋体" w:eastAsia="宋体" w:hAnsi="宋体" w:hint="eastAsia"/>
          <w:b w:val="false"/>
          <w:bCs/>
          <w:color w:val="000000"/>
          <w:sz w:val="21"/>
          <w:szCs w:val="21"/>
          <w:highlight w:val="none"/>
        </w:rPr>
        <w:t>通过应标资格审查的单位进入投标环节，按照“SRM系统供应商用户手册</w:t>
      </w:r>
      <w:r>
        <w:rPr>
          <w:rFonts w:ascii="宋体" w:cs="宋体" w:hAnsi="宋体" w:hint="eastAsia"/>
          <w:b w:val="false"/>
          <w:bCs/>
          <w:color w:val="000000"/>
          <w:sz w:val="21"/>
          <w:szCs w:val="21"/>
          <w:highlight w:val="none"/>
          <w:lang w:eastAsia="zh-CN"/>
        </w:rPr>
        <w:t>（</w:t>
      </w:r>
      <w:r>
        <w:rPr>
          <w:rFonts w:ascii="宋体" w:cs="宋体" w:hAnsi="宋体" w:hint="eastAsia"/>
          <w:b w:val="false"/>
          <w:bCs/>
          <w:color w:val="000000"/>
          <w:sz w:val="21"/>
          <w:szCs w:val="21"/>
          <w:highlight w:val="none"/>
          <w:lang w:val="en-US" w:eastAsia="zh-CN"/>
        </w:rPr>
        <w:t>附件9</w:t>
      </w:r>
      <w:r>
        <w:rPr>
          <w:rFonts w:ascii="宋体" w:cs="宋体" w:hAnsi="宋体" w:hint="eastAsia"/>
          <w:b w:val="false"/>
          <w:bCs/>
          <w:color w:val="000000"/>
          <w:sz w:val="21"/>
          <w:szCs w:val="21"/>
          <w:highlight w:val="none"/>
          <w:lang w:eastAsia="zh-CN"/>
        </w:rPr>
        <w:t>）</w:t>
      </w:r>
      <w:r>
        <w:rPr>
          <w:rFonts w:ascii="宋体" w:cs="宋体" w:eastAsia="宋体" w:hAnsi="宋体" w:hint="eastAsia"/>
          <w:b w:val="false"/>
          <w:bCs/>
          <w:color w:val="000000"/>
          <w:sz w:val="21"/>
          <w:szCs w:val="21"/>
          <w:highlight w:val="none"/>
        </w:rPr>
        <w:t>”，在重汽e采通平台投递电子标书（包含资质标、技术标、商务标）；没有通过应标资质审查的单位不能进入投标环节；</w:t>
      </w:r>
    </w:p>
    <w:p w14:paraId="3B34C86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0" w:firstLine="420" w:firstLineChars="200"/>
        <w:textAlignment w:val="auto"/>
        <w:rPr>
          <w:rFonts w:ascii="宋体" w:cs="宋体" w:eastAsia="宋体" w:hAnsi="宋体" w:hint="eastAsia"/>
          <w:b w:val="false"/>
          <w:bCs/>
          <w:color w:val="000000"/>
          <w:sz w:val="21"/>
          <w:szCs w:val="21"/>
          <w:highlight w:val="none"/>
        </w:rPr>
      </w:pPr>
      <w:r>
        <w:rPr>
          <w:rFonts w:ascii="宋体" w:cs="宋体" w:eastAsia="宋体" w:hAnsi="宋体" w:hint="eastAsia"/>
          <w:b w:val="false"/>
          <w:bCs/>
          <w:color w:val="000000"/>
          <w:sz w:val="21"/>
          <w:szCs w:val="21"/>
          <w:highlight w:val="none"/>
        </w:rPr>
        <w:t>资质标评审：资质标审核通过的单位，可以进入公开唱标环节；</w:t>
      </w:r>
    </w:p>
    <w:p w14:paraId="7E63C2E8">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0" w:firstLine="420" w:firstLineChars="200"/>
        <w:textAlignment w:val="auto"/>
        <w:rPr>
          <w:rFonts w:ascii="宋体" w:cs="宋体" w:eastAsia="宋体" w:hAnsi="宋体" w:hint="eastAsia"/>
          <w:b w:val="false"/>
          <w:bCs/>
          <w:color w:val="000000"/>
          <w:sz w:val="21"/>
          <w:szCs w:val="21"/>
          <w:highlight w:val="none"/>
        </w:rPr>
      </w:pPr>
      <w:r>
        <w:rPr>
          <w:rFonts w:ascii="宋体" w:cs="宋体" w:eastAsia="宋体" w:hAnsi="宋体" w:hint="eastAsia"/>
          <w:b w:val="false"/>
          <w:bCs/>
          <w:color w:val="000000"/>
          <w:sz w:val="21"/>
          <w:szCs w:val="21"/>
          <w:highlight w:val="none"/>
        </w:rPr>
        <w:t>公开唱标：公示资质标入围单位的开标价格及商务条款响应情况；</w:t>
      </w:r>
    </w:p>
    <w:p w14:paraId="006531BE">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0" w:firstLineChars="200"/>
        <w:textAlignment w:val="auto"/>
        <w:rPr>
          <w:rFonts w:ascii="宋体" w:cs="宋体" w:eastAsia="宋体" w:hAnsi="宋体" w:hint="eastAsia"/>
          <w:b w:val="false"/>
          <w:bCs/>
          <w:color w:val="000000"/>
          <w:sz w:val="21"/>
          <w:szCs w:val="21"/>
          <w:highlight w:val="none"/>
        </w:rPr>
      </w:pPr>
      <w:r>
        <w:rPr>
          <w:rFonts w:ascii="宋体" w:cs="宋体" w:eastAsia="宋体" w:hAnsi="宋体" w:hint="eastAsia"/>
          <w:b w:val="false"/>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ascii="宋体" w:cs="宋体" w:eastAsia="宋体" w:hAnsi="宋体" w:hint="eastAsia"/>
          <w:b w:val="false"/>
          <w:bCs/>
          <w:color w:val="000000"/>
          <w:sz w:val="21"/>
          <w:szCs w:val="21"/>
          <w:highlight w:val="none"/>
          <w:lang w:val="en-US" w:eastAsia="zh-CN"/>
        </w:rPr>
        <w:t>评分详见</w:t>
      </w:r>
      <w:r>
        <w:rPr>
          <w:rFonts w:ascii="宋体" w:cs="宋体" w:eastAsia="宋体" w:hAnsi="宋体" w:hint="eastAsia"/>
          <w:b w:val="false"/>
          <w:bCs/>
          <w:color w:val="000000"/>
          <w:sz w:val="21"/>
          <w:szCs w:val="21"/>
          <w:highlight w:val="none"/>
        </w:rPr>
        <w:t>评分标准；</w:t>
      </w:r>
    </w:p>
    <w:p w14:paraId="40FB135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firstLine="420" w:firstLineChars="200"/>
        <w:textAlignment w:val="auto"/>
        <w:rPr>
          <w:rFonts w:ascii="宋体" w:cs="宋体" w:eastAsia="宋体" w:hAnsi="宋体" w:hint="eastAsia"/>
          <w:b/>
          <w:bCs/>
          <w:color w:val="ff0000"/>
          <w:sz w:val="21"/>
          <w:szCs w:val="21"/>
          <w:highlight w:val="yellow"/>
          <w:u w:val="none"/>
          <w:lang w:val="en-US" w:eastAsia="zh-CN"/>
        </w:rPr>
      </w:pPr>
      <w:r>
        <w:rPr>
          <w:rFonts w:ascii="宋体" w:cs="宋体" w:eastAsia="宋体" w:hAnsi="宋体" w:hint="eastAsia"/>
          <w:b w:val="false"/>
          <w:bCs/>
          <w:color w:val="000000"/>
          <w:sz w:val="21"/>
          <w:szCs w:val="21"/>
          <w:highlight w:val="none"/>
        </w:rPr>
        <w:t>商务标评审：</w:t>
      </w:r>
      <w:r>
        <w:rPr>
          <w:rFonts w:ascii="宋体" w:cs="宋体" w:eastAsia="宋体" w:hAnsi="宋体" w:hint="eastAsia"/>
          <w:b w:val="false"/>
          <w:bCs/>
          <w:color w:val="000000"/>
          <w:kern w:val="2"/>
          <w:sz w:val="21"/>
          <w:szCs w:val="21"/>
          <w:highlight w:val="yellow"/>
          <w:lang w:val="en-US" w:bidi="ar-SA" w:eastAsia="zh-CN"/>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r>
        <w:rPr>
          <w:rFonts w:ascii="宋体" w:cs="宋体" w:eastAsia="宋体" w:hAnsi="宋体" w:hint="eastAsia"/>
          <w:b w:val="false"/>
          <w:bCs/>
          <w:color w:val="000000"/>
          <w:kern w:val="2"/>
          <w:sz w:val="21"/>
          <w:szCs w:val="21"/>
          <w:highlight w:val="yellow"/>
          <w:lang w:val="en-US" w:bidi="ar-SA" w:eastAsia="zh-CN"/>
        </w:rPr>
        <w:br/>
      </w:r>
      <w:r>
        <w:rPr>
          <w:rFonts w:ascii="宋体" w:cs="宋体" w:eastAsia="宋体" w:hAnsi="宋体" w:hint="eastAsia"/>
          <w:b w:val="false"/>
          <w:bCs/>
          <w:color w:val="000000"/>
          <w:kern w:val="2"/>
          <w:sz w:val="21"/>
          <w:szCs w:val="21"/>
          <w:highlight w:val="none"/>
          <w:lang w:val="en-US" w:bidi="ar-SA" w:eastAsia="zh-CN"/>
        </w:rPr>
        <w:t xml:space="preserve">    </w:t>
      </w:r>
      <w:r>
        <w:rPr>
          <w:rFonts w:ascii="宋体" w:cs="宋体" w:eastAsia="宋体" w:hAnsi="宋体" w:hint="eastAsia"/>
          <w:i w:val="false"/>
          <w:iCs w:val="false"/>
          <w:caps w:val="false"/>
          <w:color w:val="0f1115"/>
          <w:spacing w:val="0"/>
          <w:sz w:val="21"/>
          <w:szCs w:val="21"/>
          <w:shd w:val="clear" w:color="auto" w:fill="ffffff"/>
          <w:lang w:val="en-US" w:eastAsia="zh-CN"/>
        </w:rPr>
        <w:t>本</w:t>
      </w:r>
      <w:r>
        <w:rPr>
          <w:rFonts w:ascii="宋体" w:cs="宋体" w:eastAsia="宋体" w:hAnsi="宋体" w:hint="eastAsia"/>
          <w:i w:val="false"/>
          <w:iCs w:val="false"/>
          <w:caps w:val="false"/>
          <w:color w:val="0f1115"/>
          <w:spacing w:val="0"/>
          <w:sz w:val="21"/>
          <w:szCs w:val="21"/>
          <w:shd w:val="clear" w:color="auto" w:fill="ffffff"/>
        </w:rPr>
        <w:t>项目的所有报价均以人民币填报。投标人应分别报出不含税金额、税率和</w:t>
      </w:r>
      <w:r>
        <w:rPr>
          <w:rFonts w:cs="Times New Roman" w:hint="eastAsia"/>
          <w:b/>
          <w:bCs/>
          <w:color w:val="auto"/>
          <w:highlight w:val="none"/>
          <w:u w:val="none"/>
          <w:lang w:val="en-US" w:eastAsia="zh-CN"/>
        </w:rPr>
        <w:t>价税合计金额</w:t>
      </w:r>
      <w:r>
        <w:rPr>
          <w:rFonts w:ascii="宋体" w:cs="宋体" w:eastAsia="宋体" w:hAnsi="宋体" w:hint="eastAsia"/>
          <w:i w:val="false"/>
          <w:iCs w:val="false"/>
          <w:caps w:val="false"/>
          <w:color w:val="0f1115"/>
          <w:spacing w:val="0"/>
          <w:sz w:val="21"/>
          <w:szCs w:val="21"/>
          <w:shd w:val="clear" w:color="auto" w:fill="ffffff"/>
        </w:rPr>
        <w:t>。</w:t>
      </w:r>
    </w:p>
    <w:p w14:paraId="23A8B09F">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440"/>
        <w:ind w:leftChars="0" w:firstLine="420" w:firstLineChars="200"/>
        <w:textAlignment w:val="auto"/>
        <w:rPr>
          <w:rFonts w:hint="default"/>
          <w:lang w:val="en-US"/>
        </w:rPr>
      </w:pPr>
      <w:r>
        <w:rPr>
          <w:rFonts w:ascii="宋体" w:cs="宋体" w:eastAsia="宋体" w:hAnsi="宋体" w:hint="eastAsia"/>
          <w:i w:val="false"/>
          <w:iCs w:val="false"/>
          <w:caps w:val="false"/>
          <w:color w:val="0f1115"/>
          <w:spacing w:val="0"/>
          <w:sz w:val="21"/>
          <w:szCs w:val="21"/>
          <w:shd w:val="clear" w:color="auto" w:fill="ffffff"/>
        </w:rPr>
        <w:t>投标限价为人民币</w:t>
      </w:r>
      <w:r>
        <w:rPr>
          <w:rFonts w:ascii="Times New Roman" w:cs="宋体" w:eastAsia="宋体" w:hAnsi="宋体" w:hint="eastAsia"/>
          <w:i w:val="false"/>
          <w:iCs w:val="false"/>
          <w:caps w:val="false"/>
          <w:color w:val="0f1115"/>
          <w:spacing w:val="0"/>
          <w:sz w:val="21"/>
          <w:szCs w:val="21"/>
          <w:highlight w:val="cyan"/>
          <w:shd w:val="clear" w:color="auto" w:fill="ffffff"/>
          <w:lang w:val="en-US" w:eastAsia="zh-CN"/>
        </w:rPr>
        <w:t>98.659204</w:t>
      </w:r>
      <w:r>
        <w:rPr>
          <w:rFonts w:ascii="Times New Roman" w:cs="宋体" w:eastAsia="宋体" w:hAnsi="宋体" w:hint="eastAsia"/>
          <w:i w:val="false"/>
          <w:iCs w:val="false"/>
          <w:caps w:val="false"/>
          <w:color w:val="0f1115"/>
          <w:spacing w:val="0"/>
          <w:sz w:val="21"/>
          <w:szCs w:val="21"/>
          <w:highlight w:val="none"/>
          <w:shd w:val="clear" w:color="auto" w:fill="ffffff"/>
          <w:lang w:val="en-US" w:eastAsia="zh-CN"/>
        </w:rPr>
        <w:t>万元</w:t>
      </w:r>
      <w:r>
        <w:rPr>
          <w:rFonts w:ascii="宋体" w:cs="宋体" w:eastAsia="宋体" w:hAnsi="宋体" w:hint="eastAsia"/>
          <w:i w:val="false"/>
          <w:iCs w:val="false"/>
          <w:caps w:val="false"/>
          <w:color w:val="0f1115"/>
          <w:spacing w:val="0"/>
          <w:sz w:val="21"/>
          <w:szCs w:val="21"/>
          <w:shd w:val="clear" w:color="auto" w:fill="ffffff"/>
        </w:rPr>
        <w:t>（含税，</w:t>
      </w:r>
      <w:r>
        <w:rPr>
          <w:rFonts w:ascii="Times New Roman" w:cs="宋体" w:eastAsia="宋体" w:hAnsi="宋体" w:hint="eastAsia"/>
          <w:i w:val="false"/>
          <w:iCs w:val="false"/>
          <w:caps w:val="false"/>
          <w:color w:val="0f1115"/>
          <w:spacing w:val="0"/>
          <w:sz w:val="21"/>
          <w:szCs w:val="21"/>
          <w:highlight w:val="none"/>
          <w:shd w:val="clear" w:color="auto" w:fill="ffffff"/>
          <w:lang w:val="en-US" w:eastAsia="zh-CN"/>
        </w:rPr>
        <w:t>税率</w:t>
      </w:r>
      <w:r>
        <w:rPr>
          <w:rFonts w:ascii="Times New Roman" w:cs="宋体" w:eastAsia="宋体" w:hAnsi="宋体" w:hint="eastAsia"/>
          <w:i w:val="false"/>
          <w:iCs w:val="false"/>
          <w:caps w:val="false"/>
          <w:color w:val="0f1115"/>
          <w:spacing w:val="0"/>
          <w:sz w:val="21"/>
          <w:szCs w:val="21"/>
          <w:highlight w:val="cyan"/>
          <w:shd w:val="clear" w:color="auto" w:fill="ffffff"/>
          <w:lang w:val="en-US" w:eastAsia="zh-CN"/>
        </w:rPr>
        <w:t>9%</w:t>
      </w:r>
      <w:r>
        <w:rPr>
          <w:rFonts w:ascii="宋体" w:cs="宋体" w:eastAsia="宋体" w:hAnsi="宋体" w:hint="eastAsia"/>
          <w:i w:val="false"/>
          <w:iCs w:val="false"/>
          <w:caps w:val="false"/>
          <w:color w:val="0f1115"/>
          <w:spacing w:val="0"/>
          <w:sz w:val="21"/>
          <w:szCs w:val="21"/>
          <w:shd w:val="clear" w:color="auto" w:fill="ffffff"/>
        </w:rPr>
        <w:t>），超过投标限价无法投标。</w:t>
      </w:r>
    </w:p>
    <w:p w14:paraId="148C0E04">
      <w:pPr>
        <w:pStyle w:val="style4133"/>
        <w:keepNext w:val="false"/>
        <w:keepLines w:val="false"/>
        <w:pageBreakBefore w:val="false"/>
        <w:widowControl w:val="false"/>
        <w:numPr>
          <w:ilvl w:val="0"/>
          <w:numId w:val="3"/>
        </w:numPr>
        <w:kinsoku/>
        <w:wordWrap/>
        <w:overflowPunct/>
        <w:topLinePunct w:val="false"/>
        <w:autoSpaceDE/>
        <w:autoSpaceDN/>
        <w:bidi w:val="false"/>
        <w:adjustRightInd/>
        <w:snapToGrid/>
        <w:spacing w:lineRule="exact" w:line="440"/>
        <w:ind w:left="0" w:leftChars="0" w:firstLine="0" w:firstLineChars="0"/>
        <w:textAlignment w:val="auto"/>
        <w:rPr>
          <w:rFonts w:hint="eastAsia"/>
        </w:rPr>
      </w:pPr>
      <w:r>
        <w:rPr>
          <w:rFonts w:hint="eastAsia"/>
        </w:rPr>
        <w:t>注意：所有参投标的投标人，需要自带笔记本电脑在</w:t>
      </w:r>
      <w:r>
        <w:rPr>
          <w:rFonts w:hint="eastAsia"/>
          <w:lang w:eastAsia="zh-CN"/>
        </w:rPr>
        <w:t>“</w:t>
      </w:r>
      <w:r>
        <w:rPr>
          <w:rFonts w:hint="eastAsia"/>
        </w:rPr>
        <w:t>重汽e采通</w:t>
      </w:r>
      <w:r>
        <w:rPr>
          <w:rFonts w:hint="eastAsia"/>
          <w:lang w:eastAsia="zh-CN"/>
        </w:rPr>
        <w:t>”</w:t>
      </w:r>
      <w:r>
        <w:rPr>
          <w:rFonts w:hint="eastAsia"/>
        </w:rPr>
        <w:t>进行自主投标和提交澄清函；投标和提交澄清函均有时间限制，超时未提交的按无效处理。</w:t>
      </w:r>
    </w:p>
    <w:p w14:paraId="521B5578">
      <w:pPr>
        <w:pStyle w:val="style0"/>
        <w:spacing w:lineRule="auto" w:line="360"/>
        <w:ind w:firstLine="420" w:firstLineChars="200"/>
        <w:rPr>
          <w:rFonts w:ascii="Calibri" w:hAnsi="Calibri" w:hint="eastAsia"/>
          <w:highlight w:val="yellow"/>
          <w:lang w:val="en-US" w:eastAsia="zh-CN"/>
        </w:rPr>
      </w:pPr>
      <w:r>
        <w:rPr>
          <w:rFonts w:hint="eastAsia"/>
        </w:rPr>
        <w:t>投标前请各投标方按照招标文件要求对项目方案进行充分准备，投标单位已默认认可上述开标、评标过程，无异议。招标人无义务对未入围投标方及未中标方做任何解释。</w:t>
      </w:r>
    </w:p>
    <w:p w14:paraId="55B0E3A7">
      <w:pPr>
        <w:pStyle w:val="style0"/>
        <w:spacing w:lineRule="auto" w:line="360"/>
        <w:ind w:right="2" w:firstLine="420" w:firstLineChars="200"/>
        <w:rPr>
          <w:rFonts w:ascii="宋体" w:hAnsi="Courier New"/>
          <w:szCs w:val="22"/>
        </w:rPr>
      </w:pPr>
      <w:r>
        <w:rPr>
          <w:rFonts w:ascii="宋体" w:hAnsi="Courier New" w:hint="eastAsia"/>
          <w:szCs w:val="22"/>
        </w:rPr>
        <w:t>3.评标</w:t>
      </w:r>
    </w:p>
    <w:p w14:paraId="2592AF54">
      <w:pPr>
        <w:pStyle w:val="style0"/>
        <w:spacing w:lineRule="auto" w:line="360"/>
        <w:ind w:right="2" w:firstLine="420" w:firstLineChars="200"/>
        <w:rPr>
          <w:rFonts w:ascii="宋体" w:hAnsi="Courier New" w:hint="eastAsia"/>
          <w:szCs w:val="22"/>
        </w:rPr>
      </w:pPr>
      <w:r>
        <w:rPr>
          <w:rFonts w:ascii="宋体" w:hAnsi="Courier New" w:hint="eastAsia"/>
          <w:szCs w:val="22"/>
        </w:rPr>
        <w:t>评标由依照有关法律、法规组建的评标委员会负责。评标委员会由招标人或其委托的招标代理机构熟悉相关业务的代表，以及有关技术、经济等方面的专家组成。评标委员会成员人数为三人以上单数。其中，技术、经济等方面的专家不少于成员总数的三分之二。评标专家小组负责参照评分标准，按照国家招投标有关规定，本着公平、公正、公开、有序的原则，在最大限度地满足招标文件实质性要求的前提下，</w:t>
      </w:r>
      <w:r>
        <w:rPr>
          <w:rFonts w:hint="eastAsia"/>
          <w:highlight w:val="yellow"/>
        </w:rPr>
        <w:t>按照合理最低价的原则选择中标厂家</w:t>
      </w:r>
      <w:r>
        <w:rPr>
          <w:rFonts w:ascii="宋体" w:hAnsi="Courier New" w:hint="eastAsia"/>
          <w:szCs w:val="22"/>
        </w:rPr>
        <w:t>。</w:t>
      </w:r>
    </w:p>
    <w:tbl>
      <w:tblPr>
        <w:tblStyle w:val="style105"/>
        <w:tblW w:w="9138"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 w:type="dxa"/>
          <w:bottom w:w="0" w:type="dxa"/>
          <w:right w:w="10" w:type="dxa"/>
        </w:tblCellMar>
      </w:tblPr>
      <w:tblGrid>
        <w:gridCol w:w="845"/>
        <w:gridCol w:w="520"/>
        <w:gridCol w:w="970"/>
        <w:gridCol w:w="650"/>
        <w:gridCol w:w="6153"/>
      </w:tblGrid>
      <w:tr w14:paraId="7851E296">
        <w:trPr>
          <w:trHeight w:val="643" w:hRule="atLeast"/>
          <w:jc w:val="center"/>
        </w:trPr>
        <w:tc>
          <w:tcPr>
            <w:tcW w:w="845" w:type="dxa"/>
            <w:tcBorders>
              <w:top w:val="single" w:sz="4" w:space="0" w:color="auto"/>
              <w:left w:val="single" w:sz="4" w:space="0" w:color="auto"/>
              <w:bottom w:val="single" w:sz="4" w:space="0" w:color="auto"/>
              <w:right w:val="single" w:sz="4" w:space="0" w:color="auto"/>
            </w:tcBorders>
            <w:vAlign w:val="center"/>
          </w:tcPr>
          <w:p w14:paraId="6EDD4FD9">
            <w:pPr>
              <w:pStyle w:val="style0"/>
              <w:spacing w:lineRule="exact" w:line="320"/>
              <w:ind w:right="34" w:rightChars="16"/>
              <w:jc w:val="center"/>
              <w:rPr>
                <w:b/>
                <w:szCs w:val="21"/>
              </w:rPr>
            </w:pPr>
            <w:r>
              <w:rPr>
                <w:rFonts w:hint="eastAsia"/>
                <w:b/>
              </w:rPr>
              <w:t>评标因素</w:t>
            </w:r>
          </w:p>
        </w:tc>
        <w:tc>
          <w:tcPr>
            <w:tcW w:w="520" w:type="dxa"/>
            <w:tcBorders>
              <w:top w:val="single" w:sz="4" w:space="0" w:color="auto"/>
              <w:left w:val="single" w:sz="4" w:space="0" w:color="auto"/>
              <w:bottom w:val="single" w:sz="4" w:space="0" w:color="auto"/>
              <w:right w:val="single" w:sz="4" w:space="0" w:color="auto"/>
            </w:tcBorders>
            <w:vAlign w:val="center"/>
          </w:tcPr>
          <w:p w14:paraId="3B4D3CD5">
            <w:pPr>
              <w:pStyle w:val="style0"/>
              <w:spacing w:lineRule="exact" w:line="320"/>
              <w:ind w:right="34" w:rightChars="16"/>
              <w:jc w:val="center"/>
              <w:rPr>
                <w:b/>
                <w:szCs w:val="21"/>
              </w:rPr>
            </w:pPr>
            <w:r>
              <w:rPr>
                <w:rFonts w:hint="eastAsia"/>
                <w:b/>
              </w:rPr>
              <w:t>总分</w:t>
            </w:r>
          </w:p>
        </w:tc>
        <w:tc>
          <w:tcPr>
            <w:tcW w:w="970" w:type="dxa"/>
            <w:tcBorders>
              <w:top w:val="single" w:sz="4" w:space="0" w:color="auto"/>
              <w:left w:val="single" w:sz="4" w:space="0" w:color="auto"/>
              <w:bottom w:val="single" w:sz="4" w:space="0" w:color="auto"/>
              <w:right w:val="single" w:sz="4" w:space="0" w:color="auto"/>
            </w:tcBorders>
            <w:vAlign w:val="center"/>
          </w:tcPr>
          <w:p w14:paraId="1D237ABE">
            <w:pPr>
              <w:pStyle w:val="style0"/>
              <w:spacing w:lineRule="exact" w:line="320"/>
              <w:ind w:right="34" w:rightChars="16"/>
              <w:jc w:val="center"/>
              <w:rPr>
                <w:rFonts w:eastAsia="宋体" w:hint="eastAsia"/>
                <w:b/>
                <w:szCs w:val="21"/>
                <w:lang w:eastAsia="zh-CN"/>
              </w:rPr>
            </w:pPr>
            <w:r>
              <w:rPr>
                <w:rFonts w:hint="eastAsia"/>
                <w:b/>
              </w:rPr>
              <w:t>评审内容</w:t>
            </w:r>
          </w:p>
        </w:tc>
        <w:tc>
          <w:tcPr>
            <w:tcW w:w="650" w:type="dxa"/>
            <w:tcBorders>
              <w:top w:val="single" w:sz="4" w:space="0" w:color="auto"/>
              <w:left w:val="single" w:sz="4" w:space="0" w:color="auto"/>
              <w:bottom w:val="single" w:sz="4" w:space="0" w:color="auto"/>
              <w:right w:val="single" w:sz="4" w:space="0" w:color="auto"/>
            </w:tcBorders>
            <w:vAlign w:val="center"/>
          </w:tcPr>
          <w:p w14:paraId="15214531">
            <w:pPr>
              <w:pStyle w:val="style0"/>
              <w:spacing w:lineRule="exact" w:line="320"/>
              <w:ind w:right="34" w:rightChars="16"/>
              <w:jc w:val="center"/>
              <w:rPr>
                <w:b/>
                <w:szCs w:val="21"/>
              </w:rPr>
            </w:pPr>
            <w:r>
              <w:rPr>
                <w:rFonts w:hint="eastAsia"/>
                <w:b/>
              </w:rPr>
              <w:t>最高</w:t>
            </w:r>
          </w:p>
          <w:p w14:paraId="5C6BAEF2">
            <w:pPr>
              <w:pStyle w:val="style0"/>
              <w:spacing w:lineRule="exact" w:line="320"/>
              <w:ind w:right="34" w:rightChars="16"/>
              <w:jc w:val="center"/>
              <w:rPr>
                <w:b/>
                <w:szCs w:val="21"/>
              </w:rPr>
            </w:pPr>
            <w:r>
              <w:rPr>
                <w:rFonts w:hint="eastAsia"/>
                <w:b/>
              </w:rPr>
              <w:t>得分</w:t>
            </w:r>
          </w:p>
        </w:tc>
        <w:tc>
          <w:tcPr>
            <w:tcW w:w="6153" w:type="dxa"/>
            <w:tcBorders>
              <w:top w:val="single" w:sz="4" w:space="0" w:color="auto"/>
              <w:left w:val="single" w:sz="4" w:space="0" w:color="auto"/>
              <w:bottom w:val="single" w:sz="4" w:space="0" w:color="auto"/>
              <w:right w:val="single" w:sz="4" w:space="0" w:color="auto"/>
            </w:tcBorders>
            <w:vAlign w:val="center"/>
          </w:tcPr>
          <w:p w14:paraId="250CD4F1">
            <w:pPr>
              <w:pStyle w:val="style0"/>
              <w:spacing w:lineRule="exact" w:line="320"/>
              <w:ind w:right="34" w:rightChars="16"/>
              <w:jc w:val="center"/>
              <w:rPr>
                <w:b/>
                <w:szCs w:val="21"/>
              </w:rPr>
            </w:pPr>
            <w:r>
              <w:rPr>
                <w:rFonts w:hint="eastAsia"/>
                <w:b/>
              </w:rPr>
              <w:t>评分标准</w:t>
            </w:r>
          </w:p>
        </w:tc>
      </w:tr>
      <w:tr w14:paraId="39228975">
        <w:tblPrEx/>
        <w:trPr>
          <w:trHeight w:val="1178" w:hRule="atLeast"/>
          <w:jc w:val="center"/>
        </w:trPr>
        <w:tc>
          <w:tcPr>
            <w:tcW w:w="845" w:type="dxa"/>
            <w:vMerge w:val="restart"/>
            <w:tcBorders>
              <w:top w:val="single" w:sz="4" w:space="0" w:color="auto"/>
              <w:left w:val="single" w:sz="4" w:space="0" w:color="auto"/>
              <w:right w:val="single" w:sz="4" w:space="0" w:color="auto"/>
            </w:tcBorders>
            <w:vAlign w:val="center"/>
          </w:tcPr>
          <w:p w14:paraId="786E87CE">
            <w:pPr>
              <w:pStyle w:val="style0"/>
              <w:keepNext w:val="false"/>
              <w:keepLines w:val="false"/>
              <w:pageBreakBefore w:val="false"/>
              <w:widowControl w:val="false"/>
              <w:kinsoku/>
              <w:wordWrap/>
              <w:overflowPunct/>
              <w:topLinePunct w:val="false"/>
              <w:autoSpaceDE/>
              <w:autoSpaceDN/>
              <w:bidi w:val="false"/>
              <w:adjustRightInd/>
              <w:snapToGrid/>
              <w:spacing w:lineRule="auto" w:line="240"/>
              <w:jc w:val="center"/>
              <w:textAlignment w:val="auto"/>
              <w:rPr>
                <w:rFonts w:ascii="宋体" w:eastAsia="宋体" w:hint="eastAsia"/>
                <w:lang w:eastAsia="zh-CN"/>
              </w:rPr>
            </w:pPr>
            <w:r>
              <w:rPr>
                <w:rFonts w:ascii="宋体" w:hint="eastAsia"/>
              </w:rPr>
              <w:t>技术标</w:t>
            </w:r>
          </w:p>
        </w:tc>
        <w:tc>
          <w:tcPr>
            <w:tcW w:w="520" w:type="dxa"/>
            <w:vMerge w:val="restart"/>
            <w:tcBorders>
              <w:top w:val="single" w:sz="4" w:space="0" w:color="auto"/>
              <w:left w:val="single" w:sz="4" w:space="0" w:color="auto"/>
              <w:right w:val="single" w:sz="4" w:space="0" w:color="auto"/>
            </w:tcBorders>
            <w:vAlign w:val="center"/>
          </w:tcPr>
          <w:p w14:paraId="435CD8A8">
            <w:pPr>
              <w:pStyle w:val="style0"/>
              <w:spacing w:lineRule="exact" w:line="440"/>
              <w:jc w:val="center"/>
              <w:rPr>
                <w:rFonts w:ascii="宋体" w:eastAsia="宋体" w:hint="eastAsia"/>
                <w:lang w:val="en-US" w:eastAsia="zh-CN"/>
              </w:rPr>
            </w:pPr>
            <w:r>
              <w:rPr>
                <w:rFonts w:ascii="宋体" w:hint="eastAsia"/>
                <w:lang w:val="en-US" w:eastAsia="zh-CN"/>
              </w:rPr>
              <w:t>100</w:t>
            </w:r>
          </w:p>
        </w:tc>
        <w:tc>
          <w:tcPr>
            <w:tcW w:w="970" w:type="dxa"/>
            <w:tcBorders>
              <w:top w:val="single" w:sz="4" w:space="0" w:color="auto"/>
              <w:left w:val="single" w:sz="4" w:space="0" w:color="auto"/>
              <w:right w:val="single" w:sz="4" w:space="0" w:color="auto"/>
            </w:tcBorders>
            <w:vAlign w:val="center"/>
          </w:tcPr>
          <w:p w14:paraId="5BF07162">
            <w:pPr>
              <w:pStyle w:val="style0"/>
              <w:jc w:val="center"/>
              <w:rPr>
                <w:rFonts w:ascii="宋体"/>
              </w:rPr>
            </w:pPr>
            <w:r>
              <w:rPr>
                <w:rFonts w:ascii="宋体" w:cs="宋体" w:hAnsi="宋体" w:hint="eastAsia"/>
                <w:color w:val="000000"/>
                <w:kern w:val="0"/>
                <w:szCs w:val="21"/>
              </w:rPr>
              <w:t>技术方案</w:t>
            </w:r>
            <w:r>
              <w:rPr>
                <w:rFonts w:ascii="宋体" w:cs="宋体" w:hAnsi="宋体" w:hint="eastAsia"/>
                <w:color w:val="000000"/>
                <w:kern w:val="0"/>
                <w:szCs w:val="21"/>
                <w:lang w:val="en-US" w:eastAsia="zh-CN"/>
              </w:rPr>
              <w:t>及组织措施</w:t>
            </w:r>
          </w:p>
        </w:tc>
        <w:tc>
          <w:tcPr>
            <w:tcW w:w="650" w:type="dxa"/>
            <w:tcBorders>
              <w:top w:val="single" w:sz="4" w:space="0" w:color="auto"/>
              <w:left w:val="single" w:sz="4" w:space="0" w:color="auto"/>
              <w:bottom w:val="single" w:sz="4" w:space="0" w:color="auto"/>
              <w:right w:val="single" w:sz="4" w:space="0" w:color="auto"/>
            </w:tcBorders>
            <w:vAlign w:val="center"/>
          </w:tcPr>
          <w:p w14:paraId="323A99F7">
            <w:pPr>
              <w:pStyle w:val="style0"/>
              <w:jc w:val="center"/>
              <w:rPr>
                <w:rFonts w:ascii="宋体" w:eastAsia="宋体" w:hint="default"/>
                <w:szCs w:val="21"/>
                <w:lang w:val="en-US" w:eastAsia="zh-CN"/>
              </w:rPr>
            </w:pPr>
            <w:r>
              <w:rPr>
                <w:rFonts w:ascii="宋体" w:hint="eastAsia"/>
                <w:lang w:val="en-US" w:eastAsia="zh-CN"/>
              </w:rPr>
              <w:t>60</w:t>
            </w:r>
          </w:p>
        </w:tc>
        <w:tc>
          <w:tcPr>
            <w:tcW w:w="6153" w:type="dxa"/>
            <w:tcBorders>
              <w:top w:val="single" w:sz="4" w:space="0" w:color="auto"/>
              <w:left w:val="single" w:sz="4" w:space="0" w:color="auto"/>
              <w:bottom w:val="single" w:sz="4" w:space="0" w:color="auto"/>
              <w:right w:val="single" w:sz="4" w:space="0" w:color="auto"/>
            </w:tcBorders>
            <w:vAlign w:val="center"/>
          </w:tcPr>
          <w:p w14:paraId="56782339">
            <w:pPr>
              <w:pStyle w:val="style0"/>
              <w:jc w:val="left"/>
              <w:rPr>
                <w:rFonts w:ascii="宋体" w:cs="宋体" w:hAnsi="宋体" w:hint="eastAsia"/>
                <w:color w:val="000000"/>
                <w:kern w:val="0"/>
                <w:szCs w:val="21"/>
                <w:lang w:val="en-US" w:eastAsia="zh-CN"/>
              </w:rPr>
            </w:pPr>
            <w:r>
              <w:rPr>
                <w:rFonts w:ascii="宋体" w:cs="宋体" w:hAnsi="宋体" w:hint="eastAsia"/>
                <w:color w:val="000000"/>
                <w:kern w:val="0"/>
                <w:szCs w:val="21"/>
                <w:lang w:val="en-US" w:eastAsia="zh-CN"/>
              </w:rPr>
              <w:t>1、投标人对项目各项技术方案及组织措施具体、技术先进，并列出较多具备相关资质与经验的施工人员及维修设备，酌情得36-60分；</w:t>
            </w:r>
          </w:p>
          <w:p w14:paraId="1172249D">
            <w:pPr>
              <w:pStyle w:val="style0"/>
              <w:jc w:val="left"/>
              <w:rPr>
                <w:rFonts w:ascii="宋体" w:cs="宋体" w:hAnsi="宋体" w:hint="eastAsia"/>
                <w:color w:val="000000"/>
                <w:kern w:val="0"/>
                <w:szCs w:val="21"/>
                <w:lang w:val="en-US" w:eastAsia="zh-CN"/>
              </w:rPr>
            </w:pPr>
            <w:r>
              <w:rPr>
                <w:rFonts w:ascii="宋体" w:cs="宋体" w:hAnsi="宋体" w:hint="eastAsia"/>
                <w:color w:val="000000"/>
                <w:kern w:val="0"/>
                <w:szCs w:val="21"/>
                <w:lang w:val="en-US" w:eastAsia="zh-CN"/>
              </w:rPr>
              <w:t>2、投标人对项目中各项技术方案及组织措施不详细、技术水平一般，施工人员具备一定资质，酌情得18-36分；</w:t>
            </w:r>
          </w:p>
          <w:p w14:paraId="3BC07A8D">
            <w:pPr>
              <w:pStyle w:val="style0"/>
              <w:jc w:val="left"/>
              <w:rPr>
                <w:rFonts w:ascii="宋体" w:cs="宋体" w:hAnsi="宋体" w:hint="eastAsia"/>
                <w:color w:val="000000"/>
                <w:kern w:val="0"/>
                <w:szCs w:val="21"/>
                <w:lang w:val="en-US" w:eastAsia="zh-CN"/>
              </w:rPr>
            </w:pPr>
            <w:r>
              <w:rPr>
                <w:rFonts w:ascii="宋体" w:cs="宋体" w:hAnsi="宋体" w:hint="eastAsia"/>
                <w:color w:val="000000"/>
                <w:kern w:val="0"/>
                <w:szCs w:val="21"/>
                <w:lang w:val="en-US" w:eastAsia="zh-CN"/>
              </w:rPr>
              <w:t>3、投标人在投标文件中没有列出技术方案及组织措施，没有相关资质的施工人员得0分。</w:t>
            </w:r>
          </w:p>
          <w:p w14:paraId="674B71F9">
            <w:pPr>
              <w:pStyle w:val="style0"/>
              <w:jc w:val="left"/>
              <w:rPr/>
            </w:pPr>
            <w:r>
              <w:rPr>
                <w:rFonts w:ascii="宋体" w:cs="宋体" w:hAnsi="宋体" w:hint="eastAsia"/>
                <w:color w:val="000000"/>
                <w:kern w:val="0"/>
                <w:szCs w:val="21"/>
                <w:lang w:val="en-US" w:eastAsia="zh-CN"/>
              </w:rPr>
              <w:t>注：资质文件需有相关资质证明，原件或复印件</w:t>
            </w:r>
          </w:p>
        </w:tc>
      </w:tr>
      <w:tr w14:paraId="355F53AC">
        <w:tblPrEx/>
        <w:trPr>
          <w:trHeight w:val="445" w:hRule="atLeast"/>
          <w:jc w:val="center"/>
        </w:trPr>
        <w:tc>
          <w:tcPr>
            <w:tcW w:w="845" w:type="dxa"/>
            <w:vMerge w:val="continue"/>
            <w:tcBorders>
              <w:left w:val="single" w:sz="4" w:space="0" w:color="auto"/>
              <w:right w:val="single" w:sz="4" w:space="0" w:color="auto"/>
            </w:tcBorders>
            <w:vAlign w:val="center"/>
          </w:tcPr>
          <w:p w14:paraId="420C60BA">
            <w:pPr>
              <w:pStyle w:val="style0"/>
              <w:widowControl/>
              <w:jc w:val="center"/>
              <w:rPr>
                <w:rFonts w:ascii="宋体"/>
              </w:rPr>
            </w:pPr>
          </w:p>
        </w:tc>
        <w:tc>
          <w:tcPr>
            <w:tcW w:w="520" w:type="dxa"/>
            <w:vMerge w:val="continue"/>
            <w:tcBorders>
              <w:left w:val="single" w:sz="4" w:space="0" w:color="auto"/>
              <w:right w:val="single" w:sz="4" w:space="0" w:color="auto"/>
            </w:tcBorders>
            <w:vAlign w:val="center"/>
          </w:tcPr>
          <w:p w14:paraId="6FE7A64B">
            <w:pPr>
              <w:pStyle w:val="style0"/>
              <w:widowControl/>
              <w:jc w:val="center"/>
              <w:rPr>
                <w:rFonts w:ascii="宋体"/>
              </w:rPr>
            </w:pPr>
          </w:p>
        </w:tc>
        <w:tc>
          <w:tcPr>
            <w:tcW w:w="970" w:type="dxa"/>
            <w:tcBorders>
              <w:top w:val="single" w:sz="4" w:space="0" w:color="auto"/>
              <w:left w:val="single" w:sz="4" w:space="0" w:color="auto"/>
              <w:bottom w:val="single" w:sz="4" w:space="0" w:color="auto"/>
              <w:right w:val="single" w:sz="4" w:space="0" w:color="auto"/>
            </w:tcBorders>
            <w:vAlign w:val="center"/>
          </w:tcPr>
          <w:p w14:paraId="24E38C93">
            <w:pPr>
              <w:pStyle w:val="style0"/>
              <w:jc w:val="center"/>
              <w:rPr>
                <w:rFonts w:ascii="宋体"/>
                <w:szCs w:val="21"/>
              </w:rPr>
            </w:pPr>
            <w:r>
              <w:rPr>
                <w:rFonts w:ascii="宋体" w:hint="eastAsia"/>
                <w:szCs w:val="21"/>
                <w:lang w:val="en-US" w:eastAsia="zh-CN"/>
              </w:rPr>
              <w:t>答疑</w:t>
            </w:r>
          </w:p>
        </w:tc>
        <w:tc>
          <w:tcPr>
            <w:tcW w:w="650" w:type="dxa"/>
            <w:tcBorders>
              <w:top w:val="single" w:sz="4" w:space="0" w:color="auto"/>
              <w:left w:val="single" w:sz="4" w:space="0" w:color="auto"/>
              <w:bottom w:val="nil"/>
              <w:right w:val="single" w:sz="4" w:space="0" w:color="auto"/>
            </w:tcBorders>
            <w:vAlign w:val="center"/>
          </w:tcPr>
          <w:p w14:paraId="4894AAA9">
            <w:pPr>
              <w:pStyle w:val="style0"/>
              <w:spacing w:lineRule="exact" w:line="440"/>
              <w:jc w:val="center"/>
              <w:rPr>
                <w:rFonts w:ascii="宋体"/>
                <w:szCs w:val="21"/>
              </w:rPr>
            </w:pPr>
            <w:r>
              <w:rPr>
                <w:rFonts w:ascii="宋体" w:hint="eastAsia"/>
                <w:szCs w:val="21"/>
                <w:lang w:val="en-US" w:eastAsia="zh-CN"/>
              </w:rPr>
              <w:t>10</w:t>
            </w:r>
          </w:p>
        </w:tc>
        <w:tc>
          <w:tcPr>
            <w:tcW w:w="6153" w:type="dxa"/>
            <w:tcBorders>
              <w:top w:val="single" w:sz="4" w:space="0" w:color="auto"/>
              <w:left w:val="single" w:sz="4" w:space="0" w:color="auto"/>
              <w:bottom w:val="nil"/>
              <w:right w:val="single" w:sz="4" w:space="0" w:color="auto"/>
            </w:tcBorders>
            <w:vAlign w:val="center"/>
          </w:tcPr>
          <w:p w14:paraId="0A63E546">
            <w:pPr>
              <w:pStyle w:val="style0"/>
              <w:widowControl/>
              <w:jc w:val="left"/>
              <w:textAlignment w:val="center"/>
              <w:rPr/>
            </w:pPr>
            <w:r>
              <w:rPr>
                <w:rFonts w:ascii="宋体" w:cs="宋体" w:hAnsi="宋体" w:hint="eastAsia"/>
                <w:kern w:val="0"/>
                <w:szCs w:val="21"/>
              </w:rPr>
              <w:t>在开标现场，投标人代表对方案、技术优势的讲解，以及就该项目难点回答评标专家现场提问。酌情得1-</w:t>
            </w:r>
            <w:r>
              <w:rPr>
                <w:rFonts w:ascii="宋体" w:cs="宋体" w:hAnsi="宋体" w:hint="eastAsia"/>
                <w:kern w:val="0"/>
                <w:szCs w:val="21"/>
                <w:lang w:val="en-US" w:eastAsia="zh-CN"/>
              </w:rPr>
              <w:t>10</w:t>
            </w:r>
            <w:r>
              <w:rPr>
                <w:rFonts w:ascii="宋体" w:cs="宋体" w:hAnsi="宋体" w:hint="eastAsia"/>
                <w:kern w:val="0"/>
                <w:szCs w:val="21"/>
              </w:rPr>
              <w:t xml:space="preserve">分； </w:t>
            </w:r>
          </w:p>
        </w:tc>
      </w:tr>
      <w:tr w14:paraId="45D17A8E">
        <w:tblPrEx/>
        <w:trPr>
          <w:trHeight w:val="628" w:hRule="atLeast"/>
          <w:jc w:val="center"/>
        </w:trPr>
        <w:tc>
          <w:tcPr>
            <w:tcW w:w="845" w:type="dxa"/>
            <w:vMerge w:val="continue"/>
            <w:tcBorders>
              <w:left w:val="single" w:sz="4" w:space="0" w:color="auto"/>
              <w:right w:val="single" w:sz="4" w:space="0" w:color="auto"/>
            </w:tcBorders>
            <w:vAlign w:val="center"/>
          </w:tcPr>
          <w:p w14:paraId="2519AB87">
            <w:pPr>
              <w:pStyle w:val="style0"/>
              <w:widowControl/>
              <w:jc w:val="center"/>
              <w:rPr>
                <w:rFonts w:ascii="宋体"/>
              </w:rPr>
            </w:pPr>
          </w:p>
        </w:tc>
        <w:tc>
          <w:tcPr>
            <w:tcW w:w="520" w:type="dxa"/>
            <w:vMerge w:val="continue"/>
            <w:tcBorders>
              <w:left w:val="single" w:sz="4" w:space="0" w:color="auto"/>
              <w:right w:val="single" w:sz="4" w:space="0" w:color="auto"/>
            </w:tcBorders>
            <w:vAlign w:val="center"/>
          </w:tcPr>
          <w:p w14:paraId="64D61CCD">
            <w:pPr>
              <w:pStyle w:val="style0"/>
              <w:widowControl/>
              <w:jc w:val="center"/>
              <w:rPr>
                <w:rFonts w:ascii="宋体"/>
              </w:rPr>
            </w:pPr>
          </w:p>
        </w:tc>
        <w:tc>
          <w:tcPr>
            <w:tcW w:w="970" w:type="dxa"/>
            <w:tcBorders>
              <w:top w:val="single" w:sz="4" w:space="0" w:color="auto"/>
              <w:left w:val="single" w:sz="4" w:space="0" w:color="auto"/>
              <w:bottom w:val="single" w:sz="4" w:space="0" w:color="auto"/>
              <w:right w:val="single" w:sz="4" w:space="0" w:color="auto"/>
            </w:tcBorders>
            <w:vAlign w:val="center"/>
          </w:tcPr>
          <w:p w14:paraId="051BDE9C">
            <w:pPr>
              <w:pStyle w:val="style0"/>
              <w:jc w:val="center"/>
              <w:rPr>
                <w:rFonts w:ascii="宋体"/>
                <w:szCs w:val="21"/>
              </w:rPr>
            </w:pPr>
            <w:r>
              <w:rPr>
                <w:rFonts w:ascii="宋体" w:hint="eastAsia"/>
                <w:szCs w:val="21"/>
                <w:lang w:val="en-US" w:eastAsia="zh-CN"/>
              </w:rPr>
              <w:t>条款响应</w:t>
            </w:r>
          </w:p>
        </w:tc>
        <w:tc>
          <w:tcPr>
            <w:tcW w:w="650" w:type="dxa"/>
            <w:tcBorders>
              <w:top w:val="single" w:sz="4" w:space="0" w:color="auto"/>
              <w:left w:val="single" w:sz="4" w:space="0" w:color="auto"/>
              <w:bottom w:val="nil"/>
              <w:right w:val="single" w:sz="4" w:space="0" w:color="auto"/>
            </w:tcBorders>
            <w:vAlign w:val="center"/>
          </w:tcPr>
          <w:p w14:paraId="1937BCFF">
            <w:pPr>
              <w:pStyle w:val="style0"/>
              <w:jc w:val="center"/>
              <w:rPr>
                <w:rFonts w:ascii="宋体"/>
                <w:szCs w:val="21"/>
              </w:rPr>
            </w:pPr>
            <w:r>
              <w:rPr>
                <w:rFonts w:ascii="宋体" w:hint="eastAsia"/>
                <w:szCs w:val="21"/>
                <w:lang w:val="en-US" w:eastAsia="zh-CN"/>
              </w:rPr>
              <w:t>10</w:t>
            </w:r>
          </w:p>
        </w:tc>
        <w:tc>
          <w:tcPr>
            <w:tcW w:w="6153" w:type="dxa"/>
            <w:tcBorders>
              <w:top w:val="single" w:sz="4" w:space="0" w:color="auto"/>
              <w:left w:val="single" w:sz="4" w:space="0" w:color="auto"/>
              <w:bottom w:val="nil"/>
              <w:right w:val="single" w:sz="4" w:space="0" w:color="auto"/>
            </w:tcBorders>
            <w:vAlign w:val="center"/>
          </w:tcPr>
          <w:p w14:paraId="0A5A5091">
            <w:pPr>
              <w:pStyle w:val="style0"/>
              <w:widowControl/>
              <w:jc w:val="left"/>
              <w:textAlignment w:val="center"/>
              <w:rPr/>
            </w:pPr>
            <w:r>
              <w:rPr>
                <w:rFonts w:ascii="Calibri" w:hAnsi="Calibri" w:hint="eastAsia"/>
              </w:rPr>
              <w:t>经过有效性和符合性审核合格的投标人，投标文件中对技术要求、</w:t>
            </w:r>
            <w:r>
              <w:rPr>
                <w:rFonts w:ascii="宋体" w:cs="宋体" w:hAnsi="宋体" w:hint="eastAsia"/>
                <w:kern w:val="0"/>
                <w:szCs w:val="21"/>
              </w:rPr>
              <w:t>付款、供货期等</w:t>
            </w:r>
            <w:r>
              <w:rPr>
                <w:rFonts w:ascii="Calibri" w:hAnsi="Calibri" w:hint="eastAsia"/>
              </w:rPr>
              <w:t>无偏离得</w:t>
            </w:r>
            <w:r>
              <w:rPr>
                <w:rFonts w:ascii="Calibri" w:hAnsi="Calibri" w:hint="eastAsia"/>
                <w:lang w:val="en-US" w:eastAsia="zh-CN"/>
              </w:rPr>
              <w:t>6</w:t>
            </w:r>
            <w:r>
              <w:rPr>
                <w:rFonts w:ascii="Calibri" w:hAnsi="Calibri" w:hint="eastAsia"/>
              </w:rPr>
              <w:t>分，每一条正偏离得</w:t>
            </w:r>
            <w:r>
              <w:rPr>
                <w:rFonts w:ascii="Calibri" w:hAnsi="Calibri" w:hint="eastAsia"/>
                <w:lang w:val="en-US" w:eastAsia="zh-CN"/>
              </w:rPr>
              <w:t>2</w:t>
            </w:r>
            <w:r>
              <w:rPr>
                <w:rFonts w:ascii="Calibri" w:hAnsi="Calibri" w:hint="eastAsia"/>
              </w:rPr>
              <w:t>分，上限</w:t>
            </w:r>
            <w:r>
              <w:rPr>
                <w:rFonts w:ascii="Calibri" w:hAnsi="Calibri" w:hint="eastAsia"/>
                <w:lang w:val="en-US" w:eastAsia="zh-CN"/>
              </w:rPr>
              <w:t>10</w:t>
            </w:r>
            <w:r>
              <w:rPr>
                <w:rFonts w:ascii="Calibri" w:hAnsi="Calibri" w:hint="eastAsia"/>
              </w:rPr>
              <w:t>分。每一条负偏离扣</w:t>
            </w:r>
            <w:r>
              <w:rPr>
                <w:rFonts w:ascii="Calibri" w:hAnsi="Calibri" w:hint="eastAsia"/>
                <w:lang w:val="en-US" w:eastAsia="zh-CN"/>
              </w:rPr>
              <w:t>2</w:t>
            </w:r>
            <w:r>
              <w:rPr>
                <w:rFonts w:ascii="Calibri" w:hAnsi="Calibri" w:hint="eastAsia"/>
              </w:rPr>
              <w:t>分，最低0分。</w:t>
            </w:r>
            <w:r>
              <w:rPr>
                <w:rFonts w:ascii="宋体" w:cs="宋体" w:hAnsi="宋体"/>
                <w:kern w:val="0"/>
                <w:szCs w:val="21"/>
              </w:rPr>
              <w:t xml:space="preserve"> </w:t>
            </w:r>
          </w:p>
        </w:tc>
      </w:tr>
      <w:tr w14:paraId="3E2702A4">
        <w:tblPrEx/>
        <w:trPr>
          <w:trHeight w:val="319" w:hRule="atLeast"/>
          <w:jc w:val="center"/>
        </w:trPr>
        <w:tc>
          <w:tcPr>
            <w:tcW w:w="845" w:type="dxa"/>
            <w:vMerge w:val="continue"/>
            <w:tcBorders>
              <w:left w:val="single" w:sz="4" w:space="0" w:color="auto"/>
              <w:right w:val="single" w:sz="4" w:space="0" w:color="auto"/>
            </w:tcBorders>
            <w:vAlign w:val="center"/>
          </w:tcPr>
          <w:p w14:paraId="1057760D">
            <w:pPr>
              <w:pStyle w:val="style0"/>
              <w:widowControl/>
              <w:jc w:val="center"/>
              <w:rPr>
                <w:rFonts w:ascii="宋体"/>
              </w:rPr>
            </w:pPr>
          </w:p>
        </w:tc>
        <w:tc>
          <w:tcPr>
            <w:tcW w:w="520" w:type="dxa"/>
            <w:vMerge w:val="continue"/>
            <w:tcBorders>
              <w:left w:val="single" w:sz="4" w:space="0" w:color="auto"/>
              <w:right w:val="single" w:sz="4" w:space="0" w:color="auto"/>
            </w:tcBorders>
            <w:vAlign w:val="center"/>
          </w:tcPr>
          <w:p w14:paraId="065889BF">
            <w:pPr>
              <w:pStyle w:val="style0"/>
              <w:widowControl/>
              <w:jc w:val="center"/>
              <w:rPr>
                <w:rFonts w:ascii="宋体"/>
              </w:rPr>
            </w:pPr>
          </w:p>
        </w:tc>
        <w:tc>
          <w:tcPr>
            <w:tcW w:w="970" w:type="dxa"/>
            <w:tcBorders>
              <w:top w:val="single" w:sz="4" w:space="0" w:color="auto"/>
              <w:left w:val="single" w:sz="4" w:space="0" w:color="auto"/>
              <w:bottom w:val="single" w:sz="4" w:space="0" w:color="auto"/>
              <w:right w:val="single" w:sz="4" w:space="0" w:color="auto"/>
            </w:tcBorders>
            <w:vAlign w:val="center"/>
          </w:tcPr>
          <w:p w14:paraId="0DA920A2">
            <w:pPr>
              <w:pStyle w:val="style0"/>
              <w:jc w:val="center"/>
              <w:rPr/>
            </w:pPr>
            <w:r>
              <w:rPr>
                <w:rFonts w:hint="eastAsia"/>
                <w:lang w:val="en-US" w:eastAsia="zh-CN"/>
              </w:rPr>
              <w:t>售后服务</w:t>
            </w:r>
          </w:p>
        </w:tc>
        <w:tc>
          <w:tcPr>
            <w:tcW w:w="650" w:type="dxa"/>
            <w:tcBorders>
              <w:top w:val="single" w:sz="4" w:space="0" w:color="auto"/>
              <w:left w:val="single" w:sz="4" w:space="0" w:color="auto"/>
              <w:bottom w:val="nil"/>
              <w:right w:val="single" w:sz="4" w:space="0" w:color="auto"/>
            </w:tcBorders>
            <w:vAlign w:val="center"/>
          </w:tcPr>
          <w:p w14:paraId="2C559BD4">
            <w:pPr>
              <w:pStyle w:val="style0"/>
              <w:jc w:val="center"/>
              <w:rPr/>
            </w:pPr>
            <w:r>
              <w:rPr>
                <w:rFonts w:ascii="宋体" w:cs="Times New Roman" w:hAnsi="Times New Roman" w:hint="eastAsia"/>
                <w:szCs w:val="21"/>
                <w:lang w:val="en-US" w:eastAsia="zh-CN"/>
              </w:rPr>
              <w:t>10</w:t>
            </w:r>
          </w:p>
        </w:tc>
        <w:tc>
          <w:tcPr>
            <w:tcW w:w="6153" w:type="dxa"/>
            <w:tcBorders>
              <w:top w:val="single" w:sz="4" w:space="0" w:color="auto"/>
              <w:left w:val="single" w:sz="4" w:space="0" w:color="auto"/>
              <w:bottom w:val="nil"/>
              <w:right w:val="single" w:sz="4" w:space="0" w:color="auto"/>
            </w:tcBorders>
            <w:vAlign w:val="center"/>
          </w:tcPr>
          <w:p w14:paraId="6B47D799">
            <w:pPr>
              <w:pStyle w:val="style0"/>
              <w:widowControl/>
              <w:jc w:val="left"/>
              <w:textAlignment w:val="center"/>
              <w:rPr/>
            </w:pPr>
            <w:r>
              <w:rPr>
                <w:rFonts w:ascii="Calibri" w:hAnsi="Calibri" w:hint="eastAsia"/>
              </w:rPr>
              <w:t>售后服务及时周到，有相应的服务承诺和具体的保证措施，对招标方人员的技术培训安排科学、合理、可行，酌情得1-</w:t>
            </w:r>
            <w:r>
              <w:rPr>
                <w:rFonts w:ascii="Calibri" w:hAnsi="Calibri" w:hint="eastAsia"/>
                <w:lang w:val="en-US" w:eastAsia="zh-CN"/>
              </w:rPr>
              <w:t>10</w:t>
            </w:r>
            <w:r>
              <w:rPr>
                <w:rFonts w:ascii="Calibri" w:hAnsi="Calibri" w:hint="eastAsia"/>
              </w:rPr>
              <w:t>分；</w:t>
            </w:r>
          </w:p>
        </w:tc>
      </w:tr>
      <w:tr w14:paraId="30C28BCF">
        <w:tblPrEx/>
        <w:trPr>
          <w:trHeight w:val="319" w:hRule="atLeast"/>
          <w:jc w:val="center"/>
        </w:trPr>
        <w:tc>
          <w:tcPr>
            <w:tcW w:w="845" w:type="dxa"/>
            <w:vMerge w:val="continue"/>
            <w:tcBorders>
              <w:left w:val="single" w:sz="4" w:space="0" w:color="auto"/>
              <w:bottom w:val="single" w:sz="4" w:space="0" w:color="auto"/>
              <w:right w:val="single" w:sz="4" w:space="0" w:color="auto"/>
            </w:tcBorders>
            <w:vAlign w:val="center"/>
          </w:tcPr>
          <w:p w14:paraId="4B0C62D6">
            <w:pPr>
              <w:pStyle w:val="style0"/>
              <w:widowControl/>
              <w:jc w:val="center"/>
              <w:rPr>
                <w:rFonts w:ascii="宋体"/>
              </w:rPr>
            </w:pPr>
          </w:p>
        </w:tc>
        <w:tc>
          <w:tcPr>
            <w:tcW w:w="520" w:type="dxa"/>
            <w:vMerge w:val="continue"/>
            <w:tcBorders>
              <w:left w:val="single" w:sz="4" w:space="0" w:color="auto"/>
              <w:bottom w:val="single" w:sz="4" w:space="0" w:color="auto"/>
              <w:right w:val="single" w:sz="4" w:space="0" w:color="auto"/>
            </w:tcBorders>
            <w:vAlign w:val="center"/>
          </w:tcPr>
          <w:p w14:paraId="0ECB7929">
            <w:pPr>
              <w:pStyle w:val="style0"/>
              <w:widowControl/>
              <w:jc w:val="center"/>
              <w:rPr>
                <w:rFonts w:ascii="宋体"/>
              </w:rPr>
            </w:pPr>
          </w:p>
        </w:tc>
        <w:tc>
          <w:tcPr>
            <w:tcW w:w="970" w:type="dxa"/>
            <w:tcBorders>
              <w:top w:val="single" w:sz="4" w:space="0" w:color="auto"/>
              <w:left w:val="single" w:sz="4" w:space="0" w:color="auto"/>
              <w:bottom w:val="single" w:sz="4" w:space="0" w:color="auto"/>
              <w:right w:val="single" w:sz="4" w:space="0" w:color="auto"/>
            </w:tcBorders>
            <w:vAlign w:val="center"/>
          </w:tcPr>
          <w:p w14:paraId="3C5F9C32">
            <w:pPr>
              <w:pStyle w:val="style0"/>
              <w:jc w:val="center"/>
              <w:rPr>
                <w:rFonts w:eastAsia="宋体" w:hint="default"/>
                <w:lang w:val="en-US" w:eastAsia="zh-CN"/>
              </w:rPr>
            </w:pPr>
            <w:r>
              <w:rPr>
                <w:rFonts w:hint="eastAsia"/>
                <w:lang w:val="en-US" w:eastAsia="zh-CN"/>
              </w:rPr>
              <w:t>业绩</w:t>
            </w:r>
          </w:p>
        </w:tc>
        <w:tc>
          <w:tcPr>
            <w:tcW w:w="650" w:type="dxa"/>
            <w:tcBorders>
              <w:top w:val="single" w:sz="4" w:space="0" w:color="auto"/>
              <w:left w:val="single" w:sz="4" w:space="0" w:color="auto"/>
              <w:bottom w:val="nil"/>
              <w:right w:val="single" w:sz="4" w:space="0" w:color="auto"/>
            </w:tcBorders>
            <w:vAlign w:val="center"/>
          </w:tcPr>
          <w:p w14:paraId="3205E9E1">
            <w:pPr>
              <w:pStyle w:val="style0"/>
              <w:jc w:val="center"/>
              <w:rPr>
                <w:rFonts w:ascii="宋体" w:hint="eastAsia"/>
                <w:lang w:val="en-US" w:eastAsia="zh-CN"/>
              </w:rPr>
            </w:pPr>
            <w:r>
              <w:rPr>
                <w:rFonts w:ascii="宋体" w:hint="eastAsia"/>
                <w:lang w:val="en-US" w:eastAsia="zh-CN"/>
              </w:rPr>
              <w:t>10</w:t>
            </w:r>
          </w:p>
        </w:tc>
        <w:tc>
          <w:tcPr>
            <w:tcW w:w="6153" w:type="dxa"/>
            <w:tcBorders>
              <w:top w:val="single" w:sz="4" w:space="0" w:color="auto"/>
              <w:left w:val="single" w:sz="4" w:space="0" w:color="auto"/>
              <w:bottom w:val="nil"/>
              <w:right w:val="single" w:sz="4" w:space="0" w:color="auto"/>
            </w:tcBorders>
            <w:vAlign w:val="center"/>
          </w:tcPr>
          <w:p w14:paraId="220B1BA5">
            <w:pPr>
              <w:pStyle w:val="style0"/>
              <w:widowControl/>
              <w:jc w:val="left"/>
              <w:textAlignment w:val="center"/>
              <w:rPr/>
            </w:pPr>
            <w:r>
              <w:rPr>
                <w:rFonts w:ascii="宋体" w:cs="宋体" w:hAnsi="宋体" w:hint="eastAsia"/>
                <w:bCs/>
                <w:szCs w:val="21"/>
              </w:rPr>
              <w:t>投标人在</w:t>
            </w:r>
            <w:r>
              <w:rPr>
                <w:rFonts w:ascii="宋体" w:cs="Calibri" w:hAnsi="宋体" w:hint="eastAsia"/>
                <w:bCs/>
                <w:szCs w:val="21"/>
              </w:rPr>
              <w:t>20</w:t>
            </w:r>
            <w:r>
              <w:rPr>
                <w:rFonts w:ascii="宋体" w:cs="Calibri" w:hAnsi="宋体" w:hint="eastAsia"/>
                <w:bCs/>
                <w:szCs w:val="21"/>
                <w:lang w:val="en-US" w:eastAsia="zh-CN"/>
              </w:rPr>
              <w:t>23</w:t>
            </w:r>
            <w:r>
              <w:rPr>
                <w:rFonts w:ascii="宋体" w:cs="宋体" w:hAnsi="宋体" w:hint="eastAsia"/>
                <w:bCs/>
                <w:szCs w:val="21"/>
              </w:rPr>
              <w:t>年</w:t>
            </w:r>
            <w:r>
              <w:rPr>
                <w:rFonts w:ascii="宋体" w:cs="Calibri" w:hAnsi="宋体" w:hint="eastAsia"/>
                <w:bCs/>
                <w:szCs w:val="21"/>
              </w:rPr>
              <w:t>1</w:t>
            </w:r>
            <w:r>
              <w:rPr>
                <w:rFonts w:ascii="宋体" w:cs="宋体" w:hAnsi="宋体" w:hint="eastAsia"/>
                <w:bCs/>
                <w:szCs w:val="21"/>
              </w:rPr>
              <w:t>月</w:t>
            </w:r>
            <w:r>
              <w:rPr>
                <w:rFonts w:ascii="宋体" w:cs="Calibri" w:hAnsi="宋体" w:hint="eastAsia"/>
                <w:bCs/>
                <w:szCs w:val="21"/>
              </w:rPr>
              <w:t>1</w:t>
            </w:r>
            <w:r>
              <w:rPr>
                <w:rFonts w:ascii="宋体" w:cs="宋体" w:hAnsi="宋体" w:hint="eastAsia"/>
                <w:bCs/>
                <w:szCs w:val="21"/>
              </w:rPr>
              <w:t>日以来在国内与本标同类规格</w:t>
            </w:r>
            <w:r>
              <w:rPr>
                <w:rFonts w:ascii="宋体" w:cs="宋体" w:hAnsi="宋体" w:hint="eastAsia"/>
              </w:rPr>
              <w:t>业绩及备件储备情况，每有一项业绩得</w:t>
            </w:r>
            <w:r>
              <w:rPr>
                <w:rFonts w:ascii="宋体" w:cs="宋体" w:hAnsi="宋体" w:hint="eastAsia"/>
                <w:lang w:val="en-US" w:eastAsia="zh-CN"/>
              </w:rPr>
              <w:t>2</w:t>
            </w:r>
            <w:r>
              <w:rPr>
                <w:rFonts w:ascii="宋体" w:cs="宋体" w:hAnsi="宋体" w:hint="eastAsia"/>
              </w:rPr>
              <w:t>分，最多得</w:t>
            </w:r>
            <w:r>
              <w:rPr>
                <w:rFonts w:ascii="宋体" w:cs="宋体" w:hAnsi="宋体" w:hint="eastAsia"/>
                <w:lang w:val="en-US" w:eastAsia="zh-CN"/>
              </w:rPr>
              <w:t>10</w:t>
            </w:r>
            <w:r>
              <w:rPr>
                <w:rFonts w:ascii="宋体" w:cs="宋体" w:hAnsi="宋体" w:hint="eastAsia"/>
              </w:rPr>
              <w:t>分(必须提供合同原件</w:t>
            </w:r>
            <w:r>
              <w:rPr>
                <w:rFonts w:ascii="宋体" w:cs="宋体" w:hAnsi="宋体" w:hint="eastAsia"/>
                <w:lang w:val="en-US" w:eastAsia="zh-CN"/>
              </w:rPr>
              <w:t>或者复印件</w:t>
            </w:r>
            <w:r>
              <w:rPr>
                <w:rFonts w:ascii="宋体" w:cs="宋体" w:hAnsi="宋体" w:hint="eastAsia"/>
              </w:rPr>
              <w:t>,否则不得分)。</w:t>
            </w:r>
          </w:p>
        </w:tc>
      </w:tr>
      <w:tr w14:paraId="21AA4015">
        <w:tblPrEx/>
        <w:trPr>
          <w:trHeight w:val="1110" w:hRule="atLeast"/>
          <w:jc w:val="center"/>
        </w:trPr>
        <w:tc>
          <w:tcPr>
            <w:tcW w:w="845" w:type="dxa"/>
            <w:tcBorders>
              <w:top w:val="single" w:sz="4" w:space="0" w:color="auto"/>
              <w:left w:val="single" w:sz="4" w:space="0" w:color="auto"/>
              <w:bottom w:val="single" w:sz="4" w:space="0" w:color="auto"/>
              <w:right w:val="single" w:sz="4" w:space="0" w:color="auto"/>
            </w:tcBorders>
            <w:vAlign w:val="center"/>
          </w:tcPr>
          <w:p w14:paraId="7953EB7D">
            <w:pPr>
              <w:pStyle w:val="style0"/>
              <w:keepNext w:val="false"/>
              <w:keepLines w:val="false"/>
              <w:pageBreakBefore w:val="false"/>
              <w:widowControl w:val="false"/>
              <w:kinsoku/>
              <w:wordWrap/>
              <w:overflowPunct/>
              <w:topLinePunct w:val="false"/>
              <w:autoSpaceDE/>
              <w:autoSpaceDN/>
              <w:bidi w:val="false"/>
              <w:adjustRightInd/>
              <w:snapToGrid/>
              <w:spacing w:lineRule="auto" w:line="240"/>
              <w:jc w:val="center"/>
              <w:textAlignment w:val="auto"/>
              <w:rPr>
                <w:rFonts w:ascii="宋体" w:hint="eastAsia"/>
                <w:szCs w:val="21"/>
                <w:highlight w:val="none"/>
              </w:rPr>
            </w:pPr>
            <w:r>
              <w:rPr>
                <w:rFonts w:ascii="宋体" w:hint="eastAsia"/>
                <w:szCs w:val="21"/>
                <w:highlight w:val="none"/>
              </w:rPr>
              <w:t>商务标</w:t>
            </w:r>
          </w:p>
          <w:p w14:paraId="4825A42F">
            <w:pPr>
              <w:pStyle w:val="style0"/>
              <w:keepNext w:val="false"/>
              <w:keepLines w:val="false"/>
              <w:pageBreakBefore w:val="false"/>
              <w:widowControl w:val="false"/>
              <w:kinsoku/>
              <w:wordWrap/>
              <w:overflowPunct/>
              <w:topLinePunct w:val="false"/>
              <w:autoSpaceDE/>
              <w:autoSpaceDN/>
              <w:bidi w:val="false"/>
              <w:adjustRightInd/>
              <w:snapToGrid/>
              <w:spacing w:lineRule="exact" w:line="200"/>
              <w:jc w:val="center"/>
              <w:textAlignment w:val="auto"/>
              <w:rPr>
                <w:rFonts w:ascii="宋体" w:eastAsia="宋体" w:hint="eastAsia"/>
                <w:szCs w:val="21"/>
                <w:highlight w:val="none"/>
                <w:lang w:eastAsia="zh-CN"/>
              </w:rPr>
            </w:pPr>
          </w:p>
        </w:tc>
        <w:tc>
          <w:tcPr>
            <w:tcW w:w="2140" w:type="dxa"/>
            <w:gridSpan w:val="3"/>
            <w:tcBorders>
              <w:top w:val="single" w:sz="4" w:space="0" w:color="auto"/>
              <w:left w:val="single" w:sz="4" w:space="0" w:color="auto"/>
              <w:bottom w:val="single" w:sz="4" w:space="0" w:color="auto"/>
              <w:right w:val="single" w:sz="4" w:space="0" w:color="auto"/>
            </w:tcBorders>
            <w:vAlign w:val="center"/>
          </w:tcPr>
          <w:p w14:paraId="4C22ADBD">
            <w:pPr>
              <w:pStyle w:val="style0"/>
              <w:spacing w:lineRule="exact" w:line="440"/>
              <w:jc w:val="center"/>
              <w:rPr>
                <w:rFonts w:ascii="宋体" w:eastAsia="宋体" w:hAnsi="宋体" w:hint="default"/>
                <w:highlight w:val="none"/>
                <w:lang w:val="en-US" w:eastAsia="zh-CN"/>
              </w:rPr>
            </w:pPr>
            <w:r>
              <w:rPr>
                <w:rFonts w:ascii="宋体" w:hAnsi="宋体" w:hint="eastAsia"/>
                <w:highlight w:val="none"/>
              </w:rPr>
              <w:t>投标报价</w:t>
            </w:r>
          </w:p>
        </w:tc>
        <w:tc>
          <w:tcPr>
            <w:tcW w:w="6153" w:type="dxa"/>
            <w:tcBorders>
              <w:top w:val="single" w:sz="4" w:space="0" w:color="auto"/>
              <w:left w:val="single" w:sz="4" w:space="0" w:color="auto"/>
              <w:bottom w:val="nil"/>
              <w:right w:val="single" w:sz="4" w:space="0" w:color="auto"/>
            </w:tcBorders>
            <w:vAlign w:val="center"/>
          </w:tcPr>
          <w:p w14:paraId="2D8D4E4B">
            <w:pPr>
              <w:pStyle w:val="style0"/>
              <w:jc w:val="left"/>
              <w:textAlignment w:val="center"/>
              <w:rPr>
                <w:rFonts w:ascii="宋体" w:cs="宋体" w:hAnsi="宋体" w:hint="eastAsia"/>
                <w:i w:val="false"/>
                <w:color w:val="000000"/>
                <w:kern w:val="0"/>
                <w:sz w:val="21"/>
                <w:szCs w:val="21"/>
                <w:highlight w:val="none"/>
                <w:u w:val="none"/>
                <w:lang w:val="en-US" w:eastAsia="zh-CN"/>
              </w:rPr>
            </w:pPr>
            <w:r>
              <w:rPr>
                <w:rFonts w:ascii="宋体" w:cs="宋体" w:eastAsia="宋体" w:hAnsi="宋体" w:hint="eastAsia"/>
                <w:i w:val="false"/>
                <w:color w:val="000000"/>
                <w:kern w:val="0"/>
                <w:sz w:val="21"/>
                <w:szCs w:val="21"/>
                <w:highlight w:val="none"/>
                <w:u w:val="none"/>
                <w:lang w:val="en-US" w:eastAsia="zh-CN"/>
              </w:rPr>
              <w:t>1.经初审合格的投标文件其投标报价为有效报价</w:t>
            </w:r>
            <w:r>
              <w:rPr>
                <w:rFonts w:ascii="宋体" w:cs="宋体" w:hAnsi="宋体" w:hint="eastAsia"/>
                <w:i w:val="false"/>
                <w:color w:val="000000"/>
                <w:kern w:val="0"/>
                <w:sz w:val="21"/>
                <w:szCs w:val="21"/>
                <w:highlight w:val="none"/>
                <w:u w:val="none"/>
                <w:lang w:val="en-US" w:eastAsia="zh-CN"/>
              </w:rPr>
              <w:t>；</w:t>
            </w:r>
          </w:p>
          <w:p w14:paraId="09C9470C">
            <w:pPr>
              <w:pStyle w:val="style0"/>
              <w:jc w:val="left"/>
              <w:textAlignment w:val="center"/>
              <w:rPr>
                <w:rFonts w:ascii="宋体" w:cs="宋体" w:hAnsi="宋体" w:hint="eastAsia"/>
                <w:color w:val="000000"/>
                <w:kern w:val="0"/>
                <w:szCs w:val="21"/>
              </w:rPr>
            </w:pPr>
            <w:r>
              <w:rPr>
                <w:rFonts w:ascii="宋体" w:cs="宋体" w:hAnsi="宋体" w:hint="eastAsia"/>
                <w:i w:val="false"/>
                <w:color w:val="000000"/>
                <w:kern w:val="0"/>
                <w:sz w:val="21"/>
                <w:szCs w:val="21"/>
                <w:highlight w:val="none"/>
                <w:u w:val="none"/>
                <w:lang w:val="en-US" w:eastAsia="zh-CN"/>
              </w:rPr>
              <w:t>2.</w:t>
            </w:r>
            <w:r>
              <w:rPr>
                <w:rFonts w:ascii="宋体" w:cs="宋体" w:hAnsi="宋体" w:hint="eastAsia"/>
                <w:color w:val="000000"/>
                <w:kern w:val="0"/>
                <w:szCs w:val="21"/>
              </w:rPr>
              <w:t>按照投标价格高低排名；</w:t>
            </w:r>
          </w:p>
          <w:p w14:paraId="0E8481B4">
            <w:pPr>
              <w:pStyle w:val="style0"/>
              <w:jc w:val="left"/>
              <w:textAlignment w:val="center"/>
              <w:rPr>
                <w:rFonts w:ascii="宋体" w:cs="宋体" w:hAnsi="宋体" w:hint="eastAsia"/>
                <w:i w:val="false"/>
                <w:color w:val="000000"/>
                <w:kern w:val="0"/>
                <w:sz w:val="21"/>
                <w:szCs w:val="21"/>
                <w:highlight w:val="none"/>
                <w:u w:val="none"/>
                <w:lang w:val="en-US" w:eastAsia="zh-CN"/>
              </w:rPr>
            </w:pPr>
            <w:r>
              <w:rPr>
                <w:rFonts w:ascii="宋体" w:cs="宋体" w:hAnsi="宋体" w:hint="eastAsia"/>
                <w:i w:val="false"/>
                <w:color w:val="000000"/>
                <w:kern w:val="0"/>
                <w:sz w:val="21"/>
                <w:szCs w:val="21"/>
                <w:highlight w:val="none"/>
                <w:u w:val="none"/>
                <w:lang w:val="en-US" w:eastAsia="zh-CN"/>
              </w:rPr>
              <w:t>3</w:t>
            </w:r>
            <w:r>
              <w:rPr>
                <w:rFonts w:ascii="宋体" w:cs="宋体" w:eastAsia="宋体" w:hAnsi="宋体" w:hint="eastAsia"/>
                <w:i w:val="false"/>
                <w:color w:val="000000"/>
                <w:kern w:val="0"/>
                <w:sz w:val="21"/>
                <w:szCs w:val="21"/>
                <w:highlight w:val="none"/>
                <w:u w:val="none"/>
                <w:lang w:val="en-US" w:eastAsia="zh-CN"/>
              </w:rPr>
              <w:t>.评标价格均以元（</w:t>
            </w:r>
            <w:r>
              <w:rPr>
                <w:rFonts w:ascii="宋体" w:cs="宋体" w:hAnsi="宋体" w:hint="eastAsia"/>
                <w:i w:val="false"/>
                <w:color w:val="000000"/>
                <w:kern w:val="0"/>
                <w:sz w:val="21"/>
                <w:szCs w:val="21"/>
                <w:highlight w:val="none"/>
                <w:u w:val="none"/>
                <w:lang w:val="en-US" w:eastAsia="zh-CN"/>
              </w:rPr>
              <w:t>人民币</w:t>
            </w:r>
            <w:r>
              <w:rPr>
                <w:rFonts w:ascii="宋体" w:cs="宋体" w:eastAsia="宋体" w:hAnsi="宋体" w:hint="eastAsia"/>
                <w:i w:val="false"/>
                <w:color w:val="000000"/>
                <w:kern w:val="0"/>
                <w:sz w:val="21"/>
                <w:szCs w:val="21"/>
                <w:highlight w:val="none"/>
                <w:u w:val="none"/>
                <w:lang w:val="en-US" w:eastAsia="zh-CN"/>
              </w:rPr>
              <w:t>）为单位计算，百分率、得分值小数点后保留两位，第三位四舍五入</w:t>
            </w:r>
            <w:r>
              <w:rPr>
                <w:rFonts w:ascii="宋体" w:cs="宋体" w:hAnsi="宋体" w:hint="eastAsia"/>
                <w:i w:val="false"/>
                <w:color w:val="000000"/>
                <w:kern w:val="0"/>
                <w:sz w:val="21"/>
                <w:szCs w:val="21"/>
                <w:highlight w:val="none"/>
                <w:u w:val="none"/>
                <w:lang w:val="en-US" w:eastAsia="zh-CN"/>
              </w:rPr>
              <w:t>；</w:t>
            </w:r>
          </w:p>
          <w:p w14:paraId="7D326F67">
            <w:pPr>
              <w:pStyle w:val="style0"/>
              <w:tabs>
                <w:tab w:val="left" w:leader="none" w:pos="7854"/>
              </w:tabs>
              <w:spacing w:lineRule="exact" w:line="280"/>
              <w:rPr>
                <w:highlight w:val="yellow"/>
              </w:rPr>
            </w:pPr>
            <w:r>
              <w:rPr>
                <w:rFonts w:ascii="宋体" w:cs="宋体" w:hAnsi="宋体" w:hint="eastAsia"/>
                <w:i w:val="false"/>
                <w:color w:val="000000"/>
                <w:kern w:val="0"/>
                <w:sz w:val="21"/>
                <w:szCs w:val="21"/>
                <w:highlight w:val="none"/>
                <w:u w:val="none"/>
                <w:lang w:val="en-US" w:eastAsia="zh-CN"/>
              </w:rPr>
              <w:t>4</w:t>
            </w:r>
            <w:r>
              <w:rPr>
                <w:rFonts w:ascii="宋体" w:cs="宋体" w:eastAsia="宋体" w:hAnsi="宋体" w:hint="eastAsia"/>
                <w:i w:val="false"/>
                <w:color w:val="000000"/>
                <w:kern w:val="0"/>
                <w:sz w:val="21"/>
                <w:szCs w:val="21"/>
                <w:highlight w:val="none"/>
                <w:u w:val="none"/>
                <w:lang w:val="en-US" w:eastAsia="zh-CN"/>
              </w:rPr>
              <w:t>.评标委员会二分之一以上人员认为某投标总报价有低于成本价嫌疑的，视为无效报价，不进入下一步评审。</w:t>
            </w:r>
          </w:p>
        </w:tc>
      </w:tr>
      <w:tr w14:paraId="70D66312">
        <w:tblPrEx/>
        <w:trPr>
          <w:trHeight w:val="2797" w:hRule="atLeast"/>
          <w:jc w:val="center"/>
        </w:trPr>
        <w:tc>
          <w:tcPr>
            <w:tcW w:w="9138" w:type="dxa"/>
            <w:gridSpan w:val="5"/>
            <w:tcBorders>
              <w:top w:val="single" w:sz="4" w:space="0" w:color="auto"/>
              <w:left w:val="single" w:sz="4" w:space="0" w:color="auto"/>
              <w:bottom w:val="single" w:sz="4" w:space="0" w:color="auto"/>
              <w:right w:val="single" w:sz="4" w:space="0" w:color="auto"/>
            </w:tcBorders>
            <w:vAlign w:val="center"/>
          </w:tcPr>
          <w:p w14:paraId="5D81FEDC">
            <w:pPr>
              <w:pStyle w:val="style0"/>
              <w:rPr>
                <w:rFonts w:ascii="宋体"/>
                <w:szCs w:val="21"/>
              </w:rPr>
            </w:pPr>
            <w:r>
              <w:rPr>
                <w:rFonts w:ascii="宋体" w:hAnsi="宋体" w:hint="eastAsia"/>
              </w:rPr>
              <w:t>备注：</w:t>
            </w:r>
          </w:p>
          <w:p w14:paraId="11FA6834">
            <w:pPr>
              <w:pStyle w:val="style0"/>
              <w:rPr>
                <w:rFonts w:ascii="宋体"/>
              </w:rPr>
            </w:pPr>
            <w:r>
              <w:rPr>
                <w:rFonts w:ascii="宋体" w:hAnsi="宋体" w:hint="eastAsia"/>
              </w:rPr>
              <w:t>1、通过初审者为有效投标。</w:t>
            </w:r>
          </w:p>
          <w:p w14:paraId="4C2805BF">
            <w:pPr>
              <w:pStyle w:val="style0"/>
              <w:rPr>
                <w:rFonts w:ascii="宋体" w:eastAsia="宋体" w:hint="eastAsia"/>
                <w:b/>
                <w:bCs/>
                <w:color w:val="ff0000"/>
                <w:sz w:val="18"/>
                <w:szCs w:val="18"/>
                <w:lang w:eastAsia="zh-CN"/>
              </w:rPr>
            </w:pPr>
            <w:r>
              <w:rPr>
                <w:rFonts w:ascii="宋体" w:hAnsi="宋体" w:hint="eastAsia"/>
              </w:rPr>
              <w:t>2、</w:t>
            </w:r>
            <w:r>
              <w:rPr>
                <w:rFonts w:ascii="宋体" w:cs="宋体" w:hAnsi="宋体" w:hint="eastAsia"/>
                <w:color w:val="000000"/>
                <w:kern w:val="0"/>
                <w:szCs w:val="21"/>
              </w:rPr>
              <w:t>按照投标价格高低排名</w:t>
            </w:r>
            <w:r>
              <w:rPr>
                <w:rFonts w:ascii="宋体" w:cs="宋体" w:hAnsi="宋体" w:hint="eastAsia"/>
                <w:color w:val="000000"/>
                <w:kern w:val="0"/>
                <w:szCs w:val="21"/>
                <w:lang w:eastAsia="zh-CN"/>
              </w:rPr>
              <w:t>，</w:t>
            </w:r>
            <w:r>
              <w:rPr>
                <w:rFonts w:ascii="宋体" w:cs="宋体" w:eastAsia="宋体" w:hAnsi="宋体" w:hint="eastAsia"/>
                <w:b/>
                <w:bCs/>
                <w:color w:val="ff0000"/>
                <w:sz w:val="21"/>
                <w:szCs w:val="21"/>
                <w:lang w:val="en-US" w:eastAsia="zh-CN"/>
              </w:rPr>
              <w:t>技术标得分低于</w:t>
            </w:r>
            <w:r>
              <w:rPr>
                <w:rFonts w:ascii="宋体" w:cs="宋体" w:hAnsi="宋体" w:hint="eastAsia"/>
                <w:b/>
                <w:bCs/>
                <w:color w:val="ff0000"/>
                <w:sz w:val="21"/>
                <w:szCs w:val="21"/>
                <w:lang w:val="en-US" w:eastAsia="zh-CN"/>
              </w:rPr>
              <w:t>70</w:t>
            </w:r>
            <w:r>
              <w:rPr>
                <w:rFonts w:ascii="宋体" w:cs="宋体" w:eastAsia="宋体" w:hAnsi="宋体" w:hint="eastAsia"/>
                <w:b/>
                <w:bCs/>
                <w:color w:val="ff0000"/>
                <w:sz w:val="21"/>
                <w:szCs w:val="21"/>
                <w:lang w:val="en-US" w:eastAsia="zh-CN"/>
              </w:rPr>
              <w:t>分的，作淘汰处理</w:t>
            </w:r>
            <w:r>
              <w:rPr>
                <w:rFonts w:ascii="宋体" w:cs="宋体" w:hAnsi="宋体" w:hint="eastAsia"/>
                <w:color w:val="000000"/>
                <w:kern w:val="0"/>
                <w:szCs w:val="21"/>
              </w:rPr>
              <w:t>；</w:t>
            </w:r>
          </w:p>
          <w:p w14:paraId="3FCD5898">
            <w:pPr>
              <w:pStyle w:val="style0"/>
              <w:jc w:val="left"/>
              <w:textAlignment w:val="center"/>
              <w:rPr>
                <w:rFonts w:ascii="宋体" w:cs="宋体" w:hAnsi="宋体" w:hint="eastAsia"/>
                <w:i w:val="false"/>
                <w:color w:val="000000"/>
                <w:kern w:val="0"/>
                <w:sz w:val="21"/>
                <w:szCs w:val="21"/>
                <w:highlight w:val="none"/>
                <w:u w:val="none"/>
                <w:lang w:val="en-US" w:eastAsia="zh-CN"/>
              </w:rPr>
            </w:pPr>
            <w:r>
              <w:rPr>
                <w:rFonts w:ascii="宋体" w:cs="宋体" w:hAnsi="宋体" w:hint="eastAsia"/>
                <w:i w:val="false"/>
                <w:color w:val="000000"/>
                <w:kern w:val="0"/>
                <w:sz w:val="21"/>
                <w:szCs w:val="21"/>
                <w:highlight w:val="none"/>
                <w:u w:val="none"/>
                <w:lang w:val="en-US" w:eastAsia="zh-CN"/>
              </w:rPr>
              <w:t>3</w:t>
            </w:r>
            <w:r>
              <w:rPr>
                <w:rFonts w:ascii="宋体" w:cs="宋体" w:eastAsia="宋体" w:hAnsi="宋体" w:hint="eastAsia"/>
                <w:i w:val="false"/>
                <w:color w:val="000000"/>
                <w:kern w:val="0"/>
                <w:sz w:val="21"/>
                <w:szCs w:val="21"/>
                <w:highlight w:val="none"/>
                <w:u w:val="none"/>
                <w:lang w:val="en-US" w:eastAsia="zh-CN"/>
              </w:rPr>
              <w:t>.评标价格均以元（</w:t>
            </w:r>
            <w:r>
              <w:rPr>
                <w:rFonts w:ascii="宋体" w:cs="宋体" w:hAnsi="宋体" w:hint="eastAsia"/>
                <w:i w:val="false"/>
                <w:color w:val="000000"/>
                <w:kern w:val="0"/>
                <w:sz w:val="21"/>
                <w:szCs w:val="21"/>
                <w:highlight w:val="none"/>
                <w:u w:val="none"/>
                <w:lang w:val="en-US" w:eastAsia="zh-CN"/>
              </w:rPr>
              <w:t>人民币</w:t>
            </w:r>
            <w:r>
              <w:rPr>
                <w:rFonts w:ascii="宋体" w:cs="宋体" w:eastAsia="宋体" w:hAnsi="宋体" w:hint="eastAsia"/>
                <w:i w:val="false"/>
                <w:color w:val="000000"/>
                <w:kern w:val="0"/>
                <w:sz w:val="21"/>
                <w:szCs w:val="21"/>
                <w:highlight w:val="none"/>
                <w:u w:val="none"/>
                <w:lang w:val="en-US" w:eastAsia="zh-CN"/>
              </w:rPr>
              <w:t>）为单位计算，百分率、得分值小数点后保留两位，第三位四舍五入</w:t>
            </w:r>
            <w:r>
              <w:rPr>
                <w:rFonts w:ascii="宋体" w:cs="宋体" w:hAnsi="宋体" w:hint="eastAsia"/>
                <w:i w:val="false"/>
                <w:color w:val="000000"/>
                <w:kern w:val="0"/>
                <w:sz w:val="21"/>
                <w:szCs w:val="21"/>
                <w:highlight w:val="none"/>
                <w:u w:val="none"/>
                <w:lang w:val="en-US" w:eastAsia="zh-CN"/>
              </w:rPr>
              <w:t>；</w:t>
            </w:r>
          </w:p>
          <w:p w14:paraId="6685EF3A">
            <w:pPr>
              <w:pStyle w:val="style0"/>
              <w:rPr>
                <w:rFonts w:ascii="宋体" w:cs="宋体" w:eastAsia="宋体" w:hAnsi="宋体" w:hint="eastAsia"/>
                <w:i w:val="false"/>
                <w:color w:val="000000"/>
                <w:kern w:val="0"/>
                <w:sz w:val="21"/>
                <w:szCs w:val="21"/>
                <w:highlight w:val="none"/>
                <w:u w:val="none"/>
                <w:lang w:val="en-US" w:eastAsia="zh-CN"/>
              </w:rPr>
            </w:pPr>
            <w:r>
              <w:rPr>
                <w:rFonts w:ascii="宋体" w:cs="宋体" w:hAnsi="宋体" w:hint="eastAsia"/>
                <w:i w:val="false"/>
                <w:color w:val="000000"/>
                <w:kern w:val="0"/>
                <w:sz w:val="21"/>
                <w:szCs w:val="21"/>
                <w:highlight w:val="none"/>
                <w:u w:val="none"/>
                <w:lang w:val="en-US" w:eastAsia="zh-CN"/>
              </w:rPr>
              <w:t>4</w:t>
            </w:r>
            <w:r>
              <w:rPr>
                <w:rFonts w:ascii="宋体" w:cs="宋体" w:eastAsia="宋体" w:hAnsi="宋体" w:hint="eastAsia"/>
                <w:i w:val="false"/>
                <w:color w:val="000000"/>
                <w:kern w:val="0"/>
                <w:sz w:val="21"/>
                <w:szCs w:val="21"/>
                <w:highlight w:val="none"/>
                <w:u w:val="none"/>
                <w:lang w:val="en-US" w:eastAsia="zh-CN"/>
              </w:rPr>
              <w:t>.评标委员会二分之一以上人员认为某投标总报价有低于成本价嫌疑的，视为无效报价，不进入下一步评审。</w:t>
            </w:r>
          </w:p>
          <w:p w14:paraId="43DD9BB2">
            <w:pPr>
              <w:pStyle w:val="style0"/>
              <w:rPr>
                <w:rFonts w:ascii="宋体"/>
                <w:szCs w:val="21"/>
              </w:rPr>
            </w:pPr>
            <w:r>
              <w:rPr>
                <w:rFonts w:ascii="宋体" w:hAnsi="宋体" w:hint="eastAsia"/>
                <w:lang w:val="en-US" w:eastAsia="zh-CN"/>
              </w:rPr>
              <w:t>5</w:t>
            </w:r>
            <w:r>
              <w:rPr>
                <w:rFonts w:ascii="宋体" w:hAnsi="宋体" w:hint="eastAsia"/>
              </w:rPr>
              <w:t>、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361950C2">
      <w:pPr>
        <w:pStyle w:val="style90"/>
        <w:spacing w:lineRule="auto" w:line="360"/>
        <w:rPr>
          <w:rFonts w:ascii="黑体" w:eastAsia="黑体"/>
          <w:b/>
          <w:bCs/>
          <w:sz w:val="28"/>
        </w:rPr>
      </w:pPr>
      <w:r>
        <w:rPr>
          <w:rFonts w:ascii="黑体" w:eastAsia="黑体" w:hint="eastAsia"/>
          <w:b/>
          <w:bCs/>
          <w:sz w:val="28"/>
        </w:rPr>
        <w:t>八、合同签订</w:t>
      </w:r>
    </w:p>
    <w:p w14:paraId="5B695F56">
      <w:pPr>
        <w:pStyle w:val="style90"/>
        <w:spacing w:lineRule="auto" w:line="360"/>
        <w:ind w:firstLine="420" w:firstLineChars="200"/>
        <w:rPr/>
      </w:pPr>
      <w:r>
        <w:rPr>
          <w:rFonts w:hint="eastAsia"/>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08CE87B2">
      <w:pPr>
        <w:pStyle w:val="style90"/>
        <w:spacing w:lineRule="auto" w:line="360"/>
        <w:ind w:firstLine="420" w:firstLineChars="200"/>
        <w:rPr>
          <w:rFonts w:hAnsi="宋体"/>
          <w:szCs w:val="21"/>
        </w:rPr>
      </w:pPr>
      <w:r>
        <w:rPr>
          <w:rFonts w:hAnsi="宋体" w:hint="eastAsia"/>
          <w:szCs w:val="21"/>
        </w:rPr>
        <w:t>2.招标人发送《中标通知书》给中标人，中标人应及时与招标人联系，在规定的时间内（一般为接到《中标通知书》后2个工作日内）到招标单位进行项目对接，如果中标人接到《中标通知书》后，无正当理由拒绝按其规定的期限与相关单位签订合同或在签订合同时向招标人或相关单位提出附加条件或者更改合同实质性内容的，</w:t>
      </w:r>
      <w:r>
        <w:t>投标保证金不予返还</w:t>
      </w:r>
      <w:r>
        <w:rPr>
          <w:rFonts w:hint="eastAsia"/>
        </w:rPr>
        <w:t>，</w:t>
      </w:r>
      <w:r>
        <w:rPr>
          <w:rFonts w:hAnsi="宋体" w:hint="eastAsia"/>
          <w:szCs w:val="21"/>
        </w:rPr>
        <w:t>招标人有权取消其中标资格，招标人将从剩余投标人中依序重新确定中标人，或重新组织招标。</w:t>
      </w:r>
    </w:p>
    <w:p w14:paraId="572D4A9D">
      <w:pPr>
        <w:pStyle w:val="style90"/>
        <w:spacing w:lineRule="auto" w:line="360"/>
        <w:ind w:firstLine="420" w:firstLineChars="200"/>
        <w:rPr>
          <w:rFonts w:hAnsi="宋体"/>
          <w:szCs w:val="21"/>
        </w:rPr>
      </w:pPr>
      <w:r>
        <w:rPr>
          <w:rFonts w:hAnsi="宋体" w:hint="eastAsia"/>
          <w:szCs w:val="21"/>
        </w:rPr>
        <w:t>3.中标人应当按照合同约定的履约责任，质保期内</w:t>
      </w:r>
      <w:r>
        <w:rPr>
          <w:rFonts w:hAnsi="宋体" w:hint="eastAsia"/>
        </w:rPr>
        <w:t>如中标人未按合同及其附件约定履行应承担的责任</w:t>
      </w:r>
      <w:r>
        <w:rPr>
          <w:rFonts w:hAnsi="宋体" w:hint="eastAsia"/>
          <w:szCs w:val="21"/>
        </w:rPr>
        <w:t>，</w:t>
      </w:r>
      <w:r>
        <w:rPr>
          <w:rFonts w:hAnsi="宋体" w:hint="eastAsia"/>
        </w:rPr>
        <w:t>招标人或招标人指定的合同签订单位有权扣除其质保金</w:t>
      </w:r>
      <w:r>
        <w:rPr>
          <w:rFonts w:hAnsi="宋体" w:hint="eastAsia"/>
          <w:szCs w:val="21"/>
        </w:rPr>
        <w:t>。</w:t>
      </w:r>
    </w:p>
    <w:p w14:paraId="181173C8">
      <w:pPr>
        <w:pStyle w:val="style90"/>
        <w:spacing w:lineRule="auto" w:line="360"/>
        <w:ind w:firstLine="420" w:firstLineChars="200"/>
        <w:rPr>
          <w:rFonts w:hAnsi="宋体"/>
          <w:szCs w:val="21"/>
        </w:rPr>
      </w:pPr>
      <w:r>
        <w:rPr>
          <w:rFonts w:hAnsi="宋体" w:hint="eastAsia"/>
          <w:szCs w:val="21"/>
        </w:rPr>
        <w:t>4.中标人应在保证质量的前提下完成中标项目，不得将中标项目转包或分包给他人，否则视为违约，招标人或相关单位有权解除合同。</w:t>
      </w:r>
    </w:p>
    <w:p w14:paraId="428DBAE4">
      <w:pPr>
        <w:pStyle w:val="style90"/>
        <w:spacing w:lineRule="auto" w:line="360"/>
        <w:ind w:firstLine="420" w:firstLineChars="200"/>
        <w:rPr>
          <w:rFonts w:hAnsi="宋体"/>
          <w:szCs w:val="21"/>
        </w:rPr>
      </w:pPr>
      <w:r>
        <w:rPr>
          <w:rFonts w:hAnsi="宋体" w:hint="eastAsia"/>
          <w:szCs w:val="21"/>
        </w:rPr>
        <w:t>5.在</w:t>
      </w:r>
      <w:r>
        <w:rPr>
          <w:rFonts w:hint="eastAsia"/>
          <w:szCs w:val="21"/>
        </w:rPr>
        <w:t>履行</w:t>
      </w:r>
      <w:r>
        <w:rPr>
          <w:rFonts w:hAnsi="宋体" w:hint="eastAsia"/>
          <w:szCs w:val="21"/>
        </w:rPr>
        <w:t>合同过程中，中标人</w:t>
      </w:r>
      <w:r>
        <w:rPr>
          <w:rFonts w:hint="eastAsia"/>
          <w:szCs w:val="21"/>
        </w:rPr>
        <w:t>由于履行义务的能力或信用有严重缺陷，</w:t>
      </w:r>
      <w:r>
        <w:rPr>
          <w:rFonts w:hAnsi="宋体" w:hint="eastAsia"/>
          <w:szCs w:val="21"/>
        </w:rPr>
        <w:t>招标人有权解除合同并取消其中标资格，招标人将从剩余投标人中依序重新确定中标人，或重新组织招标。</w:t>
      </w:r>
    </w:p>
    <w:p w14:paraId="4931F992">
      <w:pPr>
        <w:pStyle w:val="style90"/>
        <w:spacing w:lineRule="auto" w:line="360"/>
        <w:ind w:firstLine="420" w:firstLineChars="200"/>
        <w:rPr>
          <w:rFonts w:hAnsi="宋体"/>
          <w:szCs w:val="21"/>
        </w:rPr>
      </w:pPr>
      <w:r>
        <w:rPr>
          <w:rFonts w:hAnsi="宋体" w:hint="eastAsia"/>
          <w:szCs w:val="21"/>
        </w:rPr>
        <w:t>6.招标人有权指定招标人的关联单位作为合同签订人，与中标人签署相关合同，且具体权利义务以双方最终签署的合同为准。</w:t>
      </w:r>
    </w:p>
    <w:p w14:paraId="3FF0F636">
      <w:pPr>
        <w:pStyle w:val="style90"/>
        <w:spacing w:lineRule="auto" w:line="360"/>
        <w:ind w:firstLine="420" w:firstLineChars="200"/>
        <w:rPr>
          <w:rFonts w:hint="eastAsia"/>
        </w:rPr>
      </w:pPr>
      <w:r>
        <w:rPr>
          <w:rFonts w:hint="eastAsia"/>
        </w:rPr>
        <w:t>7.中标人须认可招标人由于招标人上级集团公司政策变化引起的随时终止项目的要求。</w:t>
      </w:r>
    </w:p>
    <w:p w14:paraId="481FBEAF">
      <w:pPr>
        <w:pStyle w:val="style90"/>
        <w:spacing w:lineRule="auto" w:line="360"/>
        <w:ind w:firstLine="420" w:firstLineChars="200"/>
        <w:rPr>
          <w:rFonts w:hint="eastAsia"/>
        </w:rPr>
      </w:pPr>
      <w:r>
        <w:rPr>
          <w:rFonts w:ascii="宋体" w:eastAsia="宋体" w:hint="eastAsia"/>
          <w:highlight w:val="yellow"/>
          <w:lang w:val="en-US" w:eastAsia="zh-CN"/>
        </w:rPr>
        <w:t>8.</w:t>
      </w:r>
      <w:r>
        <w:rPr>
          <w:rFonts w:hint="eastAsia"/>
          <w:highlight w:val="yellow"/>
          <w:lang w:val="en-US" w:eastAsia="zh-CN"/>
        </w:rPr>
        <w:t>合同有效期发布中标之日起，截至到2027年10月31日，具体以签订合同为准。</w:t>
      </w:r>
    </w:p>
    <w:p w14:paraId="726AC1B2">
      <w:pPr>
        <w:pStyle w:val="style90"/>
        <w:spacing w:lineRule="auto" w:line="360"/>
        <w:rPr>
          <w:rFonts w:ascii="黑体" w:eastAsia="黑体"/>
          <w:b/>
          <w:bCs/>
          <w:sz w:val="28"/>
        </w:rPr>
      </w:pPr>
      <w:r>
        <w:rPr>
          <w:rFonts w:ascii="黑体" w:eastAsia="黑体" w:hint="eastAsia"/>
          <w:b/>
          <w:bCs/>
          <w:sz w:val="28"/>
        </w:rPr>
        <w:t>九、废标及终止招标</w:t>
      </w:r>
    </w:p>
    <w:p w14:paraId="7F881EA7">
      <w:pPr>
        <w:pStyle w:val="style0"/>
        <w:spacing w:lineRule="exact" w:line="520"/>
        <w:ind w:right="2" w:firstLine="420" w:firstLineChars="200"/>
        <w:rPr>
          <w:rFonts w:ascii="宋体" w:hAnsi="Courier New"/>
        </w:rPr>
      </w:pPr>
      <w:r>
        <w:rPr>
          <w:rFonts w:ascii="宋体" w:hAnsi="Courier New" w:hint="eastAsia"/>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8B52D55">
      <w:pPr>
        <w:pStyle w:val="style0"/>
        <w:spacing w:lineRule="exact" w:line="520"/>
        <w:ind w:right="2" w:firstLine="420" w:firstLineChars="200"/>
        <w:rPr>
          <w:rFonts w:ascii="宋体" w:hAnsi="Courier New"/>
        </w:rPr>
      </w:pPr>
      <w:r>
        <w:rPr>
          <w:rFonts w:ascii="宋体" w:hAnsi="宋体" w:hint="eastAsia"/>
        </w:rPr>
        <w:t>⑴</w:t>
      </w:r>
      <w:r>
        <w:rPr>
          <w:rFonts w:ascii="宋体" w:hAnsi="Courier New" w:hint="eastAsia"/>
        </w:rPr>
        <w:t>投标人提供的有关资格、资质证明文件不合格、不真实或提供虚假投标材料；</w:t>
      </w:r>
    </w:p>
    <w:p w14:paraId="22F0C3A8">
      <w:pPr>
        <w:pStyle w:val="style0"/>
        <w:spacing w:lineRule="exact" w:line="520"/>
        <w:ind w:right="2" w:firstLine="420" w:firstLineChars="200"/>
        <w:rPr>
          <w:rFonts w:ascii="宋体" w:hAnsi="Courier New"/>
        </w:rPr>
      </w:pPr>
      <w:r>
        <w:rPr>
          <w:rFonts w:ascii="宋体" w:hAnsi="宋体" w:hint="eastAsia"/>
        </w:rPr>
        <w:t>⑵</w:t>
      </w:r>
      <w:r>
        <w:rPr>
          <w:rFonts w:ascii="宋体" w:hAnsi="Courier New" w:hint="eastAsia"/>
        </w:rPr>
        <w:t>投标人在报价有效期内撤回投标；</w:t>
      </w:r>
    </w:p>
    <w:p w14:paraId="7C5D61CA">
      <w:pPr>
        <w:pStyle w:val="style0"/>
        <w:spacing w:lineRule="exact" w:line="520"/>
        <w:ind w:right="2" w:firstLine="420" w:firstLineChars="200"/>
        <w:rPr>
          <w:rFonts w:ascii="宋体" w:hAnsi="Courier New"/>
        </w:rPr>
      </w:pPr>
      <w:r>
        <w:rPr>
          <w:rFonts w:ascii="宋体" w:hAnsi="宋体" w:hint="eastAsia"/>
        </w:rPr>
        <w:t>⑶</w:t>
      </w:r>
      <w:r>
        <w:rPr>
          <w:rFonts w:ascii="宋体" w:hAnsi="Courier New" w:hint="eastAsia"/>
        </w:rPr>
        <w:t>在整个评标过程中，投标人有企图影响评标结果公正性的任何活动；</w:t>
      </w:r>
    </w:p>
    <w:p w14:paraId="69AF40B3">
      <w:pPr>
        <w:pStyle w:val="style0"/>
        <w:spacing w:lineRule="exact" w:line="520"/>
        <w:ind w:right="2" w:firstLine="420" w:firstLineChars="200"/>
        <w:rPr>
          <w:rFonts w:ascii="宋体" w:hAnsi="Courier New"/>
        </w:rPr>
      </w:pPr>
      <w:r>
        <w:rPr>
          <w:rFonts w:ascii="宋体" w:hAnsi="宋体" w:hint="eastAsia"/>
        </w:rPr>
        <w:t>⑷</w:t>
      </w:r>
      <w:r>
        <w:rPr>
          <w:rFonts w:ascii="宋体" w:hAnsi="Courier New" w:hint="eastAsia"/>
        </w:rPr>
        <w:t>投标人以任何方式诋毁其他投标人；</w:t>
      </w:r>
    </w:p>
    <w:p w14:paraId="043E3743">
      <w:pPr>
        <w:pStyle w:val="style0"/>
        <w:spacing w:lineRule="exact" w:line="520"/>
        <w:ind w:right="2" w:firstLine="420" w:firstLineChars="200"/>
        <w:rPr>
          <w:rFonts w:ascii="宋体" w:hAnsi="Courier New"/>
        </w:rPr>
      </w:pPr>
      <w:r>
        <w:rPr>
          <w:rFonts w:ascii="宋体" w:hAnsi="宋体" w:hint="eastAsia"/>
        </w:rPr>
        <w:t>⑸</w:t>
      </w:r>
      <w:r>
        <w:rPr>
          <w:rFonts w:ascii="宋体" w:hAnsi="Courier New" w:hint="eastAsia"/>
        </w:rPr>
        <w:t>投标人串通投标；</w:t>
      </w:r>
    </w:p>
    <w:p w14:paraId="14438A2E">
      <w:pPr>
        <w:pStyle w:val="style0"/>
        <w:spacing w:lineRule="exact" w:line="520"/>
        <w:ind w:right="2" w:firstLine="420" w:firstLineChars="200"/>
        <w:rPr>
          <w:rFonts w:ascii="宋体" w:hAnsi="Courier New"/>
        </w:rPr>
      </w:pPr>
      <w:r>
        <w:rPr>
          <w:rFonts w:ascii="宋体" w:hAnsi="Courier New" w:hint="eastAsia"/>
        </w:rPr>
        <w:t>⑹投标人负责人为同一人或者存在控股、管理关系的不同单位；</w:t>
      </w:r>
    </w:p>
    <w:p w14:paraId="7EBAD719">
      <w:pPr>
        <w:pStyle w:val="style0"/>
        <w:spacing w:lineRule="exact" w:line="520"/>
        <w:ind w:right="2" w:firstLine="420" w:firstLineChars="200"/>
        <w:rPr>
          <w:rFonts w:ascii="宋体" w:hAnsi="Courier New"/>
        </w:rPr>
      </w:pPr>
      <w:r>
        <w:rPr>
          <w:rFonts w:ascii="宋体" w:hAnsi="宋体" w:hint="eastAsia"/>
        </w:rPr>
        <w:t>⑺</w:t>
      </w:r>
      <w:r>
        <w:rPr>
          <w:rFonts w:ascii="宋体" w:hAnsi="Courier New" w:hint="eastAsia"/>
        </w:rPr>
        <w:t>以他人名义投标或者以其他方式弄虚作假，骗取中标的；</w:t>
      </w:r>
    </w:p>
    <w:bookmarkStart w:id="2" w:name="_Hlk80690793"/>
    <w:p w14:paraId="52980202">
      <w:pPr>
        <w:pStyle w:val="style0"/>
        <w:spacing w:lineRule="exact" w:line="520"/>
        <w:ind w:right="2" w:firstLine="420" w:firstLineChars="200"/>
        <w:rPr>
          <w:rFonts w:ascii="宋体" w:hAnsi="Courier New"/>
        </w:rPr>
      </w:pPr>
      <w:r>
        <w:rPr>
          <w:rFonts w:ascii="宋体" w:hAnsi="宋体" w:hint="eastAsia"/>
        </w:rPr>
        <w:t>⑻</w:t>
      </w:r>
      <w:bookmarkEnd w:id="2"/>
      <w:r>
        <w:rPr>
          <w:rFonts w:ascii="宋体" w:hAnsi="Courier New" w:hint="eastAsia"/>
        </w:rPr>
        <w:t>中标人不按规定签订合同；</w:t>
      </w:r>
    </w:p>
    <w:p w14:paraId="3C82D2A6">
      <w:pPr>
        <w:pStyle w:val="style0"/>
        <w:spacing w:lineRule="exact" w:line="520"/>
        <w:ind w:right="2" w:firstLine="420" w:firstLineChars="200"/>
        <w:rPr>
          <w:rFonts w:ascii="宋体" w:hAnsi="宋体" w:hint="eastAsia"/>
          <w:lang w:val="en-US" w:eastAsia="zh-CN"/>
        </w:rPr>
      </w:pPr>
      <w:r>
        <w:rPr>
          <w:rFonts w:ascii="宋体" w:hAnsi="宋体" w:hint="eastAsia"/>
          <w:lang w:val="en-US" w:eastAsia="zh-CN"/>
        </w:rPr>
        <w:t>⑼被其他投标人举报、检举，并经查实属实的；</w:t>
      </w:r>
    </w:p>
    <w:p w14:paraId="16F43B26">
      <w:pPr>
        <w:pStyle w:val="style0"/>
        <w:spacing w:lineRule="exact" w:line="520"/>
        <w:ind w:right="2" w:firstLine="420" w:firstLineChars="200"/>
        <w:rPr>
          <w:rFonts w:ascii="宋体" w:hAnsi="宋体" w:hint="eastAsia"/>
          <w:lang w:val="en-US" w:eastAsia="zh-CN"/>
        </w:rPr>
      </w:pPr>
      <w:r>
        <w:rPr>
          <w:rFonts w:ascii="宋体" w:hAnsi="宋体" w:hint="eastAsia"/>
          <w:lang w:val="en-US" w:eastAsia="zh-CN"/>
        </w:rPr>
        <w:t>⑽法律、法规规定的其他情况；</w:t>
      </w:r>
    </w:p>
    <w:p w14:paraId="5644FA43">
      <w:pPr>
        <w:pStyle w:val="style0"/>
        <w:spacing w:lineRule="exact" w:line="520"/>
        <w:ind w:right="2" w:firstLine="420" w:firstLineChars="200"/>
        <w:rPr>
          <w:rFonts w:ascii="宋体" w:hAnsi="宋体" w:hint="eastAsia"/>
          <w:lang w:val="en-US" w:eastAsia="zh-CN"/>
        </w:rPr>
      </w:pPr>
      <w:r>
        <w:rPr>
          <w:rFonts w:ascii="宋体" w:hAnsi="宋体" w:hint="eastAsia"/>
          <w:lang w:val="en-US" w:eastAsia="zh-CN"/>
        </w:rPr>
        <w:t>⑾评标委员会经评审，认为所有投标都不符合招标文件要求的；</w:t>
      </w:r>
    </w:p>
    <w:p w14:paraId="28A163D0">
      <w:pPr>
        <w:pStyle w:val="style0"/>
        <w:spacing w:lineRule="exact" w:line="520"/>
        <w:ind w:right="2" w:firstLine="420" w:firstLineChars="200"/>
        <w:rPr>
          <w:rFonts w:hint="eastAsia"/>
          <w:lang w:val="en-US" w:eastAsia="zh-CN"/>
        </w:rPr>
      </w:pPr>
      <w:r>
        <w:rPr>
          <w:rFonts w:ascii="宋体" w:hAnsi="宋体" w:hint="eastAsia"/>
          <w:lang w:val="en-US" w:eastAsia="zh-CN"/>
        </w:rPr>
        <w:t>⑿投标人承诺并同意因招标人公司政策变化引起的随时终止项目的情形，并自行承担由此带来的一切损失。</w:t>
      </w:r>
    </w:p>
    <w:p w14:paraId="2BDCD5FC">
      <w:pPr>
        <w:pStyle w:val="style0"/>
        <w:spacing w:lineRule="exact" w:line="520"/>
        <w:ind w:right="2" w:firstLine="420" w:firstLineChars="200"/>
        <w:rPr>
          <w:rFonts w:ascii="宋体" w:hAnsi="Courier New"/>
        </w:rPr>
      </w:pPr>
      <w:r>
        <w:rPr>
          <w:rFonts w:ascii="宋体" w:hAnsi="Courier New" w:hint="eastAsia"/>
        </w:rPr>
        <w:t>2.出现下列情形之一，招标人有权否决所有投标人的投标，并终止招标。</w:t>
      </w:r>
    </w:p>
    <w:p w14:paraId="374C0CD6">
      <w:pPr>
        <w:pStyle w:val="style0"/>
        <w:spacing w:lineRule="exact" w:line="520"/>
        <w:ind w:right="2" w:firstLine="420" w:firstLineChars="200"/>
        <w:rPr>
          <w:rFonts w:ascii="宋体" w:hAnsi="Courier New"/>
        </w:rPr>
      </w:pPr>
      <w:r>
        <w:rPr>
          <w:rFonts w:ascii="宋体" w:hAnsi="Courier New" w:hint="eastAsia"/>
        </w:rPr>
        <w:t>⑴出现影响采购公正的违法、违规行为的。</w:t>
      </w:r>
    </w:p>
    <w:p w14:paraId="4EEA5949">
      <w:pPr>
        <w:pStyle w:val="style0"/>
        <w:spacing w:lineRule="exact" w:line="520"/>
        <w:ind w:right="2" w:firstLine="420" w:firstLineChars="200"/>
        <w:rPr>
          <w:rFonts w:ascii="宋体" w:hAnsi="Courier New"/>
        </w:rPr>
      </w:pPr>
      <w:r>
        <w:rPr>
          <w:rFonts w:ascii="宋体" w:hAnsi="Courier New" w:hint="eastAsia"/>
        </w:rPr>
        <w:t>⑵符合条件的投标人或者对招标文件做实质响应的投标人不足三家的。</w:t>
      </w:r>
    </w:p>
    <w:p w14:paraId="2A6DA592">
      <w:pPr>
        <w:pStyle w:val="style0"/>
        <w:spacing w:lineRule="exact" w:line="520"/>
        <w:ind w:right="2" w:firstLine="420" w:firstLineChars="200"/>
        <w:rPr>
          <w:rFonts w:ascii="宋体" w:hAnsi="Courier New"/>
        </w:rPr>
      </w:pPr>
      <w:r>
        <w:rPr>
          <w:rFonts w:ascii="宋体" w:hAnsi="宋体" w:hint="eastAsia"/>
        </w:rPr>
        <w:t>⑶评标委员会经评审，认为所有投标都不符合招标文件要求的。</w:t>
      </w:r>
    </w:p>
    <w:p w14:paraId="5863ED49">
      <w:pPr>
        <w:pStyle w:val="style0"/>
        <w:spacing w:lineRule="exact" w:line="520"/>
        <w:ind w:right="2" w:firstLine="420" w:firstLineChars="200"/>
        <w:rPr>
          <w:rFonts w:ascii="宋体" w:hAnsi="Courier New"/>
        </w:rPr>
      </w:pPr>
      <w:r>
        <w:rPr>
          <w:rFonts w:ascii="宋体" w:hAnsi="宋体" w:hint="eastAsia"/>
        </w:rPr>
        <w:t>⑷</w:t>
      </w:r>
      <w:r>
        <w:rPr>
          <w:rFonts w:ascii="宋体" w:hAnsi="Courier New" w:hint="eastAsia"/>
        </w:rPr>
        <w:t>因重大变故，采购任务取消的。</w:t>
      </w:r>
    </w:p>
    <w:p w14:paraId="76F40C5F">
      <w:pPr>
        <w:pStyle w:val="style0"/>
        <w:spacing w:lineRule="exact" w:line="520"/>
        <w:ind w:right="2" w:firstLine="420" w:firstLineChars="200"/>
        <w:rPr>
          <w:rFonts w:ascii="宋体" w:hAnsi="Courier New"/>
        </w:rPr>
      </w:pPr>
      <w:r>
        <w:rPr>
          <w:rFonts w:ascii="宋体" w:hAnsi="宋体" w:hint="eastAsia"/>
        </w:rPr>
        <w:t>⑸招标人认为其他应终止招标的情形。</w:t>
      </w:r>
    </w:p>
    <w:p w14:paraId="1EDC7561">
      <w:pPr>
        <w:pStyle w:val="style90"/>
        <w:spacing w:lineRule="auto" w:line="360"/>
        <w:rPr>
          <w:rFonts w:ascii="黑体" w:eastAsia="黑体"/>
          <w:b/>
          <w:bCs/>
          <w:sz w:val="28"/>
        </w:rPr>
      </w:pPr>
      <w:r>
        <w:rPr>
          <w:rFonts w:ascii="黑体" w:eastAsia="黑体" w:hint="eastAsia"/>
          <w:b/>
          <w:bCs/>
          <w:sz w:val="28"/>
        </w:rPr>
        <w:t>十、中标人瑕疵滞后发现的处理原则</w:t>
      </w:r>
    </w:p>
    <w:p w14:paraId="6AAD6EEE">
      <w:pPr>
        <w:pStyle w:val="style0"/>
        <w:spacing w:lineRule="exact" w:line="520"/>
        <w:ind w:right="2" w:firstLine="420" w:firstLineChars="200"/>
        <w:rPr>
          <w:rFonts w:ascii="宋体" w:eastAsia="宋体" w:hAnsi="Courier New" w:hint="default"/>
          <w:lang w:val="en-US" w:eastAsia="zh-CN"/>
        </w:rPr>
      </w:pPr>
      <w:r>
        <w:rPr>
          <w:rFonts w:ascii="宋体" w:hAnsi="Courier New" w:hint="eastAsia"/>
        </w:rPr>
        <w:t>无论基于何种原因，各项本应作为拒绝处理的情形即便未被及时发现而使该中标人通过了资格审核、初评、现场复审、终评或其他所有相关程序，包括已签订合同的情形，招标人均有权拒绝或取消中标人资格</w:t>
      </w:r>
      <w:r>
        <w:rPr>
          <w:rFonts w:ascii="宋体" w:hAnsi="Courier New" w:hint="eastAsia"/>
          <w:lang w:eastAsia="zh-CN"/>
        </w:rPr>
        <w:t>，</w:t>
      </w:r>
      <w:r>
        <w:rPr>
          <w:rFonts w:ascii="宋体" w:hAnsi="Courier New" w:hint="eastAsia"/>
        </w:rPr>
        <w:t>一旦中标人被拒绝或该中标人此前的评议结果被取消，相关的一切损失均由该中标人承担</w:t>
      </w:r>
      <w:r>
        <w:rPr>
          <w:rFonts w:ascii="宋体" w:hAnsi="Courier New" w:hint="eastAsia"/>
          <w:lang w:eastAsia="zh-CN"/>
        </w:rPr>
        <w:t>，本次招标最终解释权归中国重汽集团</w:t>
      </w:r>
      <w:r>
        <w:rPr>
          <w:rFonts w:ascii="宋体" w:hAnsi="Courier New" w:hint="eastAsia"/>
          <w:lang w:val="en-US" w:eastAsia="zh-CN"/>
        </w:rPr>
        <w:t>制造工程部。</w:t>
      </w:r>
    </w:p>
    <w:p w14:paraId="6B14A080">
      <w:pPr>
        <w:pStyle w:val="style90"/>
        <w:spacing w:lineRule="auto" w:line="360"/>
        <w:rPr>
          <w:rFonts w:ascii="黑体" w:eastAsia="黑体"/>
          <w:b/>
          <w:bCs/>
          <w:sz w:val="28"/>
        </w:rPr>
      </w:pPr>
      <w:r>
        <w:rPr>
          <w:rFonts w:ascii="黑体" w:eastAsia="黑体" w:hint="eastAsia"/>
          <w:b/>
          <w:bCs/>
          <w:sz w:val="28"/>
        </w:rPr>
        <w:t>十一、技术要求</w:t>
      </w:r>
    </w:p>
    <w:p w14:paraId="6768881B">
      <w:pPr>
        <w:pStyle w:val="style90"/>
        <w:spacing w:lineRule="auto" w:line="360"/>
        <w:ind w:left="420" w:hanging="420" w:hangingChars="200"/>
        <w:rPr>
          <w:rFonts w:hint="eastAsia"/>
        </w:rPr>
      </w:pPr>
      <w:r>
        <w:rPr>
          <w:rFonts w:hint="eastAsia"/>
        </w:rPr>
        <w:t xml:space="preserve">    见本招标文件“第三章 技术协议书”，附后。</w:t>
      </w:r>
    </w:p>
    <w:p w14:paraId="101F7026">
      <w:pPr>
        <w:pStyle w:val="style90"/>
        <w:spacing w:lineRule="auto" w:line="360"/>
        <w:rPr>
          <w:rFonts w:ascii="黑体" w:eastAsia="黑体"/>
          <w:b/>
          <w:bCs/>
          <w:sz w:val="28"/>
        </w:rPr>
      </w:pPr>
      <w:r>
        <w:rPr>
          <w:rFonts w:ascii="黑体" w:eastAsia="黑体"/>
          <w:b/>
          <w:bCs/>
          <w:sz w:val="28"/>
        </w:rPr>
        <w:t>十二</w:t>
      </w:r>
      <w:r>
        <w:rPr>
          <w:rFonts w:ascii="黑体" w:eastAsia="黑体" w:hint="eastAsia"/>
          <w:b/>
          <w:bCs/>
          <w:sz w:val="28"/>
        </w:rPr>
        <w:t>、</w:t>
      </w:r>
      <w:r>
        <w:rPr>
          <w:rFonts w:ascii="黑体" w:eastAsia="黑体"/>
          <w:b/>
          <w:bCs/>
          <w:sz w:val="28"/>
        </w:rPr>
        <w:t>解释权</w:t>
      </w:r>
    </w:p>
    <w:p w14:paraId="520DAFCD">
      <w:pPr>
        <w:pStyle w:val="style90"/>
        <w:numPr>
          <w:ilvl w:val="0"/>
          <w:numId w:val="4"/>
        </w:numPr>
        <w:spacing w:lineRule="auto" w:line="360"/>
        <w:ind w:left="0" w:firstLine="426"/>
        <w:rPr>
          <w:rFonts w:hAnsi="Times New Roman"/>
        </w:rPr>
      </w:pPr>
      <w:r>
        <w:rPr>
          <w:rFonts w:hAnsi="Times New Roman" w:hint="eastAsia"/>
        </w:rPr>
        <w:t>本招标文件的最终解释权归招标人，当对一个问题有多种解释时以招标人的书面解释为准。</w:t>
      </w:r>
    </w:p>
    <w:p w14:paraId="789D2AD2">
      <w:pPr>
        <w:pStyle w:val="style90"/>
        <w:numPr>
          <w:ilvl w:val="0"/>
          <w:numId w:val="4"/>
        </w:numPr>
        <w:spacing w:lineRule="auto" w:line="360"/>
        <w:ind w:left="0" w:firstLine="426"/>
        <w:rPr>
          <w:rFonts w:hint="eastAsia"/>
          <w:szCs w:val="22"/>
        </w:rPr>
      </w:pPr>
      <w:r>
        <w:rPr>
          <w:rFonts w:hAnsi="Times New Roman" w:hint="eastAsia"/>
        </w:rPr>
        <w:t>招标文件未做须知明示，而又有相关法律、法规规定的，招标人对此所做解释以相关的法律、法规规定为依据。</w:t>
      </w:r>
    </w:p>
    <w:sectPr>
      <w:headerReference w:type="default" r:id="rId2"/>
      <w:footerReference w:type="even" r:id="rId3"/>
      <w:footerReference w:type="default" r:id="rId4"/>
      <w:headerReference w:type="first" r:id="rId5"/>
      <w:footerReference w:type="first" r:id="rId6"/>
      <w:pgSz w:w="11906" w:h="16838" w:orient="portrait"/>
      <w:pgMar w:top="1701" w:right="1418" w:bottom="1134" w:left="1418" w:header="851" w:footer="896"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default"/>
    <w:sig w:usb0="E0002EFF" w:usb1="C000785B" w:usb2="00000009" w:usb3="00000000" w:csb0="400001FF" w:csb1="FFFF0000"/>
  </w:font>
  <w:font w:name="宋体">
    <w:altName w:val="宋体"/>
    <w:panose1 w:val="02010600030001010101"/>
    <w:charset w:val="52"/>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仿宋_GB2312">
    <w:altName w:val="仿宋_GB2312"/>
    <w:panose1 w:val="02010609030001010101"/>
    <w:charset w:val="86"/>
    <w:family w:val="modern"/>
    <w:pitch w:val="default"/>
    <w:sig w:usb0="00000001" w:usb1="080E0000" w:usb2="00000000" w:usb3="00000000" w:csb0="00040000" w:csb1="00000000"/>
  </w:font>
  <w:font w:name="Verdana">
    <w:altName w:val="Verdana"/>
    <w:panose1 w:val="020b0604030005040204"/>
    <w:charset w:val="00"/>
    <w:family w:val="swiss"/>
    <w:pitch w:val="default"/>
    <w:sig w:usb0="A00006FF" w:usb1="4000205B" w:usb2="00000010" w:usb3="00000000" w:csb0="2000019F" w:csb1="00000000"/>
  </w:font>
  <w:font w:name="华文仿宋">
    <w:altName w:val="华文仿宋"/>
    <w:panose1 w:val="02010600040001010101"/>
    <w:charset w:val="86"/>
    <w:family w:val="auto"/>
    <w:pitch w:val="default"/>
    <w:sig w:usb0="00000287" w:usb1="080F0000" w:usb2="00000000" w:usb3="00000000" w:csb0="0004009F" w:csb1="DFD70000"/>
  </w:font>
  <w:font w:name="Wingdings 2">
    <w:altName w:val="Wingdings 2"/>
    <w:panose1 w:val="05020102010005070707"/>
    <w:charset w:val="02"/>
    <w:family w:val="roman"/>
    <w:pitch w:val="default"/>
    <w:sig w:usb0="00000000" w:usb1="00000000" w:usb2="00000000" w:usb3="00000000" w:csb0="80000000" w:csb1="00000000"/>
  </w:font>
  <w:font w:name="微软雅黑">
    <w:altName w:val="微软雅黑"/>
    <w:panose1 w:val="020b0503020002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altName w:val="楷体"/>
    <w:panose1 w:val="02010609060001010101"/>
    <w:charset w:val="86"/>
    <w:family w:val="auto"/>
    <w:pitch w:val="default"/>
    <w:sig w:usb0="800002BF" w:usb1="38CF7CFA" w:usb2="00000016" w:usb3="00000000" w:csb0="00040001" w:csb1="00000000"/>
  </w:font>
  <w:font w:name="KSOFF9CBECC6">
    <w:altName w:val="KSOFF9CBECC6"/>
    <w:panose1 w:val="02010609060001010101"/>
    <w:charset w:val="86"/>
    <w:family w:val="auto"/>
    <w:pitch w:val="default"/>
    <w:sig w:usb0="00000001" w:usb1="00000000" w:usb2="00000000" w:usb3="00000000" w:csb0="0004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AEECF58">
    <w:pPr>
      <w:pStyle w:val="style32"/>
      <w:framePr w:wrap="around" w:hAnchor="margin" w:vAnchor="text" w:xAlign="center" w:y="1"/>
      <w:rPr>
        <w:rStyle w:val="style41"/>
      </w:rPr>
    </w:pPr>
    <w:r>
      <w:rPr/>
      <w:fldChar w:fldCharType="begin"/>
    </w:r>
    <w:r>
      <w:rPr>
        <w:rStyle w:val="style41"/>
      </w:rPr>
      <w:instrText xml:space="preserve">PAGE  </w:instrText>
    </w:r>
    <w:r>
      <w:rPr/>
      <w:fldChar w:fldCharType="end"/>
    </w:r>
  </w:p>
  <w:p w14:paraId="4DBF8314">
    <w:pPr>
      <w:pStyle w:val="style32"/>
      <w:rPr/>
    </w:pP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87BB276">
    <w:pPr>
      <w:pStyle w:val="style32"/>
      <w:rPr/>
    </w:pPr>
    <w:r>
      <w:rPr>
        <w:sz w:val="18"/>
      </w:rPr>
      <mc:AlternateContent>
        <mc:Choice Requires="wps">
          <w:drawing>
            <wp:anchor distT="0" distB="0" distL="0" distR="0" simplePos="false" relativeHeight="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8" name="文本框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14:paraId="1AAC0DCD">
                          <w:pPr>
                            <w:pStyle w:val="style32"/>
                            <w:rPr>
                              <w:rStyle w:val="style41"/>
                            </w:rPr>
                          </w:pPr>
                          <w:r>
                            <w:rPr/>
                            <w:fldChar w:fldCharType="begin"/>
                          </w:r>
                          <w:r>
                            <w:rPr>
                              <w:rStyle w:val="style41"/>
                            </w:rPr>
                            <w:instrText xml:space="preserve">PAGE  </w:instrText>
                          </w:r>
                          <w:r>
                            <w:rPr/>
                            <w:fldChar w:fldCharType="separate"/>
                          </w:r>
                          <w:r>
                            <w:rPr>
                              <w:rStyle w:val="style41"/>
                            </w:rPr>
                            <w:t>- 7 -</w:t>
                          </w:r>
                          <w:r>
                            <w:rPr/>
                            <w:fldChar w:fldCharType="end"/>
                          </w:r>
                        </w:p>
                      </w:txbxContent>
                    </wps:txbx>
                    <wps:bodyPr lIns="0" rIns="0" tIns="0" bIns="0" vert="horz" anchor="t" wrap="none" upright="false">
                      <a:prstTxWarp prst="textNoShape"/>
                      <a:spAutoFit/>
                    </wps:bodyPr>
                  </wps:wsp>
                </a:graphicData>
              </a:graphic>
            </wp:anchor>
          </w:drawing>
        </mc:Choice>
        <mc:Fallback>
          <w:pict>
            <v:rect id="4098" filled="f" stroked="f" style="position:absolute;margin-left:0.0pt;margin-top:0.0pt;width:144.0pt;height:144.0pt;z-index:4;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1AAC0DCD">
                    <w:pPr>
                      <w:pStyle w:val="style32"/>
                      <w:rPr>
                        <w:rStyle w:val="style41"/>
                      </w:rPr>
                    </w:pPr>
                    <w:r>
                      <w:rPr/>
                      <w:fldChar w:fldCharType="begin"/>
                    </w:r>
                    <w:r>
                      <w:rPr>
                        <w:rStyle w:val="style41"/>
                      </w:rPr>
                      <w:instrText xml:space="preserve">PAGE  </w:instrText>
                    </w:r>
                    <w:r>
                      <w:rPr/>
                      <w:fldChar w:fldCharType="separate"/>
                    </w:r>
                    <w:r>
                      <w:rPr>
                        <w:rStyle w:val="style41"/>
                      </w:rPr>
                      <w:t>- 7 -</w:t>
                    </w:r>
                    <w:r>
                      <w:rPr/>
                      <w:fldChar w:fldCharType="end"/>
                    </w:r>
                  </w:p>
                </w:txbxContent>
              </v:textbox>
            </v:rect>
          </w:pict>
        </mc:Fallback>
      </mc:AlternateContent>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ABFDA71">
    <w:pPr>
      <w:pStyle w:val="style32"/>
      <w:jc w:val="center"/>
      <w:rPr/>
    </w:pPr>
    <w:r>
      <w:rPr>
        <w:sz w:val="18"/>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9" name="文本框 10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9">
                      <w:txbxContent>
                        <w:p w14:paraId="0DBB2D27">
                          <w:pPr>
                            <w:pStyle w:val="style32"/>
                            <w:jc w:val="center"/>
                            <w:rPr/>
                          </w:pPr>
                          <w:r>
                            <w:rPr/>
                            <w:fldChar w:fldCharType="begin"/>
                          </w:r>
                          <w:r>
                            <w:instrText>PAGE   \* MERGEFORMAT</w:instrText>
                          </w:r>
                          <w:r>
                            <w:rPr/>
                            <w:fldChar w:fldCharType="separate"/>
                          </w:r>
                          <w:r>
                            <w:rPr>
                              <w:lang w:val="zh-CN"/>
                            </w:rPr>
                            <w:t>-</w:t>
                          </w:r>
                          <w:r>
                            <w:t xml:space="preserve"> 1 -</w:t>
                          </w:r>
                          <w:r>
                            <w:rPr/>
                            <w:fldChar w:fldCharType="end"/>
                          </w:r>
                        </w:p>
                      </w:txbxContent>
                    </wps:txbx>
                    <wps:bodyPr lIns="0" rIns="0" tIns="0" bIns="0" wrap="none" upright="false">
                      <a:prstTxWarp prst="textNoShape"/>
                      <a:spAutoFit/>
                    </wps:bodyPr>
                  </wps:wsp>
                </a:graphicData>
              </a:graphic>
            </wp:anchor>
          </w:drawing>
        </mc:Choice>
        <mc:Fallback>
          <w:pict>
            <v:rect id="4099" filled="f" stroked="f" style="position:absolute;margin-left:0.0pt;margin-top:0.0pt;width:144.0pt;height:144.0pt;z-index:3;mso-position-horizontal:center;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14:paraId="0DBB2D27">
                    <w:pPr>
                      <w:pStyle w:val="style32"/>
                      <w:jc w:val="center"/>
                      <w:rPr/>
                    </w:pPr>
                    <w:r>
                      <w:rPr/>
                      <w:fldChar w:fldCharType="begin"/>
                    </w:r>
                    <w:r>
                      <w:instrText>PAGE   \* MERGEFORMAT</w:instrText>
                    </w:r>
                    <w:r>
                      <w:rPr/>
                      <w:fldChar w:fldCharType="separate"/>
                    </w:r>
                    <w:r>
                      <w:rPr>
                        <w:lang w:val="zh-CN"/>
                      </w:rPr>
                      <w:t>-</w:t>
                    </w:r>
                    <w:r>
                      <w:t xml:space="preserve"> 1 -</w:t>
                    </w:r>
                    <w:r>
                      <w:rPr/>
                      <w:fldChar w:fldCharType="end"/>
                    </w:r>
                  </w:p>
                </w:txbxContent>
              </v:textbox>
            </v:rect>
          </w:pict>
        </mc:Fallback>
      </mc:AlternateConten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A52E739">
    <w:pPr>
      <w:pStyle w:val="style31"/>
      <w:rPr>
        <w:rFonts w:ascii="楷体_GB2312" w:eastAsia="楷体_GB2312"/>
        <w:sz w:val="28"/>
        <w:szCs w:val="28"/>
      </w:rPr>
    </w:pPr>
    <w:r>
      <w:rPr/>
      <w:drawing>
        <wp:anchor distT="0" distB="0" distL="114300" distR="114300" simplePos="false" relativeHeight="2" behindDoc="false" locked="false" layoutInCell="true" allowOverlap="true">
          <wp:simplePos x="0" y="0"/>
          <wp:positionH relativeFrom="column">
            <wp:posOffset>-205105</wp:posOffset>
          </wp:positionH>
          <wp:positionV relativeFrom="paragraph">
            <wp:posOffset>-218440</wp:posOffset>
          </wp:positionV>
          <wp:extent cx="1257300" cy="398145"/>
          <wp:effectExtent l="0" t="0" r="0" b="1905"/>
          <wp:wrapSquare wrapText="bothSides"/>
          <wp:docPr id="4097"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1" cstate="print"/>
                  <a:srcRect l="0" t="0" r="0" b="0"/>
                  <a:stretch/>
                </pic:blipFill>
                <pic:spPr>
                  <a:xfrm rot="0">
                    <a:off x="0" y="0"/>
                    <a:ext cx="1257300" cy="398145"/>
                  </a:xfrm>
                  <a:prstGeom prst="rect"/>
                  <a:solidFill>
                    <a:srgbClr val="ffcc99"/>
                  </a:solidFill>
                  <a:ln>
                    <a:noFill/>
                  </a:ln>
                </pic:spPr>
              </pic:pic>
            </a:graphicData>
          </a:graphic>
        </wp:anchor>
      </w:drawing>
    </w:r>
    <w:r>
      <w:rPr>
        <w:rFonts w:hint="eastAsia"/>
      </w:rPr>
      <w:t>　　　　　　　　　　　　　　　　　　　　　　　　　　　　　　　　　　</w:t>
    </w:r>
    <w:r>
      <w:rPr>
        <w:rFonts w:ascii="楷体_GB2312" w:eastAsia="楷体_GB2312" w:hint="eastAsia"/>
      </w:rPr>
      <w:t>　　</w:t>
    </w:r>
    <w:r>
      <w:rPr>
        <w:rFonts w:ascii="楷体_GB2312" w:eastAsia="楷体_GB2312" w:hint="eastAsia"/>
        <w:sz w:val="28"/>
        <w:szCs w:val="28"/>
      </w:rPr>
      <w:t xml:space="preserve">　 </w:t>
    </w: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CE8D13F">
    <w:pPr>
      <w:pStyle w:val="style31"/>
      <w:jc w:val="right"/>
      <w:rPr>
        <w:rFonts w:eastAsia="宋体" w:hint="eastAsia"/>
        <w:lang w:val="en-US" w:eastAsia="zh-CN"/>
      </w:rPr>
    </w:pPr>
    <w:r>
      <w:rPr>
        <w:rFonts w:hint="eastAsia"/>
      </w:rPr>
      <w:t>中国重汽集团</w:t>
    </w:r>
    <w:r>
      <w:rPr>
        <w:rFonts w:hint="eastAsia"/>
        <w:lang w:val="en-US" w:eastAsia="zh-CN"/>
      </w:rPr>
      <w:t>济南地区各生产单位</w:t>
    </w:r>
    <w:r>
      <w:rPr>
        <w:rFonts w:hint="eastAsia"/>
      </w:rPr>
      <w:t>设备用空调年度维保及维修项目</w:t>
    </w:r>
    <w:r>
      <w:rPr>
        <w:rFonts w:hint="eastAsia"/>
        <w:lang w:val="en-US" w:eastAsia="zh-CN"/>
      </w:rPr>
      <w:t>-</w:t>
    </w:r>
    <w:r>
      <w:rPr>
        <w:rFonts w:hint="eastAsia"/>
      </w:rPr>
      <w:t>招标书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80D2180"/>
    <w:lvl w:ilvl="0">
      <w:start w:val="1"/>
      <w:numFmt w:val="bullet"/>
      <w:lvlText w:val=""/>
      <w:lvlJc w:val="left"/>
      <w:pPr>
        <w:ind w:left="420" w:hanging="420"/>
      </w:pPr>
      <w:rPr>
        <w:rFonts w:ascii="Wingdings" w:hAnsi="Wingdings" w:hint="default"/>
      </w:rPr>
    </w:lvl>
  </w:abstractNum>
  <w:abstractNum w:abstractNumId="1">
    <w:nsid w:val="00000001"/>
    <w:multiLevelType w:val="multilevel"/>
    <w:tmpl w:val="27E53868"/>
    <w:lvl w:ilvl="0">
      <w:start w:val="1"/>
      <w:numFmt w:val="decimal"/>
      <w:lvlText w:val="%1、"/>
      <w:lvlJc w:val="left"/>
      <w:pPr>
        <w:ind w:left="780" w:hanging="720"/>
      </w:pPr>
      <w:rPr>
        <w:rFonts w:hint="default"/>
      </w:rPr>
    </w:lvl>
    <w:lvl w:ilvl="1">
      <w:start w:val="1"/>
      <w:numFmt w:val="lowerLetter"/>
      <w:lvlText w:val="%2)"/>
      <w:lvlJc w:val="left"/>
      <w:pPr>
        <w:ind w:left="900" w:hanging="420"/>
      </w:pPr>
    </w:lvl>
    <w:lvl w:ilvl="2">
      <w:start w:val="1"/>
      <w:numFmt w:val="lowerRoman"/>
      <w:lvlText w:val="%3."/>
      <w:lvlJc w:val="right"/>
      <w:pPr>
        <w:ind w:left="1320" w:hanging="420"/>
      </w:pPr>
    </w:lvl>
    <w:lvl w:ilvl="3">
      <w:start w:val="1"/>
      <w:numFmt w:val="decimal"/>
      <w:lvlText w:val="%4."/>
      <w:lvlJc w:val="left"/>
      <w:pPr>
        <w:ind w:left="1740" w:hanging="420"/>
      </w:pPr>
    </w:lvl>
    <w:lvl w:ilvl="4">
      <w:start w:val="1"/>
      <w:numFmt w:val="lowerLetter"/>
      <w:lvlText w:val="%5)"/>
      <w:lvlJc w:val="left"/>
      <w:pPr>
        <w:ind w:left="2160" w:hanging="420"/>
      </w:pPr>
    </w:lvl>
    <w:lvl w:ilvl="5">
      <w:start w:val="1"/>
      <w:numFmt w:val="lowerRoman"/>
      <w:lvlText w:val="%6."/>
      <w:lvlJc w:val="right"/>
      <w:pPr>
        <w:ind w:left="2580" w:hanging="420"/>
      </w:pPr>
    </w:lvl>
    <w:lvl w:ilvl="6">
      <w:start w:val="1"/>
      <w:numFmt w:val="decimal"/>
      <w:lvlText w:val="%7."/>
      <w:lvlJc w:val="left"/>
      <w:pPr>
        <w:ind w:left="3000" w:hanging="420"/>
      </w:pPr>
    </w:lvl>
    <w:lvl w:ilvl="7">
      <w:start w:val="1"/>
      <w:numFmt w:val="lowerLetter"/>
      <w:lvlText w:val="%8)"/>
      <w:lvlJc w:val="left"/>
      <w:pPr>
        <w:ind w:left="3420" w:hanging="420"/>
      </w:pPr>
    </w:lvl>
    <w:lvl w:ilvl="8">
      <w:start w:val="1"/>
      <w:numFmt w:val="lowerRoman"/>
      <w:lvlText w:val="%9."/>
      <w:lvlJc w:val="right"/>
      <w:pPr>
        <w:ind w:left="3840" w:hanging="420"/>
      </w:pPr>
    </w:lvl>
  </w:abstractNum>
  <w:abstractNum w:abstractNumId="2">
    <w:nsid w:val="00000002"/>
    <w:multiLevelType w:val="multilevel"/>
    <w:tmpl w:val="5EEE3A7E"/>
    <w:lvl w:ilvl="0">
      <w:start w:val="1"/>
      <w:numFmt w:val="bullet"/>
      <w:suff w:val="nothing"/>
      <w:lvlText w:val=""/>
      <w:lvlJc w:val="left"/>
      <w:pPr>
        <w:ind w:left="0" w:leftChars="0" w:firstLine="0" w:firstLineChars="0"/>
      </w:pPr>
      <w:rPr>
        <w:rFonts w:ascii="Wingdings" w:hAnsi="Wingdings" w:hint="default"/>
        <w:color w:val="auto"/>
      </w:rPr>
    </w:lvl>
    <w:lvl w:ilvl="1">
      <w:start w:val="1"/>
      <w:numFmt w:val="bullet"/>
      <w:lvlText w:val=""/>
      <w:lvlJc w:val="left"/>
      <w:pPr>
        <w:tabs>
          <w:tab w:val="left" w:leader="none" w:pos="-840"/>
        </w:tabs>
        <w:ind w:left="850" w:hanging="420"/>
      </w:pPr>
      <w:rPr>
        <w:rFonts w:ascii="Wingdings" w:hAnsi="Wingdings" w:hint="default"/>
      </w:rPr>
    </w:lvl>
    <w:lvl w:ilvl="2">
      <w:start w:val="1"/>
      <w:numFmt w:val="bullet"/>
      <w:lvlText w:val=""/>
      <w:lvlJc w:val="left"/>
      <w:pPr>
        <w:tabs>
          <w:tab w:val="left" w:leader="none" w:pos="-840"/>
        </w:tabs>
        <w:ind w:left="1270" w:hanging="420"/>
      </w:pPr>
      <w:rPr>
        <w:rFonts w:ascii="Wingdings" w:hAnsi="Wingdings" w:hint="default"/>
      </w:rPr>
    </w:lvl>
    <w:lvl w:ilvl="3">
      <w:start w:val="1"/>
      <w:numFmt w:val="bullet"/>
      <w:lvlText w:val=""/>
      <w:lvlJc w:val="left"/>
      <w:pPr>
        <w:tabs>
          <w:tab w:val="left" w:leader="none" w:pos="-840"/>
        </w:tabs>
        <w:ind w:left="1690" w:hanging="420"/>
      </w:pPr>
      <w:rPr>
        <w:rFonts w:ascii="Wingdings" w:hAnsi="Wingdings" w:hint="default"/>
      </w:rPr>
    </w:lvl>
    <w:lvl w:ilvl="4">
      <w:start w:val="1"/>
      <w:numFmt w:val="bullet"/>
      <w:lvlText w:val=""/>
      <w:lvlJc w:val="left"/>
      <w:pPr>
        <w:tabs>
          <w:tab w:val="left" w:leader="none" w:pos="-840"/>
        </w:tabs>
        <w:ind w:left="2110" w:hanging="420"/>
      </w:pPr>
      <w:rPr>
        <w:rFonts w:ascii="Wingdings" w:hAnsi="Wingdings" w:hint="default"/>
      </w:rPr>
    </w:lvl>
    <w:lvl w:ilvl="5">
      <w:start w:val="1"/>
      <w:numFmt w:val="bullet"/>
      <w:lvlText w:val=""/>
      <w:lvlJc w:val="left"/>
      <w:pPr>
        <w:tabs>
          <w:tab w:val="left" w:leader="none" w:pos="-840"/>
        </w:tabs>
        <w:ind w:left="2530" w:hanging="420"/>
      </w:pPr>
      <w:rPr>
        <w:rFonts w:ascii="Wingdings" w:hAnsi="Wingdings" w:hint="default"/>
      </w:rPr>
    </w:lvl>
    <w:lvl w:ilvl="6">
      <w:start w:val="1"/>
      <w:numFmt w:val="bullet"/>
      <w:lvlText w:val=""/>
      <w:lvlJc w:val="left"/>
      <w:pPr>
        <w:tabs>
          <w:tab w:val="left" w:leader="none" w:pos="-840"/>
        </w:tabs>
        <w:ind w:left="2950" w:hanging="420"/>
      </w:pPr>
      <w:rPr>
        <w:rFonts w:ascii="Wingdings" w:hAnsi="Wingdings" w:hint="default"/>
      </w:rPr>
    </w:lvl>
    <w:lvl w:ilvl="7">
      <w:start w:val="1"/>
      <w:numFmt w:val="bullet"/>
      <w:lvlText w:val=""/>
      <w:lvlJc w:val="left"/>
      <w:pPr>
        <w:tabs>
          <w:tab w:val="left" w:leader="none" w:pos="-840"/>
        </w:tabs>
        <w:ind w:left="3370" w:hanging="420"/>
      </w:pPr>
      <w:rPr>
        <w:rFonts w:ascii="Wingdings" w:hAnsi="Wingdings" w:hint="default"/>
      </w:rPr>
    </w:lvl>
    <w:lvl w:ilvl="8">
      <w:start w:val="1"/>
      <w:numFmt w:val="bullet"/>
      <w:lvlText w:val=""/>
      <w:lvlJc w:val="left"/>
      <w:pPr>
        <w:tabs>
          <w:tab w:val="left" w:leader="none" w:pos="-840"/>
        </w:tabs>
        <w:ind w:left="3790" w:hanging="420"/>
      </w:pPr>
      <w:rPr>
        <w:rFonts w:ascii="Wingdings" w:hAnsi="Wingdings" w:hint="default"/>
      </w:rPr>
    </w:lvl>
  </w:abstractNum>
  <w:abstractNum w:abstractNumId="3">
    <w:nsid w:val="00000003"/>
    <w:multiLevelType w:val="multilevel"/>
    <w:tmpl w:val="656A6EAE"/>
    <w:lvl w:ilvl="0">
      <w:start w:val="1"/>
      <w:numFmt w:val="chineseCountingThousand"/>
      <w:pStyle w:val="style4132"/>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lang w:val="en-US" w:bidi="ar-SA" w:eastAsia="zh-CN"/>
    </w:rPr>
  </w:style>
  <w:style w:type="paragraph" w:styleId="style3">
    <w:name w:val="heading 3"/>
    <w:basedOn w:val="style0"/>
    <w:next w:val="style0"/>
    <w:link w:val="style4100"/>
    <w:qFormat/>
    <w:uiPriority w:val="9"/>
    <w:pPr>
      <w:keepNext/>
      <w:keepLines/>
      <w:spacing w:lineRule="auto" w:line="416"/>
      <w:outlineLvl w:val="2"/>
    </w:pPr>
    <w:rPr>
      <w:b/>
      <w:bCs/>
      <w:sz w:val="32"/>
      <w:szCs w:val="32"/>
    </w:rPr>
  </w:style>
  <w:style w:type="paragraph" w:styleId="style4">
    <w:name w:val="heading 4"/>
    <w:basedOn w:val="style0"/>
    <w:next w:val="style0"/>
    <w:qFormat/>
    <w:uiPriority w:val="0"/>
    <w:pPr>
      <w:keepNext/>
      <w:keepLines/>
      <w:spacing w:lineRule="auto" w:line="360"/>
      <w:outlineLvl w:val="3"/>
    </w:pPr>
    <w:rPr>
      <w:rFonts w:ascii="Arial" w:hAnsi="Arial"/>
      <w:b/>
      <w:bCs/>
      <w:szCs w:val="28"/>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30">
    <w:name w:val="annotation text"/>
    <w:basedOn w:val="style0"/>
    <w:next w:val="style30"/>
    <w:link w:val="style4118"/>
    <w:qFormat/>
    <w:uiPriority w:val="99"/>
    <w:pPr>
      <w:jc w:val="left"/>
    </w:pPr>
    <w:rPr/>
  </w:style>
  <w:style w:type="paragraph" w:styleId="style15">
    <w:name w:val="index 6"/>
    <w:basedOn w:val="style0"/>
    <w:next w:val="style0"/>
    <w:qFormat/>
    <w:uiPriority w:val="0"/>
    <w:pPr/>
    <w:rPr>
      <w:rFonts w:ascii="宋体" w:hAnsi="宋体"/>
      <w:color w:val="000000"/>
      <w:sz w:val="20"/>
      <w:szCs w:val="20"/>
    </w:rPr>
  </w:style>
  <w:style w:type="paragraph" w:styleId="style66">
    <w:name w:val="Body Text"/>
    <w:basedOn w:val="style0"/>
    <w:next w:val="style4097"/>
    <w:link w:val="style4107"/>
    <w:qFormat/>
    <w:uiPriority w:val="0"/>
    <w:pPr/>
    <w:rPr>
      <w:rFonts w:ascii="仿宋_GB2312" w:cs="宋体" w:eastAsia="仿宋_GB2312" w:hAnsi="Calibri"/>
      <w:sz w:val="32"/>
      <w:szCs w:val="22"/>
    </w:rPr>
  </w:style>
  <w:style w:type="paragraph" w:customStyle="1" w:styleId="style4097">
    <w:name w:val="Default"/>
    <w:next w:val="style4097"/>
    <w:qFormat/>
    <w:uiPriority w:val="0"/>
    <w:pPr>
      <w:widowControl w:val="false"/>
      <w:autoSpaceDE w:val="false"/>
      <w:autoSpaceDN w:val="false"/>
      <w:adjustRightInd w:val="false"/>
    </w:pPr>
    <w:rPr>
      <w:rFonts w:ascii="仿宋_GB2312" w:cs="仿宋_GB2312" w:eastAsia="仿宋_GB2312" w:hAnsi="Calibri"/>
      <w:color w:val="000000"/>
      <w:sz w:val="24"/>
      <w:szCs w:val="24"/>
      <w:lang w:val="en-US" w:bidi="ar-SA" w:eastAsia="zh-CN"/>
    </w:rPr>
  </w:style>
  <w:style w:type="paragraph" w:styleId="style67">
    <w:name w:val="Body Text Indent"/>
    <w:basedOn w:val="style0"/>
    <w:next w:val="style67"/>
    <w:link w:val="style4111"/>
    <w:qFormat/>
    <w:uiPriority w:val="99"/>
    <w:pPr>
      <w:spacing w:after="120"/>
      <w:ind w:left="420" w:leftChars="200"/>
    </w:pPr>
    <w:rPr>
      <w:rFonts w:ascii="Calibri" w:hAnsi="Calibri"/>
      <w:szCs w:val="22"/>
    </w:rPr>
  </w:style>
  <w:style w:type="paragraph" w:styleId="style90">
    <w:name w:val="Plain Text"/>
    <w:basedOn w:val="style0"/>
    <w:next w:val="style90"/>
    <w:link w:val="style4104"/>
    <w:qFormat/>
    <w:uiPriority w:val="0"/>
    <w:pPr/>
    <w:rPr>
      <w:rFonts w:ascii="宋体" w:cs="宋体" w:hAnsi="Courier New"/>
      <w:szCs w:val="22"/>
    </w:rPr>
  </w:style>
  <w:style w:type="paragraph" w:styleId="style82">
    <w:name w:val="Body Text Indent 2"/>
    <w:basedOn w:val="style0"/>
    <w:next w:val="style82"/>
    <w:qFormat/>
    <w:uiPriority w:val="99"/>
    <w:pPr>
      <w:spacing w:lineRule="exact" w:line="520"/>
      <w:ind w:firstLine="478" w:firstLineChars="199"/>
    </w:pPr>
    <w:rPr/>
  </w:style>
  <w:style w:type="paragraph" w:styleId="style153">
    <w:name w:val="Balloon Text"/>
    <w:basedOn w:val="style0"/>
    <w:next w:val="style153"/>
    <w:link w:val="style4108"/>
    <w:qFormat/>
    <w:uiPriority w:val="99"/>
    <w:pPr/>
    <w:rPr>
      <w:rFonts w:ascii="Calibri" w:cs="宋体" w:eastAsia="宋体" w:hAnsi="Calibri"/>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19">
    <w:name w:val="toc 1"/>
    <w:basedOn w:val="style0"/>
    <w:next w:val="style0"/>
    <w:qFormat/>
    <w:uiPriority w:val="0"/>
    <w:pPr>
      <w:tabs>
        <w:tab w:val="right" w:leader="dot" w:pos="8729"/>
      </w:tabs>
      <w:spacing w:lineRule="auto" w:line="480"/>
      <w:jc w:val="left"/>
    </w:pPr>
    <w:rPr>
      <w:rFonts w:ascii="宋体" w:hAnsi="宋体"/>
      <w:b/>
      <w:caps/>
      <w:sz w:val="28"/>
      <w:szCs w:val="28"/>
    </w:rPr>
  </w:style>
  <w:style w:type="paragraph" w:styleId="style20">
    <w:name w:val="toc 2"/>
    <w:basedOn w:val="style0"/>
    <w:next w:val="style0"/>
    <w:qFormat/>
    <w:uiPriority w:val="0"/>
    <w:pPr>
      <w:ind w:left="420" w:leftChars="200"/>
    </w:pPr>
    <w:rPr/>
  </w:style>
  <w:style w:type="paragraph" w:styleId="style94">
    <w:name w:val="Normal (Web)"/>
    <w:basedOn w:val="style0"/>
    <w:next w:val="style94"/>
    <w:qFormat/>
    <w:uiPriority w:val="0"/>
    <w:pPr/>
    <w:rPr>
      <w:sz w:val="24"/>
    </w:rPr>
  </w:style>
  <w:style w:type="paragraph" w:styleId="style106">
    <w:name w:val="annotation subject"/>
    <w:basedOn w:val="style30"/>
    <w:next w:val="style30"/>
    <w:link w:val="style4114"/>
    <w:qFormat/>
    <w:uiPriority w:val="0"/>
    <w:pPr/>
    <w:rPr>
      <w:rFonts w:ascii="Calibri" w:cs="宋体" w:eastAsia="宋体" w:hAnsi="Calibri"/>
      <w:b/>
      <w:bCs/>
      <w:szCs w:val="22"/>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next w:val="style87"/>
    <w:qFormat/>
    <w:uiPriority w:val="0"/>
    <w:rPr>
      <w:b/>
    </w:rPr>
  </w:style>
  <w:style w:type="character" w:styleId="style41">
    <w:name w:val="page number"/>
    <w:basedOn w:val="style65"/>
    <w:next w:val="style41"/>
    <w:qFormat/>
    <w:uiPriority w:val="0"/>
  </w:style>
  <w:style w:type="character" w:styleId="style86">
    <w:name w:val="FollowedHyperlink"/>
    <w:next w:val="style86"/>
    <w:qFormat/>
    <w:uiPriority w:val="99"/>
    <w:rPr>
      <w:color w:val="800080"/>
      <w:u w:val="single"/>
    </w:rPr>
  </w:style>
  <w:style w:type="character" w:styleId="style88">
    <w:name w:val="Emphasis"/>
    <w:next w:val="style88"/>
    <w:qFormat/>
    <w:uiPriority w:val="20"/>
    <w:rPr>
      <w:i/>
      <w:iCs/>
    </w:rPr>
  </w:style>
  <w:style w:type="character" w:styleId="style85">
    <w:name w:val="Hyperlink"/>
    <w:basedOn w:val="style65"/>
    <w:next w:val="style85"/>
    <w:qFormat/>
    <w:uiPriority w:val="99"/>
    <w:rPr>
      <w:rFonts w:cs="Times New Roman"/>
      <w:color w:val="1f4f88"/>
      <w:u w:val="none"/>
    </w:rPr>
  </w:style>
  <w:style w:type="character" w:styleId="style39">
    <w:name w:val="annotation reference"/>
    <w:next w:val="style39"/>
    <w:qFormat/>
    <w:uiPriority w:val="0"/>
    <w:rPr>
      <w:sz w:val="21"/>
      <w:szCs w:val="21"/>
    </w:rPr>
  </w:style>
  <w:style w:type="character" w:customStyle="1" w:styleId="style4098">
    <w:name w:val="页眉 字符"/>
    <w:basedOn w:val="style65"/>
    <w:next w:val="style4098"/>
    <w:link w:val="style31"/>
    <w:qFormat/>
    <w:uiPriority w:val="99"/>
    <w:rPr>
      <w:sz w:val="18"/>
      <w:szCs w:val="18"/>
    </w:rPr>
  </w:style>
  <w:style w:type="character" w:customStyle="1" w:styleId="style4099">
    <w:name w:val="页脚 字符"/>
    <w:basedOn w:val="style65"/>
    <w:next w:val="style4099"/>
    <w:link w:val="style32"/>
    <w:qFormat/>
    <w:uiPriority w:val="99"/>
    <w:rPr>
      <w:sz w:val="18"/>
      <w:szCs w:val="18"/>
    </w:rPr>
  </w:style>
  <w:style w:type="character" w:customStyle="1" w:styleId="style4100">
    <w:name w:val="标题 3 字符"/>
    <w:basedOn w:val="style65"/>
    <w:next w:val="style4100"/>
    <w:link w:val="style3"/>
    <w:qFormat/>
    <w:uiPriority w:val="9"/>
    <w:rPr>
      <w:rFonts w:ascii="Times New Roman" w:cs="Times New Roman" w:eastAsia="宋体" w:hAnsi="Times New Roman"/>
      <w:b/>
      <w:bCs/>
      <w:sz w:val="32"/>
      <w:szCs w:val="32"/>
    </w:rPr>
  </w:style>
  <w:style w:type="character" w:customStyle="1" w:styleId="style4101">
    <w:name w:val="Char Char5"/>
    <w:next w:val="style4101"/>
    <w:qFormat/>
    <w:uiPriority w:val="0"/>
    <w:rPr>
      <w:rFonts w:ascii="宋体" w:eastAsia="宋体" w:hAnsi="Courier New"/>
      <w:kern w:val="2"/>
      <w:sz w:val="21"/>
      <w:lang w:val="en-US" w:bidi="ar-SA" w:eastAsia="zh-CN"/>
    </w:rPr>
  </w:style>
  <w:style w:type="character" w:customStyle="1" w:styleId="style4102">
    <w:name w:val="正文文本缩进 Char"/>
    <w:next w:val="style4102"/>
    <w:link w:val="style4103"/>
    <w:qFormat/>
    <w:uiPriority w:val="0"/>
  </w:style>
  <w:style w:type="paragraph" w:customStyle="1" w:styleId="style4103">
    <w:name w:val="正文文本缩进1"/>
    <w:basedOn w:val="style0"/>
    <w:next w:val="style4103"/>
    <w:link w:val="style4102"/>
    <w:qFormat/>
    <w:uiPriority w:val="0"/>
    <w:pPr>
      <w:spacing w:after="120"/>
      <w:ind w:left="420" w:leftChars="200"/>
    </w:pPr>
    <w:rPr>
      <w:rFonts w:ascii="Calibri" w:cs="宋体" w:eastAsia="宋体" w:hAnsi="Calibri"/>
      <w:szCs w:val="22"/>
    </w:rPr>
  </w:style>
  <w:style w:type="character" w:customStyle="1" w:styleId="style4104">
    <w:name w:val="纯文本 字符"/>
    <w:next w:val="style4104"/>
    <w:link w:val="style90"/>
    <w:qFormat/>
    <w:uiPriority w:val="0"/>
    <w:rPr>
      <w:rFonts w:ascii="宋体" w:eastAsia="宋体" w:hAnsi="Courier New"/>
    </w:rPr>
  </w:style>
  <w:style w:type="character" w:customStyle="1" w:styleId="style4105">
    <w:name w:val="apple-converted-space"/>
    <w:basedOn w:val="style65"/>
    <w:next w:val="style4105"/>
    <w:qFormat/>
    <w:uiPriority w:val="0"/>
  </w:style>
  <w:style w:type="character" w:customStyle="1" w:styleId="style4106">
    <w:name w:val="正文文本 Char"/>
    <w:next w:val="style4106"/>
    <w:qFormat/>
    <w:uiPriority w:val="0"/>
    <w:rPr>
      <w:rFonts w:ascii="仿宋_GB2312" w:eastAsia="仿宋_GB2312"/>
      <w:kern w:val="2"/>
      <w:sz w:val="32"/>
    </w:rPr>
  </w:style>
  <w:style w:type="character" w:customStyle="1" w:styleId="style4107">
    <w:name w:val="正文文本 字符"/>
    <w:next w:val="style4107"/>
    <w:link w:val="style66"/>
    <w:qFormat/>
    <w:uiPriority w:val="0"/>
    <w:rPr>
      <w:rFonts w:ascii="仿宋_GB2312" w:eastAsia="仿宋_GB2312"/>
      <w:sz w:val="32"/>
    </w:rPr>
  </w:style>
  <w:style w:type="character" w:customStyle="1" w:styleId="style4108">
    <w:name w:val="批注框文本 字符"/>
    <w:next w:val="style4108"/>
    <w:link w:val="style153"/>
    <w:qFormat/>
    <w:uiPriority w:val="99"/>
    <w:rPr>
      <w:sz w:val="18"/>
      <w:szCs w:val="18"/>
    </w:rPr>
  </w:style>
  <w:style w:type="character" w:customStyle="1" w:styleId="style4109">
    <w:name w:val="纯文本 Char"/>
    <w:next w:val="style4109"/>
    <w:qFormat/>
    <w:uiPriority w:val="0"/>
    <w:rPr>
      <w:rFonts w:ascii="宋体" w:eastAsia="宋体" w:hAnsi="Courier New"/>
      <w:kern w:val="2"/>
      <w:sz w:val="21"/>
      <w:lang w:val="en-US" w:bidi="ar-SA" w:eastAsia="zh-CN"/>
    </w:rPr>
  </w:style>
  <w:style w:type="character" w:customStyle="1" w:styleId="style4110">
    <w:name w:val="Char Char2"/>
    <w:next w:val="style4110"/>
    <w:qFormat/>
    <w:uiPriority w:val="0"/>
    <w:rPr>
      <w:rFonts w:ascii="宋体" w:cs="宋体" w:hAnsi="Courier New"/>
      <w:kern w:val="2"/>
      <w:sz w:val="21"/>
      <w:szCs w:val="21"/>
    </w:rPr>
  </w:style>
  <w:style w:type="character" w:customStyle="1" w:styleId="style4111">
    <w:name w:val="正文文本缩进 字符"/>
    <w:next w:val="style4111"/>
    <w:link w:val="style67"/>
    <w:qFormat/>
    <w:uiPriority w:val="99"/>
    <w:rPr>
      <w:rFonts w:ascii="Calibri" w:cs="Times New Roman" w:eastAsia="宋体" w:hAnsi="Calibri"/>
    </w:rPr>
  </w:style>
  <w:style w:type="character" w:customStyle="1" w:styleId="style4112">
    <w:name w:val="批注文字 Char"/>
    <w:next w:val="style4112"/>
    <w:qFormat/>
    <w:uiPriority w:val="0"/>
    <w:rPr>
      <w:kern w:val="2"/>
      <w:sz w:val="21"/>
    </w:rPr>
  </w:style>
  <w:style w:type="character" w:customStyle="1" w:styleId="style4113">
    <w:name w:val="Char Char3"/>
    <w:next w:val="style4113"/>
    <w:qFormat/>
    <w:uiPriority w:val="0"/>
    <w:rPr>
      <w:rFonts w:ascii="宋体" w:eastAsia="宋体" w:hAnsi="Courier New"/>
      <w:kern w:val="2"/>
      <w:sz w:val="21"/>
      <w:lang w:val="en-US" w:bidi="ar-SA" w:eastAsia="zh-CN"/>
    </w:rPr>
  </w:style>
  <w:style w:type="character" w:customStyle="1" w:styleId="style4114">
    <w:name w:val="批注主题 字符"/>
    <w:next w:val="style4114"/>
    <w:link w:val="style106"/>
    <w:qFormat/>
    <w:uiPriority w:val="0"/>
    <w:rPr>
      <w:b/>
      <w:bCs/>
    </w:rPr>
  </w:style>
  <w:style w:type="character" w:customStyle="1" w:styleId="style4115">
    <w:name w:val="HTML Markup"/>
    <w:next w:val="style4115"/>
    <w:qFormat/>
    <w:uiPriority w:val="0"/>
    <w:rPr>
      <w:vanish/>
      <w:color w:val="ff0000"/>
    </w:rPr>
  </w:style>
  <w:style w:type="character" w:customStyle="1" w:styleId="style4116">
    <w:name w:val="font01"/>
    <w:next w:val="style4116"/>
    <w:qFormat/>
    <w:uiPriority w:val="0"/>
    <w:rPr>
      <w:rFonts w:ascii="宋体" w:cs="宋体" w:eastAsia="宋体" w:hAnsi="宋体" w:hint="eastAsia"/>
      <w:color w:val="000000"/>
      <w:sz w:val="22"/>
      <w:szCs w:val="22"/>
      <w:u w:val="none"/>
    </w:rPr>
  </w:style>
  <w:style w:type="character" w:customStyle="1" w:styleId="style4117">
    <w:name w:val="font11"/>
    <w:next w:val="style4117"/>
    <w:qFormat/>
    <w:uiPriority w:val="0"/>
    <w:rPr>
      <w:rFonts w:ascii="宋体" w:cs="宋体" w:eastAsia="宋体" w:hAnsi="宋体" w:hint="eastAsia"/>
      <w:color w:val="000000"/>
      <w:sz w:val="22"/>
      <w:szCs w:val="22"/>
      <w:u w:val="single"/>
    </w:rPr>
  </w:style>
  <w:style w:type="character" w:customStyle="1" w:styleId="style4118">
    <w:name w:val="批注文字 字符"/>
    <w:basedOn w:val="style65"/>
    <w:next w:val="style4118"/>
    <w:link w:val="style30"/>
    <w:qFormat/>
    <w:uiPriority w:val="99"/>
    <w:rPr>
      <w:rFonts w:ascii="Times New Roman" w:cs="Times New Roman" w:eastAsia="宋体" w:hAnsi="Times New Roman"/>
      <w:szCs w:val="20"/>
    </w:rPr>
  </w:style>
  <w:style w:type="character" w:customStyle="1" w:styleId="style4119">
    <w:name w:val="批注主题 Char1"/>
    <w:basedOn w:val="style4118"/>
    <w:next w:val="style4119"/>
    <w:qFormat/>
    <w:uiPriority w:val="99"/>
    <w:rPr>
      <w:rFonts w:ascii="Times New Roman" w:cs="Times New Roman" w:eastAsia="宋体" w:hAnsi="Times New Roman"/>
      <w:b/>
      <w:bCs/>
      <w:szCs w:val="20"/>
    </w:rPr>
  </w:style>
  <w:style w:type="character" w:customStyle="1" w:styleId="style4120">
    <w:name w:val="正文文本 Char2"/>
    <w:basedOn w:val="style65"/>
    <w:next w:val="style4120"/>
    <w:qFormat/>
    <w:uiPriority w:val="99"/>
    <w:rPr>
      <w:rFonts w:ascii="Times New Roman" w:cs="Times New Roman" w:eastAsia="宋体" w:hAnsi="Times New Roman"/>
      <w:szCs w:val="20"/>
    </w:rPr>
  </w:style>
  <w:style w:type="character" w:customStyle="1" w:styleId="style4121">
    <w:name w:val="正文文本缩进 Char2"/>
    <w:basedOn w:val="style65"/>
    <w:next w:val="style4121"/>
    <w:qFormat/>
    <w:uiPriority w:val="99"/>
    <w:rPr>
      <w:rFonts w:ascii="Times New Roman" w:cs="Times New Roman" w:eastAsia="宋体" w:hAnsi="Times New Roman"/>
      <w:szCs w:val="20"/>
    </w:rPr>
  </w:style>
  <w:style w:type="paragraph" w:customStyle="1" w:styleId="style4122">
    <w:name w:val="1"/>
    <w:basedOn w:val="style0"/>
    <w:next w:val="style4122"/>
    <w:qFormat/>
    <w:uiPriority w:val="0"/>
    <w:pPr>
      <w:widowControl/>
      <w:spacing w:before="100" w:beforeAutospacing="true" w:after="100" w:afterAutospacing="true"/>
      <w:jc w:val="left"/>
    </w:pPr>
    <w:rPr>
      <w:rFonts w:ascii="宋体" w:hAnsi="宋体" w:hint="eastAsia"/>
      <w:kern w:val="0"/>
      <w:sz w:val="24"/>
      <w:szCs w:val="24"/>
    </w:rPr>
  </w:style>
  <w:style w:type="character" w:customStyle="1" w:styleId="style4123">
    <w:name w:val="批注框文本 Char1"/>
    <w:basedOn w:val="style65"/>
    <w:next w:val="style4123"/>
    <w:qFormat/>
    <w:uiPriority w:val="99"/>
    <w:rPr>
      <w:rFonts w:ascii="Times New Roman" w:cs="Times New Roman" w:eastAsia="宋体" w:hAnsi="Times New Roman"/>
      <w:sz w:val="18"/>
      <w:szCs w:val="18"/>
    </w:rPr>
  </w:style>
  <w:style w:type="paragraph" w:customStyle="1" w:styleId="style4124">
    <w:name w:val="Char Char Char Char Char Char1 Char"/>
    <w:basedOn w:val="style0"/>
    <w:next w:val="style4124"/>
    <w:qFormat/>
    <w:uiPriority w:val="0"/>
    <w:pPr>
      <w:widowControl/>
      <w:spacing w:after="160" w:lineRule="exact" w:line="240"/>
      <w:jc w:val="left"/>
    </w:pPr>
    <w:rPr>
      <w:rFonts w:ascii="Arial" w:cs="Verdana" w:eastAsia="Times New Roman" w:hAnsi="Arial"/>
      <w:b/>
      <w:kern w:val="0"/>
      <w:sz w:val="24"/>
      <w:szCs w:val="24"/>
      <w:lang w:bidi="th-TH" w:eastAsia="en-US"/>
    </w:rPr>
  </w:style>
  <w:style w:type="paragraph" w:customStyle="1" w:styleId="style4125">
    <w:name w:val="2"/>
    <w:basedOn w:val="style0"/>
    <w:next w:val="style4125"/>
    <w:qFormat/>
    <w:uiPriority w:val="0"/>
    <w:pPr>
      <w:widowControl/>
      <w:spacing w:after="160" w:lineRule="exact" w:line="240"/>
      <w:jc w:val="left"/>
    </w:pPr>
    <w:rPr>
      <w:rFonts w:ascii="Arial" w:cs="Verdana" w:eastAsia="Times New Roman" w:hAnsi="Arial"/>
      <w:b/>
      <w:kern w:val="0"/>
      <w:sz w:val="24"/>
      <w:szCs w:val="24"/>
      <w:lang w:bidi="th-TH" w:eastAsia="en-US"/>
    </w:rPr>
  </w:style>
  <w:style w:type="paragraph" w:customStyle="1" w:styleId="style4126">
    <w:name w:val="二级列表 Char"/>
    <w:basedOn w:val="style0"/>
    <w:next w:val="style4126"/>
    <w:qFormat/>
    <w:uiPriority w:val="0"/>
    <w:pPr/>
    <w:rPr>
      <w:rFonts w:ascii="Calibri" w:hAnsi="Calibri"/>
    </w:rPr>
  </w:style>
  <w:style w:type="character" w:customStyle="1" w:styleId="style4127">
    <w:name w:val="纯文本 Char2"/>
    <w:basedOn w:val="style65"/>
    <w:next w:val="style4127"/>
    <w:qFormat/>
    <w:uiPriority w:val="99"/>
    <w:rPr>
      <w:rFonts w:ascii="宋体" w:cs="Courier New" w:eastAsia="宋体" w:hAnsi="Courier New"/>
      <w:szCs w:val="21"/>
    </w:rPr>
  </w:style>
  <w:style w:type="paragraph" w:styleId="style179">
    <w:name w:val="List Paragraph"/>
    <w:basedOn w:val="style0"/>
    <w:next w:val="style179"/>
    <w:qFormat/>
    <w:uiPriority w:val="34"/>
    <w:pPr>
      <w:ind w:firstLine="420" w:firstLineChars="200"/>
    </w:pPr>
    <w:rPr>
      <w:rFonts w:ascii="Calibri" w:hAnsi="Calibri"/>
      <w:szCs w:val="22"/>
    </w:rPr>
  </w:style>
  <w:style w:type="paragraph" w:customStyle="1" w:styleId="style4128">
    <w:name w:val="列出段落1"/>
    <w:basedOn w:val="style0"/>
    <w:next w:val="style4128"/>
    <w:qFormat/>
    <w:uiPriority w:val="34"/>
    <w:pPr>
      <w:ind w:firstLine="420" w:firstLineChars="200"/>
    </w:pPr>
    <w:rPr>
      <w:rFonts w:ascii="Calibri" w:hAnsi="Calibri"/>
      <w:szCs w:val="22"/>
    </w:rPr>
  </w:style>
  <w:style w:type="paragraph" w:customStyle="1" w:styleId="style4129">
    <w:name w:val="样式 仿宋_GB2312 小四 悬挂缩进: 4 字符 行距: 固定值 20 磅"/>
    <w:basedOn w:val="style0"/>
    <w:next w:val="style4129"/>
    <w:qFormat/>
    <w:uiPriority w:val="0"/>
    <w:pPr>
      <w:spacing w:lineRule="exact" w:line="400"/>
      <w:ind w:left="75" w:leftChars="75"/>
    </w:pPr>
    <w:rPr>
      <w:rFonts w:ascii="仿宋_GB2312" w:cs="宋体" w:eastAsia="仿宋_GB2312"/>
      <w:sz w:val="24"/>
    </w:rPr>
  </w:style>
  <w:style w:type="character" w:customStyle="1" w:styleId="style4130">
    <w:name w:val="font21"/>
    <w:basedOn w:val="style65"/>
    <w:next w:val="style4130"/>
    <w:qFormat/>
    <w:uiPriority w:val="0"/>
    <w:rPr>
      <w:rFonts w:ascii="宋体" w:cs="宋体" w:eastAsia="宋体" w:hAnsi="宋体" w:hint="eastAsia"/>
      <w:color w:val="000000"/>
      <w:sz w:val="22"/>
      <w:szCs w:val="22"/>
      <w:u w:val="none"/>
    </w:rPr>
  </w:style>
  <w:style w:type="paragraph" w:customStyle="1" w:styleId="style4131">
    <w:name w:val="Table Paragraph"/>
    <w:basedOn w:val="style0"/>
    <w:next w:val="style4131"/>
    <w:qFormat/>
    <w:uiPriority w:val="1"/>
    <w:pPr>
      <w:autoSpaceDE w:val="false"/>
      <w:autoSpaceDN w:val="false"/>
      <w:spacing w:before="25" w:lineRule="exact" w:line="267"/>
      <w:ind w:left="105"/>
      <w:jc w:val="center"/>
    </w:pPr>
    <w:rPr>
      <w:rFonts w:ascii="宋体" w:cs="宋体" w:hAnsi="宋体"/>
      <w:kern w:val="0"/>
      <w:sz w:val="22"/>
      <w:szCs w:val="22"/>
      <w:lang w:val="zh-CN" w:bidi="zh-CN"/>
    </w:rPr>
  </w:style>
  <w:style w:type="paragraph" w:customStyle="1" w:styleId="style4132">
    <w:name w:val="一级标题"/>
    <w:basedOn w:val="style90"/>
    <w:next w:val="style4132"/>
    <w:qFormat/>
    <w:uiPriority w:val="1"/>
    <w:pPr>
      <w:numPr>
        <w:ilvl w:val="0"/>
        <w:numId w:val="1"/>
      </w:numPr>
      <w:spacing w:lineRule="auto" w:line="360"/>
      <w:ind w:left="420"/>
      <w:outlineLvl w:val="1"/>
    </w:pPr>
    <w:rPr>
      <w:rFonts w:ascii="黑体" w:eastAsia="黑体"/>
      <w:b/>
      <w:bCs/>
      <w:sz w:val="28"/>
    </w:rPr>
  </w:style>
  <w:style w:type="paragraph" w:customStyle="1" w:styleId="style4133">
    <w:name w:val="标书正文"/>
    <w:basedOn w:val="style90"/>
    <w:next w:val="style4133"/>
    <w:qFormat/>
    <w:uiPriority w:val="9"/>
    <w:pPr>
      <w:spacing w:lineRule="auto" w:line="360"/>
      <w:jc w:val="left"/>
    </w:pPr>
    <w:rPr/>
  </w:style>
  <w:style w:type="table" w:customStyle="1" w:styleId="style4134">
    <w:name w:val="Table Normal"/>
    <w:next w:val="style4134"/>
    <w:qFormat/>
    <w:uiPriority w:val="0"/>
    <w:pPr/>
    <w:rPr/>
    <w:tblPr>
      <w:tblCellMar>
        <w:top w:w="0" w:type="dxa"/>
        <w:left w:w="0" w:type="dxa"/>
        <w:bottom w:w="0" w:type="dxa"/>
        <w:right w:w="0"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header" Target="header4.xml"/><Relationship Id="rId6" Type="http://schemas.openxmlformats.org/officeDocument/2006/relationships/footer" Target="footer5.xml"/><Relationship Id="rId7" Type="http://schemas.openxmlformats.org/officeDocument/2006/relationships/styles" Target="styles.xml"/><Relationship Id="rId8" Type="http://schemas.openxmlformats.org/officeDocument/2006/relationships/fontTable" Target="fontTable.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8085</Words>
  <Pages>11</Pages>
  <Characters>8495</Characters>
  <Application>WPS Office</Application>
  <DocSecurity>0</DocSecurity>
  <Paragraphs>253</Paragraphs>
  <ScaleCrop>false</ScaleCrop>
  <LinksUpToDate>false</LinksUpToDate>
  <CharactersWithSpaces>8632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2026-10-16T06:15:33Z</dcterms:created>
  <dc:creator>JonMMx 2000</dc:creator>
  <lastModifiedBy>V2324A</lastModifiedBy>
  <dcterms:modified xsi:type="dcterms:W3CDTF">2026-10-16T06:15:33Z</dcterms:modified>
  <revision>34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1f94d19ede304e88868dceee0253afd3_23</vt:lpwstr>
  </property>
  <property fmtid="{D5CDD505-2E9C-101B-9397-08002B2CF9AE}" pid="4" name="KSOTemplateDocerSaveRecord">
    <vt:lpwstr>eyJoZGlkIjoiZjI5YWUxYzQ5YWM3ZDU4MzQ5MmY5YzI0NGRmODdhODAiLCJ1c2VySWQiOiI4Mzk1NDI4NzgifQ==</vt:lpwstr>
  </property>
</Properties>
</file>