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cs="宋体"/>
          <w:b/>
          <w:bCs/>
          <w:color w:val="000000"/>
          <w:spacing w:val="-8"/>
          <w:sz w:val="48"/>
          <w:szCs w:val="44"/>
          <w:lang w:val="en-US" w:eastAsia="zh-CN"/>
        </w:rPr>
      </w:pPr>
      <w:r>
        <w:rPr>
          <w:rFonts w:hint="eastAsia" w:ascii="宋体" w:hAnsi="宋体" w:cs="宋体"/>
          <w:b/>
          <w:bCs/>
          <w:color w:val="000000"/>
          <w:spacing w:val="-8"/>
          <w:sz w:val="48"/>
          <w:szCs w:val="44"/>
          <w:lang w:val="en-US" w:eastAsia="zh-CN"/>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cs="宋体"/>
          <w:b/>
          <w:bCs/>
          <w:color w:val="000000"/>
          <w:spacing w:val="-8"/>
          <w:sz w:val="48"/>
          <w:szCs w:val="44"/>
          <w:lang w:val="en-US" w:eastAsia="zh-CN"/>
        </w:rPr>
        <w:t xml:space="preserve">产品试验检测中心天然气组分分析仪 </w:t>
      </w:r>
    </w:p>
    <w:p>
      <w:pPr>
        <w:jc w:val="center"/>
        <w:rPr>
          <w:rFonts w:hint="eastAsia" w:ascii="宋体" w:hAnsi="宋体" w:eastAsia="宋体" w:cs="宋体"/>
          <w:b/>
          <w:bCs/>
          <w:color w:val="000000"/>
          <w:spacing w:val="-8"/>
          <w:sz w:val="48"/>
          <w:szCs w:val="44"/>
        </w:rPr>
      </w:pPr>
      <w:r>
        <w:rPr>
          <w:rFonts w:hint="eastAsia" w:ascii="宋体" w:hAnsi="宋体" w:cs="宋体"/>
          <w:b/>
          <w:bCs/>
          <w:color w:val="000000"/>
          <w:spacing w:val="-8"/>
          <w:sz w:val="48"/>
          <w:szCs w:val="44"/>
          <w:lang w:val="en-US" w:eastAsia="zh-CN"/>
        </w:rPr>
        <w:t>采购</w:t>
      </w:r>
      <w:r>
        <w:rPr>
          <w:rFonts w:hint="eastAsia" w:ascii="宋体" w:hAnsi="宋体" w:eastAsia="宋体" w:cs="宋体"/>
          <w:b/>
          <w:bCs/>
          <w:color w:val="000000"/>
          <w:spacing w:val="-8"/>
          <w:sz w:val="48"/>
          <w:szCs w:val="44"/>
        </w:rPr>
        <w:t>招标项目</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default" w:ascii="宋体" w:hAnsi="宋体" w:eastAsia="宋体" w:cs="宋体"/>
          <w:color w:val="000000"/>
          <w:sz w:val="28"/>
          <w:szCs w:val="28"/>
          <w:lang w:val="en-US"/>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4</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w:t>
      </w:r>
      <w:r>
        <w:rPr>
          <w:rFonts w:hint="eastAsia" w:ascii="宋体" w:hAnsi="宋体" w:eastAsia="宋体" w:cs="宋体"/>
          <w:lang w:val="en-US" w:eastAsia="zh-CN"/>
        </w:rPr>
        <w:t>部分</w:t>
      </w:r>
      <w:r>
        <w:rPr>
          <w:rFonts w:hint="eastAsia" w:ascii="宋体" w:hAnsi="宋体" w:eastAsia="宋体" w:cs="宋体"/>
        </w:rPr>
        <w:t xml:space="preserve">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default" w:ascii="宋体" w:hAnsi="宋体" w:eastAsia="宋体" w:cs="宋体"/>
          <w:lang w:val="en-US"/>
        </w:rPr>
      </w:pPr>
      <w:r>
        <w:rPr>
          <w:rFonts w:hint="eastAsia" w:ascii="宋体" w:hAnsi="宋体" w:eastAsia="宋体" w:cs="宋体"/>
          <w:color w:val="000000"/>
          <w:sz w:val="24"/>
          <w:szCs w:val="24"/>
        </w:rPr>
        <w:t>项目名称：</w:t>
      </w:r>
      <w:bookmarkStart w:id="0" w:name="OLE_LINK1"/>
      <w:r>
        <w:rPr>
          <w:rFonts w:hint="eastAsia" w:ascii="宋体" w:hAnsi="宋体" w:cs="宋体"/>
          <w:color w:val="000000"/>
          <w:sz w:val="24"/>
          <w:szCs w:val="24"/>
          <w:u w:val="single"/>
          <w:lang w:val="en-US" w:eastAsia="zh-CN"/>
        </w:rPr>
        <w:t>天然气组分分析仪招标项目</w:t>
      </w:r>
    </w:p>
    <w:p>
      <w:pPr>
        <w:pStyle w:val="3"/>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采购形式编号：ZBGL2026040226</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hAnsi="宋体" w:cs="宋体"/>
          <w:sz w:val="24"/>
          <w:szCs w:val="28"/>
          <w:highlight w:val="cyan"/>
          <w:lang w:val="en-US" w:eastAsia="zh-CN"/>
        </w:rPr>
      </w:pPr>
      <w:r>
        <w:rPr>
          <w:rFonts w:hint="eastAsia" w:ascii="宋体" w:hAnsi="宋体" w:eastAsia="宋体" w:cs="宋体"/>
          <w:color w:val="000000"/>
          <w:sz w:val="24"/>
          <w:szCs w:val="24"/>
          <w:highlight w:val="none"/>
        </w:rPr>
        <w:t>1、招标内容</w:t>
      </w:r>
      <w:r>
        <w:rPr>
          <w:rFonts w:hint="eastAsia" w:ascii="宋体" w:hAnsi="宋体" w:eastAsia="宋体" w:cs="宋体"/>
          <w:color w:val="000000"/>
          <w:sz w:val="24"/>
          <w:szCs w:val="24"/>
        </w:rPr>
        <w:t>：</w:t>
      </w:r>
      <w:r>
        <w:rPr>
          <w:rFonts w:hint="eastAsia" w:hAnsi="宋体" w:cs="宋体"/>
          <w:sz w:val="24"/>
          <w:szCs w:val="28"/>
          <w:lang w:val="en-US" w:eastAsia="zh-CN"/>
        </w:rPr>
        <w:t>1套国外品牌气相色谱仪，包含天然气热值分析计算软件；铺设1路载气和1路工作气管路，由气瓶间引至设备间，</w:t>
      </w:r>
      <w:r>
        <w:rPr>
          <w:rFonts w:hint="eastAsia" w:hAnsi="宋体" w:cs="宋体"/>
          <w:sz w:val="24"/>
          <w:szCs w:val="28"/>
          <w:highlight w:val="cyan"/>
          <w:lang w:val="en-US" w:eastAsia="zh-CN"/>
        </w:rPr>
        <w:t>包括施工及管路材料、减压阀、固定装置；1套试验台和排风系统。</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hAnsi="宋体" w:cs="宋体"/>
          <w:color w:val="000000"/>
          <w:sz w:val="24"/>
          <w:szCs w:val="24"/>
          <w:lang w:val="en-US" w:eastAsia="zh-CN"/>
        </w:rPr>
        <w:t>公开招标</w:t>
      </w:r>
      <w:r>
        <w:rPr>
          <w:rFonts w:hint="eastAsia" w:ascii="宋体" w:hAnsi="宋体" w:eastAsia="宋体" w:cs="宋体"/>
          <w:color w:val="000000"/>
          <w:sz w:val="24"/>
          <w:szCs w:val="24"/>
        </w:rPr>
        <w:t>。</w:t>
      </w:r>
    </w:p>
    <w:p>
      <w:pPr>
        <w:pStyle w:val="15"/>
        <w:tabs>
          <w:tab w:val="center" w:pos="4535"/>
        </w:tabs>
        <w:spacing w:line="360" w:lineRule="auto"/>
        <w:ind w:firstLine="480" w:firstLineChars="200"/>
        <w:rPr>
          <w:rFonts w:hint="eastAsia" w:ascii="宋体" w:hAnsi="宋体" w:eastAsia="宋体" w:cs="宋体"/>
          <w:b/>
          <w:color w:val="000000"/>
          <w:sz w:val="24"/>
          <w:szCs w:val="24"/>
          <w:lang w:eastAsia="zh-CN"/>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cs="宋体"/>
          <w:color w:val="000000"/>
          <w:sz w:val="24"/>
          <w:szCs w:val="24"/>
          <w:u w:val="single"/>
          <w:lang w:val="en-US" w:eastAsia="zh-CN"/>
        </w:rPr>
        <w:t>天然气组分分析仪招标项目</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w:t>
      </w:r>
      <w:r>
        <w:rPr>
          <w:rFonts w:hint="eastAsia" w:hAnsi="宋体" w:cs="宋体"/>
          <w:color w:val="000000"/>
          <w:sz w:val="24"/>
          <w:szCs w:val="24"/>
          <w:lang w:val="en-US" w:eastAsia="zh-CN"/>
        </w:rPr>
        <w:t>章丘区世纪大道7777号园区内</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eastAsia="宋体" w:cs="宋体"/>
          <w:color w:val="000000"/>
          <w:sz w:val="24"/>
          <w:szCs w:val="24"/>
          <w:lang w:val="en-US" w:eastAsia="zh-CN"/>
        </w:rPr>
        <w:t>半年期</w:t>
      </w:r>
      <w:r>
        <w:rPr>
          <w:rFonts w:hint="eastAsia" w:ascii="宋体" w:hAnsi="宋体" w:eastAsia="宋体" w:cs="宋体"/>
          <w:highlight w:val="yellow"/>
          <w:u w:val="single"/>
        </w:rPr>
        <w:t>银行承兑汇票</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5"/>
        <w:gridCol w:w="1069"/>
        <w:gridCol w:w="1301"/>
        <w:gridCol w:w="5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5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700"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316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color w:val="auto"/>
                <w:highlight w:val="none"/>
              </w:rPr>
            </w:pPr>
            <w:r>
              <w:rPr>
                <w:rFonts w:hint="eastAsia" w:ascii="宋体" w:hAnsi="宋体" w:eastAsia="宋体" w:cs="宋体"/>
                <w:b w:val="0"/>
                <w:color w:val="auto"/>
                <w:highlight w:val="none"/>
              </w:rPr>
              <w:t>天然气组分分析仪招标项目</w:t>
            </w:r>
          </w:p>
        </w:tc>
        <w:tc>
          <w:tcPr>
            <w:tcW w:w="575"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color w:val="auto"/>
                <w:highlight w:val="none"/>
              </w:rPr>
            </w:pPr>
            <w:r>
              <w:rPr>
                <w:rFonts w:hint="eastAsia" w:ascii="宋体" w:hAnsi="宋体" w:eastAsia="宋体" w:cs="宋体"/>
                <w:b w:val="0"/>
                <w:color w:val="auto"/>
                <w:highlight w:val="none"/>
                <w:lang w:val="en-US" w:eastAsia="zh-CN"/>
              </w:rPr>
              <w:t>闭口</w:t>
            </w:r>
            <w:r>
              <w:rPr>
                <w:rFonts w:hint="eastAsia" w:ascii="宋体" w:hAnsi="宋体" w:eastAsia="宋体" w:cs="宋体"/>
                <w:b w:val="0"/>
                <w:color w:val="auto"/>
                <w:highlight w:val="none"/>
              </w:rPr>
              <w:t>合同</w:t>
            </w:r>
          </w:p>
        </w:tc>
        <w:tc>
          <w:tcPr>
            <w:tcW w:w="700"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color w:val="auto"/>
                <w:highlight w:val="none"/>
              </w:rPr>
            </w:pPr>
            <w:r>
              <w:rPr>
                <w:rFonts w:hint="eastAsia" w:ascii="宋体" w:hAnsi="宋体" w:eastAsia="宋体" w:cs="宋体"/>
                <w:b w:val="0"/>
                <w:color w:val="auto"/>
                <w:highlight w:val="none"/>
              </w:rPr>
              <w:t>半年期银行承兑汇票</w:t>
            </w:r>
          </w:p>
        </w:tc>
        <w:tc>
          <w:tcPr>
            <w:tcW w:w="3167" w:type="pct"/>
            <w:tcBorders>
              <w:top w:val="single" w:color="auto" w:sz="4" w:space="0"/>
              <w:left w:val="single" w:color="auto" w:sz="4" w:space="0"/>
              <w:bottom w:val="single" w:color="auto" w:sz="4" w:space="0"/>
              <w:right w:val="single" w:color="auto" w:sz="4" w:space="0"/>
            </w:tcBorders>
            <w:vAlign w:val="center"/>
          </w:tcPr>
          <w:p>
            <w:pPr>
              <w:pStyle w:val="10"/>
              <w:rPr>
                <w:rFonts w:hint="default" w:eastAsia="宋体"/>
                <w:lang w:val="en-US" w:eastAsia="zh-CN"/>
              </w:rPr>
            </w:pPr>
            <w:r>
              <w:rPr>
                <w:rFonts w:hint="default" w:eastAsia="宋体"/>
                <w:lang w:val="en-US" w:eastAsia="zh-CN"/>
              </w:rPr>
              <w:t>3:6:1 ：</w:t>
            </w:r>
          </w:p>
          <w:p>
            <w:pPr>
              <w:pStyle w:val="10"/>
              <w:rPr>
                <w:rFonts w:hint="default" w:eastAsia="宋体"/>
                <w:lang w:val="en-US" w:eastAsia="zh-CN"/>
              </w:rPr>
            </w:pPr>
            <w:r>
              <w:rPr>
                <w:rFonts w:hint="default" w:eastAsia="宋体"/>
                <w:lang w:val="en-US" w:eastAsia="zh-CN"/>
              </w:rPr>
              <w:t>A.设备全部到货后，中标人提交金额为合同价款30%的收据并提供合同价款30%的增值税专用发票（含复印件二份），经招标人依照财务制度审核通过后</w:t>
            </w:r>
            <w:r>
              <w:rPr>
                <w:rFonts w:hint="eastAsia"/>
                <w:lang w:val="en-US" w:eastAsia="zh-CN"/>
              </w:rPr>
              <w:t>立即支</w:t>
            </w:r>
            <w:r>
              <w:rPr>
                <w:rFonts w:hint="default" w:eastAsia="宋体"/>
                <w:lang w:val="en-US" w:eastAsia="zh-CN"/>
              </w:rPr>
              <w:t>付；</w:t>
            </w:r>
          </w:p>
          <w:p>
            <w:pPr>
              <w:pStyle w:val="10"/>
              <w:rPr>
                <w:rFonts w:hint="default" w:eastAsia="宋体"/>
                <w:lang w:val="en-US" w:eastAsia="zh-CN"/>
              </w:rPr>
            </w:pPr>
            <w:r>
              <w:rPr>
                <w:rFonts w:hint="default" w:eastAsia="宋体"/>
                <w:lang w:val="en-US" w:eastAsia="zh-CN"/>
              </w:rPr>
              <w:t>B.设备验收合格后，中标人提交金额为合同价款60%的收据并提供合同价款</w:t>
            </w:r>
            <w:r>
              <w:rPr>
                <w:rFonts w:hint="eastAsia"/>
                <w:lang w:val="en-US" w:eastAsia="zh-CN"/>
              </w:rPr>
              <w:t>6</w:t>
            </w:r>
            <w:r>
              <w:rPr>
                <w:rFonts w:hint="default" w:eastAsia="宋体"/>
                <w:lang w:val="en-US" w:eastAsia="zh-CN"/>
              </w:rPr>
              <w:t>0%的增值税专用发票（含复印件二份），经招标人依照财务制度审核通过后</w:t>
            </w:r>
            <w:r>
              <w:rPr>
                <w:rFonts w:hint="eastAsia"/>
                <w:lang w:val="en-US" w:eastAsia="zh-CN"/>
              </w:rPr>
              <w:t>立即支</w:t>
            </w:r>
            <w:r>
              <w:rPr>
                <w:rFonts w:hint="default" w:eastAsia="宋体"/>
                <w:lang w:val="en-US" w:eastAsia="zh-CN"/>
              </w:rPr>
              <w:t>付；</w:t>
            </w:r>
          </w:p>
          <w:p>
            <w:pPr>
              <w:pStyle w:val="10"/>
              <w:rPr>
                <w:rFonts w:hint="default" w:eastAsia="宋体"/>
                <w:lang w:val="en-US" w:eastAsia="zh-CN"/>
              </w:rPr>
            </w:pPr>
            <w:r>
              <w:rPr>
                <w:rFonts w:hint="default" w:eastAsia="宋体"/>
                <w:lang w:val="en-US" w:eastAsia="zh-CN"/>
              </w:rPr>
              <w:t>C.合同总价款的10%作为本合同约定设备的质量保证金，质量保证金在质量保证期内不计利息。质保期届满后支付。</w:t>
            </w:r>
          </w:p>
          <w:p>
            <w:pPr>
              <w:pStyle w:val="82"/>
              <w:jc w:val="center"/>
              <w:rPr>
                <w:rFonts w:hint="default" w:ascii="宋体" w:hAnsi="宋体" w:eastAsia="宋体" w:cs="宋体"/>
                <w:b w:val="0"/>
                <w:color w:val="FF0000"/>
                <w:highlight w:val="none"/>
                <w:lang w:val="en-US" w:eastAsia="zh-CN"/>
              </w:rPr>
            </w:pP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（1）拟投标人须为所投</w:t>
      </w:r>
      <w:r>
        <w:rPr>
          <w:rFonts w:hint="eastAsia" w:hAnsi="宋体" w:cs="宋体"/>
          <w:color w:val="auto"/>
          <w:sz w:val="24"/>
          <w:szCs w:val="24"/>
          <w:lang w:val="en-US" w:eastAsia="zh-CN"/>
        </w:rPr>
        <w:t>进口</w:t>
      </w:r>
      <w:r>
        <w:rPr>
          <w:rFonts w:hint="eastAsia" w:ascii="宋体" w:hAnsi="宋体" w:eastAsia="宋体" w:cs="宋体"/>
          <w:color w:val="auto"/>
          <w:sz w:val="24"/>
          <w:szCs w:val="24"/>
        </w:rPr>
        <w:t>设备且具有本公司售后团队的国外制造商，或由该制造商合法授权的代理商（需提供制造商出具的专项授权书，明确授权范围及有效期）</w:t>
      </w:r>
      <w:r>
        <w:rPr>
          <w:rFonts w:hint="eastAsia" w:hAnsi="宋体" w:cs="宋体"/>
          <w:color w:val="auto"/>
          <w:sz w:val="24"/>
          <w:szCs w:val="24"/>
          <w:lang w:eastAsia="zh-CN"/>
        </w:rPr>
        <w:t>。</w:t>
      </w:r>
      <w:r>
        <w:rPr>
          <w:rFonts w:hint="eastAsia" w:ascii="宋体" w:hAnsi="宋体" w:eastAsia="宋体" w:cs="宋体"/>
          <w:color w:val="auto"/>
          <w:sz w:val="24"/>
          <w:szCs w:val="24"/>
        </w:rPr>
        <w:t>且经营范围满足招标人需求；并在人员、设备、资金等方面具有承担本项目的能力。</w:t>
      </w:r>
      <w:r>
        <w:rPr>
          <w:rFonts w:hint="default" w:ascii="宋体" w:hAnsi="宋体" w:eastAsia="宋体" w:cs="宋体"/>
          <w:color w:val="auto"/>
          <w:sz w:val="24"/>
          <w:szCs w:val="24"/>
          <w:lang w:val="en-US" w:eastAsia="zh-CN"/>
        </w:rPr>
        <w:t>国外制造商应在其注册所在国家/地区具备独立法人资格，拥有有效的注册证明文件，注册资金不低于</w:t>
      </w:r>
      <w:r>
        <w:rPr>
          <w:rFonts w:hint="eastAsia" w:hAnsi="宋体" w:eastAsia="宋体" w:cs="宋体"/>
          <w:color w:val="auto"/>
          <w:sz w:val="24"/>
          <w:szCs w:val="24"/>
          <w:lang w:val="en-US" w:eastAsia="zh-CN"/>
        </w:rPr>
        <w:t>3</w:t>
      </w:r>
      <w:r>
        <w:rPr>
          <w:rFonts w:hint="default" w:ascii="宋体" w:hAnsi="宋体" w:eastAsia="宋体" w:cs="宋体"/>
          <w:color w:val="auto"/>
          <w:sz w:val="24"/>
          <w:szCs w:val="24"/>
          <w:lang w:val="en-US" w:eastAsia="zh-CN"/>
        </w:rPr>
        <w:t>00万</w:t>
      </w:r>
      <w:r>
        <w:rPr>
          <w:rFonts w:hint="eastAsia" w:hAnsi="宋体" w:cs="宋体"/>
          <w:color w:val="auto"/>
          <w:sz w:val="24"/>
          <w:szCs w:val="24"/>
          <w:lang w:val="en-US" w:eastAsia="zh-CN"/>
        </w:rPr>
        <w:t>美元</w:t>
      </w:r>
      <w:r>
        <w:rPr>
          <w:rFonts w:hint="default" w:ascii="宋体" w:hAnsi="宋体" w:eastAsia="宋体" w:cs="宋体"/>
          <w:color w:val="auto"/>
          <w:sz w:val="24"/>
          <w:szCs w:val="24"/>
          <w:lang w:val="en-US" w:eastAsia="zh-CN"/>
        </w:rPr>
        <w:t>（或等值其他货币）</w:t>
      </w:r>
      <w:r>
        <w:rPr>
          <w:rFonts w:hint="eastAsia" w:ascii="宋体" w:hAnsi="宋体" w:eastAsia="宋体" w:cs="宋体"/>
          <w:color w:val="auto"/>
          <w:sz w:val="24"/>
          <w:szCs w:val="24"/>
          <w:lang w:val="en-US" w:eastAsia="zh-CN"/>
        </w:rPr>
        <w:t>，</w:t>
      </w:r>
      <w:r>
        <w:rPr>
          <w:rFonts w:hint="default" w:ascii="宋体" w:hAnsi="宋体" w:eastAsia="宋体" w:cs="宋体"/>
          <w:color w:val="auto"/>
          <w:sz w:val="24"/>
          <w:szCs w:val="24"/>
          <w:lang w:val="en-US" w:eastAsia="zh-CN"/>
        </w:rPr>
        <w:t>且成立时间满3年（以注册证明文件载明的成立日期至开标当日计算）；代理商须为中华人民共和国境内注册的独立法人，具备有效的营业执照，</w:t>
      </w:r>
      <w:r>
        <w:rPr>
          <w:rFonts w:hint="eastAsia" w:ascii="宋体" w:hAnsi="宋体" w:eastAsia="宋体" w:cs="宋体"/>
          <w:color w:val="auto"/>
          <w:sz w:val="24"/>
          <w:szCs w:val="24"/>
          <w:lang w:val="en-US" w:eastAsia="zh-CN"/>
        </w:rPr>
        <w:t>注册资金不低于300万人民币（或等值其他货币），</w:t>
      </w:r>
      <w:r>
        <w:rPr>
          <w:rFonts w:hint="default" w:ascii="宋体" w:hAnsi="宋体" w:eastAsia="宋体" w:cs="宋体"/>
          <w:color w:val="auto"/>
          <w:sz w:val="24"/>
          <w:szCs w:val="24"/>
          <w:lang w:val="en-US" w:eastAsia="zh-CN"/>
        </w:rPr>
        <w:t>成立时间满</w:t>
      </w:r>
      <w:r>
        <w:rPr>
          <w:rFonts w:hint="eastAsia" w:ascii="宋体" w:hAnsi="宋体" w:eastAsia="宋体" w:cs="宋体"/>
          <w:color w:val="auto"/>
          <w:sz w:val="24"/>
          <w:szCs w:val="24"/>
          <w:lang w:val="en-US" w:eastAsia="zh-CN"/>
        </w:rPr>
        <w:t>3</w:t>
      </w:r>
      <w:r>
        <w:rPr>
          <w:rFonts w:hint="default" w:ascii="宋体" w:hAnsi="宋体" w:eastAsia="宋体" w:cs="宋体"/>
          <w:color w:val="auto"/>
          <w:sz w:val="24"/>
          <w:szCs w:val="24"/>
          <w:lang w:val="en-US" w:eastAsia="zh-CN"/>
        </w:rPr>
        <w:t>年（以营业执照载明的成立日期至开标当日计算）。</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hAnsi="宋体" w:cs="宋体"/>
          <w:b/>
          <w:color w:val="000000"/>
          <w:sz w:val="24"/>
          <w:szCs w:val="24"/>
          <w:lang w:eastAsia="zh-CN"/>
        </w:rPr>
        <w:t>×</w:t>
      </w:r>
      <w:r>
        <w:rPr>
          <w:rFonts w:hint="eastAsia" w:ascii="宋体" w:hAnsi="宋体" w:eastAsia="宋体" w:cs="宋体"/>
          <w:b/>
          <w:color w:val="000000"/>
          <w:sz w:val="24"/>
          <w:szCs w:val="24"/>
        </w:rPr>
        <w:t xml:space="preserve">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1</w:t>
      </w:r>
      <w:r>
        <w:rPr>
          <w:rFonts w:hint="eastAsia" w:ascii="宋体" w:hAnsi="宋体" w:eastAsia="宋体" w:cs="宋体"/>
          <w:color w:val="000000"/>
          <w:kern w:val="2"/>
          <w:sz w:val="24"/>
          <w:szCs w:val="24"/>
          <w:highlight w:val="none"/>
          <w:lang w:val="en-US" w:eastAsia="zh-CN" w:bidi="ar-SA"/>
        </w:rPr>
        <w:t>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78"/>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rPr>
        <w:t>月</w:t>
      </w:r>
      <w:r>
        <w:rPr>
          <w:rFonts w:hint="default" w:ascii="宋体" w:hAnsi="宋体" w:eastAsia="宋体" w:cs="宋体"/>
          <w:b w:val="0"/>
          <w:color w:val="auto"/>
          <w:highlight w:val="none"/>
          <w:lang w:eastAsia="zh-CN"/>
          <w:woUserID w:val="1"/>
        </w:rPr>
        <w:t>9</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六</w:t>
      </w:r>
      <w:r>
        <w:rPr>
          <w:rFonts w:hint="eastAsia" w:ascii="宋体" w:hAnsi="宋体" w:eastAsia="宋体" w:cs="宋体"/>
          <w:b w:val="0"/>
          <w:color w:val="auto"/>
          <w:highlight w:val="none"/>
        </w:rPr>
        <w:t>）</w:t>
      </w:r>
    </w:p>
    <w:p>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w:t>
      </w:r>
      <w:r>
        <w:rPr>
          <w:rFonts w:hint="eastAsia" w:eastAsia="宋体" w:cs="宋体"/>
          <w:b/>
          <w:bCs/>
          <w:color w:val="000000"/>
          <w:kern w:val="2"/>
          <w:sz w:val="24"/>
          <w:szCs w:val="24"/>
          <w:lang w:val="en-US" w:eastAsia="zh-CN" w:bidi="ar-SA"/>
        </w:rPr>
        <w:t>2026年</w:t>
      </w:r>
      <w:r>
        <w:rPr>
          <w:rFonts w:hint="default" w:eastAsia="宋体" w:cs="宋体"/>
          <w:b/>
          <w:bCs/>
          <w:color w:val="000000"/>
          <w:kern w:val="2"/>
          <w:sz w:val="24"/>
          <w:szCs w:val="24"/>
          <w:lang w:eastAsia="zh-CN" w:bidi="ar-SA"/>
          <w:woUserID w:val="1"/>
        </w:rPr>
        <w:t>5</w:t>
      </w:r>
      <w:r>
        <w:rPr>
          <w:rFonts w:hint="eastAsia" w:eastAsia="宋体" w:cs="宋体"/>
          <w:b/>
          <w:bCs/>
          <w:color w:val="000000"/>
          <w:kern w:val="2"/>
          <w:sz w:val="24"/>
          <w:szCs w:val="24"/>
          <w:lang w:val="en-US" w:eastAsia="zh-CN" w:bidi="ar-SA"/>
        </w:rPr>
        <w:t>月</w:t>
      </w:r>
      <w:r>
        <w:rPr>
          <w:rFonts w:hint="default" w:eastAsia="宋体" w:cs="宋体"/>
          <w:b/>
          <w:bCs/>
          <w:color w:val="000000"/>
          <w:kern w:val="2"/>
          <w:sz w:val="24"/>
          <w:szCs w:val="24"/>
          <w:lang w:eastAsia="zh-CN" w:bidi="ar-SA"/>
          <w:woUserID w:val="1"/>
        </w:rPr>
        <w:t>13</w:t>
      </w:r>
      <w:r>
        <w:rPr>
          <w:rFonts w:hint="eastAsia" w:eastAsia="宋体" w:cs="宋体"/>
          <w:b/>
          <w:bCs/>
          <w:color w:val="000000"/>
          <w:kern w:val="2"/>
          <w:sz w:val="24"/>
          <w:szCs w:val="24"/>
          <w:lang w:val="en-US" w:eastAsia="zh-CN" w:bidi="ar-SA"/>
        </w:rPr>
        <w:t>日（周</w:t>
      </w:r>
      <w:r>
        <w:rPr>
          <w:rFonts w:hint="default" w:eastAsia="宋体" w:cs="宋体"/>
          <w:b/>
          <w:bCs/>
          <w:color w:val="000000"/>
          <w:kern w:val="2"/>
          <w:sz w:val="24"/>
          <w:szCs w:val="24"/>
          <w:lang w:eastAsia="zh-CN" w:bidi="ar-SA"/>
          <w:woUserID w:val="1"/>
        </w:rPr>
        <w:t>三</w:t>
      </w:r>
      <w:r>
        <w:rPr>
          <w:rFonts w:hint="eastAsia" w:eastAsia="宋体" w:cs="宋体"/>
          <w:b/>
          <w:bCs/>
          <w:color w:val="000000"/>
          <w:kern w:val="2"/>
          <w:sz w:val="24"/>
          <w:szCs w:val="24"/>
          <w:lang w:val="en-US" w:eastAsia="zh-CN" w:bidi="ar-SA"/>
        </w:rPr>
        <w:t>）17:00:00（时间精确到秒）</w:t>
      </w:r>
    </w:p>
    <w:p>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eastAsia" w:eastAsia="宋体" w:cs="宋体"/>
          <w:b/>
          <w:bCs/>
          <w:color w:val="000000"/>
          <w:kern w:val="2"/>
          <w:sz w:val="24"/>
          <w:szCs w:val="24"/>
          <w:lang w:val="en-US" w:eastAsia="zh-CN" w:bidi="ar-SA"/>
        </w:rPr>
        <w:t>2026年5月</w:t>
      </w:r>
      <w:r>
        <w:rPr>
          <w:rFonts w:hint="default" w:eastAsia="宋体" w:cs="宋体"/>
          <w:b/>
          <w:bCs/>
          <w:color w:val="000000"/>
          <w:kern w:val="2"/>
          <w:sz w:val="24"/>
          <w:szCs w:val="24"/>
          <w:lang w:eastAsia="zh-CN" w:bidi="ar-SA"/>
          <w:woUserID w:val="1"/>
        </w:rPr>
        <w:t>1</w:t>
      </w:r>
      <w:r>
        <w:rPr>
          <w:rFonts w:hint="default" w:eastAsia="宋体" w:cs="宋体"/>
          <w:b/>
          <w:bCs/>
          <w:color w:val="000000"/>
          <w:kern w:val="2"/>
          <w:sz w:val="24"/>
          <w:szCs w:val="24"/>
          <w:lang w:eastAsia="zh-CN" w:bidi="ar-SA"/>
          <w:woUserID w:val="1"/>
        </w:rPr>
        <w:t>9</w:t>
      </w:r>
      <w:r>
        <w:rPr>
          <w:rFonts w:hint="eastAsia" w:eastAsia="宋体" w:cs="宋体"/>
          <w:b/>
          <w:bCs/>
          <w:color w:val="000000"/>
          <w:kern w:val="2"/>
          <w:sz w:val="24"/>
          <w:szCs w:val="24"/>
          <w:lang w:val="en-US" w:eastAsia="zh-CN" w:bidi="ar-SA"/>
        </w:rPr>
        <w:t>日（周</w:t>
      </w:r>
      <w:r>
        <w:rPr>
          <w:rFonts w:hint="default" w:eastAsia="宋体" w:cs="宋体"/>
          <w:b/>
          <w:bCs/>
          <w:color w:val="000000"/>
          <w:kern w:val="2"/>
          <w:sz w:val="24"/>
          <w:szCs w:val="24"/>
          <w:lang w:eastAsia="zh-CN" w:bidi="ar-SA"/>
          <w:woUserID w:val="1"/>
        </w:rPr>
        <w:t>二</w:t>
      </w:r>
      <w:r>
        <w:rPr>
          <w:rFonts w:hint="eastAsia" w:eastAsia="宋体" w:cs="宋体"/>
          <w:b/>
          <w:bCs/>
          <w:color w:val="000000"/>
          <w:kern w:val="2"/>
          <w:sz w:val="24"/>
          <w:szCs w:val="24"/>
          <w:lang w:val="en-US" w:eastAsia="zh-CN" w:bidi="ar-SA"/>
        </w:rPr>
        <w:t>）9:00:00（时间精确到秒）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rPr>
        <w:t>6</w:t>
      </w:r>
      <w:r>
        <w:rPr>
          <w:rFonts w:hint="eastAsia" w:ascii="宋体" w:hAnsi="宋体" w:eastAsia="宋体" w:cs="宋体"/>
          <w:bCs/>
        </w:rPr>
        <w:t>年</w:t>
      </w:r>
      <w:r>
        <w:rPr>
          <w:rFonts w:hint="default" w:eastAsia="宋体" w:cs="宋体"/>
          <w:bCs/>
          <w:woUserID w:val="1"/>
        </w:rPr>
        <w:t>5</w:t>
      </w:r>
      <w:r>
        <w:rPr>
          <w:rFonts w:hint="eastAsia" w:ascii="宋体" w:hAnsi="宋体" w:eastAsia="宋体" w:cs="宋体"/>
          <w:bCs/>
        </w:rPr>
        <w:t>月</w:t>
      </w:r>
      <w:r>
        <w:rPr>
          <w:rFonts w:hint="default" w:eastAsia="宋体" w:cs="宋体"/>
          <w:bCs/>
          <w:woUserID w:val="1"/>
        </w:rPr>
        <w:t>18</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一</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eastAsia" w:eastAsia="宋体" w:cs="宋体"/>
          <w:bCs/>
          <w:lang w:val="en-US" w:eastAsia="zh-CN"/>
          <w:woUserID w:val="1"/>
        </w:rPr>
        <w:t>6</w:t>
      </w:r>
      <w:r>
        <w:rPr>
          <w:rFonts w:hint="eastAsia" w:ascii="宋体" w:hAnsi="宋体" w:eastAsia="宋体" w:cs="宋体"/>
          <w:bCs/>
          <w:woUserID w:val="1"/>
        </w:rPr>
        <w:t>年</w:t>
      </w:r>
      <w:r>
        <w:rPr>
          <w:rFonts w:hint="default" w:eastAsia="宋体" w:cs="宋体"/>
          <w:bCs/>
          <w:woUserID w:val="1"/>
        </w:rPr>
        <w:t>5</w:t>
      </w:r>
      <w:r>
        <w:rPr>
          <w:rFonts w:hint="eastAsia" w:ascii="宋体" w:hAnsi="宋体" w:eastAsia="宋体" w:cs="宋体"/>
          <w:bCs/>
          <w:woUserID w:val="1"/>
        </w:rPr>
        <w:t>月</w:t>
      </w:r>
      <w:r>
        <w:rPr>
          <w:rFonts w:hint="default" w:eastAsia="宋体" w:cs="宋体"/>
          <w:bCs/>
          <w:woUserID w:val="1"/>
        </w:rPr>
        <w:t>18</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一</w:t>
      </w:r>
      <w:r>
        <w:rPr>
          <w:rFonts w:hint="eastAsia" w:ascii="宋体" w:hAnsi="宋体" w:eastAsia="宋体" w:cs="宋体"/>
          <w:woUserID w:val="1"/>
        </w:rPr>
        <w:t>）</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王云鹏</w:t>
      </w:r>
    </w:p>
    <w:p>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13844047521</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wangyunpeng</w:t>
      </w:r>
      <w:r>
        <w:rPr>
          <w:rFonts w:hint="eastAsia" w:ascii="宋体" w:hAnsi="宋体" w:eastAsia="宋体" w:cs="宋体"/>
        </w:rPr>
        <w:t>@sinotruk.com</w:t>
      </w:r>
      <w:r>
        <w:rPr>
          <w:rFonts w:hint="eastAsia" w:eastAsia="宋体" w:cs="宋体"/>
          <w:lang w:val="en-US" w:eastAsia="zh-CN"/>
        </w:rPr>
        <w:t xml:space="preserve"> </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pPr>
        <w:pStyle w:val="15"/>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w:t>
      </w:r>
      <w:r>
        <w:rPr>
          <w:rFonts w:hint="eastAsia" w:hAnsi="宋体" w:cs="宋体"/>
          <w:color w:val="000000"/>
          <w:sz w:val="24"/>
          <w:szCs w:val="24"/>
          <w:highlight w:val="cyan"/>
          <w:lang w:val="en-US" w:eastAsia="zh-CN"/>
        </w:rPr>
        <w:t>026</w:t>
      </w:r>
      <w:r>
        <w:rPr>
          <w:rFonts w:hint="eastAsia" w:ascii="宋体" w:hAnsi="宋体" w:eastAsia="宋体" w:cs="宋体"/>
          <w:color w:val="000000"/>
          <w:sz w:val="24"/>
          <w:szCs w:val="24"/>
          <w:highlight w:val="cyan"/>
        </w:rPr>
        <w:t>年</w:t>
      </w:r>
      <w:r>
        <w:rPr>
          <w:rFonts w:hint="eastAsia" w:hAnsi="宋体" w:cs="宋体"/>
          <w:color w:val="000000"/>
          <w:sz w:val="24"/>
          <w:szCs w:val="24"/>
          <w:highlight w:val="cyan"/>
          <w:lang w:val="en-US" w:eastAsia="zh-CN"/>
        </w:rPr>
        <w:t>5</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1</w:t>
      </w:r>
      <w:r>
        <w:rPr>
          <w:rFonts w:hint="default" w:hAnsi="宋体" w:cs="宋体"/>
          <w:color w:val="000000"/>
          <w:sz w:val="24"/>
          <w:szCs w:val="24"/>
          <w:highlight w:val="cyan"/>
          <w:woUserID w:val="1"/>
        </w:rPr>
        <w:t>9</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二</w:t>
      </w:r>
      <w:bookmarkStart w:id="32" w:name="_GoBack"/>
      <w:bookmarkEnd w:id="32"/>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上</w:t>
      </w:r>
      <w:r>
        <w:rPr>
          <w:rFonts w:hint="eastAsia" w:ascii="宋体" w:hAnsi="宋体" w:eastAsia="宋体" w:cs="宋体"/>
          <w:color w:val="000000"/>
          <w:sz w:val="24"/>
          <w:szCs w:val="24"/>
          <w:highlight w:val="cyan"/>
        </w:rPr>
        <w:t>午</w:t>
      </w:r>
      <w:r>
        <w:rPr>
          <w:rFonts w:hint="eastAsia" w:hAnsi="宋体" w:cs="宋体"/>
          <w:color w:val="000000"/>
          <w:sz w:val="24"/>
          <w:szCs w:val="24"/>
          <w:highlight w:val="cyan"/>
          <w:lang w:val="en-US" w:eastAsia="zh-CN"/>
        </w:rPr>
        <w:t>9</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0</w:t>
      </w:r>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15"/>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综合评标法（</w:t>
      </w:r>
      <w:r>
        <w:rPr>
          <w:rFonts w:hint="eastAsia" w:ascii="宋体" w:hAnsi="宋体" w:cs="宋体"/>
          <w:b/>
          <w:bCs/>
          <w:sz w:val="24"/>
          <w:szCs w:val="24"/>
          <w:lang w:val="en-US" w:eastAsia="zh-CN"/>
        </w:rPr>
        <w:t>技术标占比40%，商务标占比60%</w:t>
      </w:r>
      <w:r>
        <w:rPr>
          <w:rFonts w:hint="eastAsia" w:ascii="宋体" w:hAnsi="宋体" w:cs="宋体"/>
          <w:b/>
          <w:bCs/>
          <w:sz w:val="24"/>
          <w:szCs w:val="24"/>
          <w:lang w:eastAsia="zh-CN"/>
        </w:rPr>
        <w:t>）</w:t>
      </w:r>
      <w:r>
        <w:rPr>
          <w:rFonts w:hint="eastAsia" w:ascii="宋体" w:hAnsi="宋体" w:cs="宋体"/>
          <w:b/>
          <w:bCs/>
          <w:sz w:val="24"/>
          <w:szCs w:val="24"/>
          <w:lang w:val="en-US" w:eastAsia="zh-CN"/>
        </w:rPr>
        <w:t>确认最终中标方。</w:t>
      </w:r>
      <w:r>
        <w:rPr>
          <w:rFonts w:hint="eastAsia" w:ascii="宋体" w:hAnsi="宋体" w:eastAsia="宋体" w:cs="宋体"/>
          <w:color w:val="000000"/>
          <w:sz w:val="24"/>
          <w:szCs w:val="24"/>
        </w:rPr>
        <w:t>本着公平、公正、公开的原则，通过综合评审后</w:t>
      </w:r>
      <w:r>
        <w:rPr>
          <w:rFonts w:hint="eastAsia" w:ascii="宋体" w:hAnsi="宋体" w:cs="宋体"/>
          <w:color w:val="000000"/>
          <w:sz w:val="24"/>
          <w:szCs w:val="24"/>
          <w:lang w:val="en-US" w:eastAsia="zh-CN"/>
        </w:rPr>
        <w:t>确认中标方</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cs="宋体"/>
          <w:b/>
          <w:color w:val="000000"/>
          <w:sz w:val="24"/>
          <w:szCs w:val="24"/>
          <w:lang w:val="en-US" w:eastAsia="zh-CN"/>
        </w:rPr>
        <w:t>环节；</w:t>
      </w:r>
    </w:p>
    <w:p>
      <w:pPr>
        <w:numPr>
          <w:ilvl w:val="0"/>
          <w:numId w:val="4"/>
        </w:numPr>
        <w:spacing w:line="420" w:lineRule="exact"/>
        <w:rPr>
          <w:rFonts w:hint="eastAsia"/>
        </w:rPr>
      </w:pPr>
      <w:r>
        <w:rPr>
          <w:rFonts w:hint="eastAsia" w:ascii="宋体" w:hAnsi="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pPr>
        <w:numPr>
          <w:ilvl w:val="0"/>
          <w:numId w:val="5"/>
        </w:numPr>
        <w:spacing w:line="420" w:lineRule="exact"/>
        <w:rPr>
          <w:rFonts w:hint="eastAsia"/>
        </w:rPr>
      </w:pPr>
      <w:r>
        <w:rPr>
          <w:rFonts w:hint="eastAsia" w:ascii="宋体" w:hAnsi="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cs="宋体"/>
          <w:b/>
          <w:sz w:val="24"/>
          <w:szCs w:val="24"/>
          <w:lang w:eastAsia="zh-CN"/>
        </w:rPr>
        <w:t>。</w:t>
      </w:r>
    </w:p>
    <w:p>
      <w:pPr>
        <w:numPr>
          <w:ilvl w:val="0"/>
          <w:numId w:val="5"/>
        </w:numPr>
        <w:spacing w:line="420" w:lineRule="exact"/>
        <w:rPr>
          <w:rFonts w:hint="eastAsia"/>
        </w:rPr>
      </w:pPr>
      <w:r>
        <w:rPr>
          <w:rFonts w:hint="eastAsia" w:ascii="宋体" w:hAnsi="宋体" w:cs="宋体"/>
          <w:b/>
          <w:sz w:val="24"/>
          <w:szCs w:val="24"/>
          <w:lang w:eastAsia="zh-CN"/>
        </w:rPr>
        <w:t>第一轮：评标小组组织评/议标，</w:t>
      </w:r>
      <w:r>
        <w:rPr>
          <w:rFonts w:hint="eastAsia" w:ascii="宋体" w:hAnsi="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r>
        <w:rPr>
          <w:rFonts w:hint="eastAsia" w:ascii="宋体" w:hAnsi="宋体" w:cs="宋体"/>
          <w:b/>
          <w:bCs/>
          <w:color w:val="000000"/>
          <w:sz w:val="24"/>
          <w:szCs w:val="24"/>
          <w:highlight w:val="none"/>
          <w:lang w:val="en-US" w:eastAsia="zh-CN"/>
        </w:rPr>
        <w:t>随后</w:t>
      </w:r>
      <w:r>
        <w:rPr>
          <w:rFonts w:hint="eastAsia" w:ascii="宋体" w:hAnsi="宋体" w:cs="宋体"/>
          <w:b/>
          <w:sz w:val="24"/>
          <w:szCs w:val="24"/>
          <w:lang w:eastAsia="zh-CN"/>
        </w:rPr>
        <w:t>在其报价的基础上开展谈判，根据谈判结果择优推荐至少 2 家入围的候选中标人。</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cs="宋体"/>
          <w:b/>
          <w:sz w:val="24"/>
          <w:szCs w:val="24"/>
          <w:lang w:val="en-US" w:eastAsia="zh-CN"/>
        </w:rPr>
        <w:t>第二轮：评标小组与第一轮入围的候选中标人开展谈判，择优推荐中标人。</w:t>
      </w:r>
    </w:p>
    <w:p>
      <w:pPr>
        <w:pStyle w:val="3"/>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资质审核通过后，根据综合评标确认最终中标方。</w:t>
      </w:r>
    </w:p>
    <w:p>
      <w:pPr>
        <w:pStyle w:val="78"/>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353881012"/>
      <w:bookmarkStart w:id="7" w:name="_Toc25811"/>
      <w:bookmarkStart w:id="8" w:name="_Toc639004"/>
      <w:bookmarkStart w:id="9" w:name="_Toc212369550"/>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551"/>
        <w:gridCol w:w="1565"/>
        <w:gridCol w:w="3129"/>
        <w:gridCol w:w="2386"/>
        <w:gridCol w:w="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eastAsia" w:ascii="宋体" w:hAnsi="宋体" w:eastAsia="宋体" w:cs="宋体"/>
                <w:b w:val="0"/>
                <w:bCs/>
                <w:sz w:val="21"/>
                <w:szCs w:val="21"/>
              </w:rPr>
            </w:pPr>
            <w:r>
              <w:rPr>
                <w:rFonts w:hint="eastAsia" w:ascii="宋体" w:hAnsi="宋体" w:eastAsia="宋体" w:cs="宋体"/>
                <w:b w:val="0"/>
                <w:bCs/>
                <w:sz w:val="21"/>
                <w:szCs w:val="21"/>
              </w:rPr>
              <w:t>序号</w:t>
            </w:r>
          </w:p>
        </w:tc>
        <w:tc>
          <w:tcPr>
            <w:tcW w:w="2826" w:type="pct"/>
            <w:gridSpan w:val="3"/>
            <w:vAlign w:val="center"/>
          </w:tcPr>
          <w:p>
            <w:pPr>
              <w:pStyle w:val="82"/>
              <w:rPr>
                <w:rFonts w:hint="eastAsia" w:ascii="宋体" w:hAnsi="宋体" w:eastAsia="宋体" w:cs="宋体"/>
                <w:b w:val="0"/>
                <w:bCs/>
                <w:sz w:val="21"/>
                <w:szCs w:val="21"/>
              </w:rPr>
            </w:pPr>
            <w:r>
              <w:rPr>
                <w:rFonts w:hint="eastAsia" w:ascii="宋体" w:hAnsi="宋体" w:eastAsia="宋体" w:cs="宋体"/>
                <w:b w:val="0"/>
                <w:bCs/>
                <w:sz w:val="21"/>
                <w:szCs w:val="21"/>
              </w:rPr>
              <w:t>招标要求</w:t>
            </w:r>
          </w:p>
        </w:tc>
        <w:tc>
          <w:tcPr>
            <w:tcW w:w="1285" w:type="pct"/>
            <w:vAlign w:val="center"/>
          </w:tcPr>
          <w:p>
            <w:pPr>
              <w:pStyle w:val="82"/>
              <w:rPr>
                <w:rFonts w:hint="eastAsia" w:ascii="宋体" w:hAnsi="宋体" w:eastAsia="宋体" w:cs="宋体"/>
                <w:b w:val="0"/>
                <w:bCs/>
                <w:sz w:val="21"/>
                <w:szCs w:val="21"/>
              </w:rPr>
            </w:pPr>
            <w:r>
              <w:rPr>
                <w:rFonts w:hint="eastAsia" w:ascii="宋体" w:hAnsi="宋体" w:eastAsia="宋体" w:cs="宋体"/>
                <w:b w:val="0"/>
                <w:bCs/>
                <w:sz w:val="21"/>
                <w:szCs w:val="21"/>
              </w:rPr>
              <w:t>响应规格</w:t>
            </w:r>
          </w:p>
        </w:tc>
        <w:tc>
          <w:tcPr>
            <w:tcW w:w="483" w:type="pct"/>
            <w:vAlign w:val="center"/>
          </w:tcPr>
          <w:p>
            <w:pPr>
              <w:pStyle w:val="82"/>
              <w:rPr>
                <w:rFonts w:hint="eastAsia" w:ascii="宋体" w:hAnsi="宋体" w:eastAsia="宋体" w:cs="宋体"/>
                <w:b w:val="0"/>
                <w:bCs/>
                <w:sz w:val="21"/>
                <w:szCs w:val="21"/>
              </w:rPr>
            </w:pPr>
            <w:r>
              <w:rPr>
                <w:rFonts w:hint="eastAsia" w:ascii="宋体" w:hAnsi="宋体" w:eastAsia="宋体" w:cs="宋体"/>
                <w:b w:val="0"/>
                <w:bCs/>
                <w:sz w:val="21"/>
                <w:szCs w:val="21"/>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w:t>
            </w:r>
          </w:p>
        </w:tc>
        <w:tc>
          <w:tcPr>
            <w:tcW w:w="296" w:type="pct"/>
            <w:vMerge w:val="restart"/>
            <w:shd w:val="clear" w:color="auto" w:fill="auto"/>
            <w:vAlign w:val="center"/>
          </w:tcPr>
          <w:p>
            <w:pPr>
              <w:keepNext w:val="0"/>
              <w:keepLines w:val="0"/>
              <w:widowControl/>
              <w:suppressLineNumbers w:val="0"/>
              <w:jc w:val="center"/>
              <w:textAlignment w:val="center"/>
              <w:rPr>
                <w:rFonts w:hint="eastAsia" w:eastAsia="宋体" w:cs="宋体"/>
                <w:b w:val="0"/>
                <w:bCs/>
                <w:sz w:val="21"/>
                <w:szCs w:val="21"/>
              </w:rPr>
            </w:pPr>
            <w:r>
              <w:rPr>
                <w:rFonts w:hint="eastAsia" w:eastAsia="宋体" w:cs="宋体"/>
                <w:b w:val="0"/>
                <w:bCs/>
                <w:sz w:val="21"/>
                <w:szCs w:val="21"/>
              </w:rPr>
              <w:t>★</w:t>
            </w:r>
          </w:p>
          <w:p>
            <w:pPr>
              <w:keepNext w:val="0"/>
              <w:keepLines w:val="0"/>
              <w:widowControl/>
              <w:suppressLineNumbers w:val="0"/>
              <w:jc w:val="center"/>
              <w:textAlignment w:val="center"/>
              <w:rPr>
                <w:rFonts w:hint="eastAsia" w:ascii="宋体" w:hAnsi="宋体" w:eastAsia="宋体" w:cs="宋体"/>
                <w:b w:val="0"/>
                <w:bCs/>
                <w:i w:val="0"/>
                <w:iCs w:val="0"/>
                <w:color w:val="000000"/>
                <w:kern w:val="0"/>
                <w:sz w:val="21"/>
                <w:szCs w:val="21"/>
                <w:u w:val="none"/>
                <w:lang w:val="en-US" w:eastAsia="zh-CN" w:bidi="ar"/>
              </w:rPr>
            </w:pPr>
            <w:r>
              <w:rPr>
                <w:rFonts w:hint="eastAsia" w:ascii="宋体" w:hAnsi="宋体" w:eastAsia="宋体" w:cs="宋体"/>
                <w:b w:val="0"/>
                <w:bCs/>
                <w:i w:val="0"/>
                <w:iCs w:val="0"/>
                <w:color w:val="000000"/>
                <w:kern w:val="0"/>
                <w:sz w:val="21"/>
                <w:szCs w:val="21"/>
                <w:u w:val="none"/>
                <w:lang w:val="en-US" w:eastAsia="zh-CN" w:bidi="ar"/>
              </w:rPr>
              <w:t>配置</w:t>
            </w:r>
          </w:p>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方案</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三阀四柱两检测</w:t>
            </w:r>
          </w:p>
        </w:tc>
        <w:tc>
          <w:tcPr>
            <w:tcW w:w="1285" w:type="pct"/>
            <w:vAlign w:val="center"/>
          </w:tcPr>
          <w:p>
            <w:pPr>
              <w:pStyle w:val="82"/>
              <w:rPr>
                <w:rFonts w:hint="eastAsia" w:ascii="宋体" w:hAnsi="宋体" w:eastAsia="宋体" w:cs="宋体"/>
                <w:b w:val="0"/>
                <w:bCs/>
                <w:sz w:val="21"/>
                <w:szCs w:val="21"/>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检测器</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TCD</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1,FID</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1</w:t>
            </w:r>
          </w:p>
        </w:tc>
        <w:tc>
          <w:tcPr>
            <w:tcW w:w="1285" w:type="pct"/>
            <w:vAlign w:val="center"/>
          </w:tcPr>
          <w:p>
            <w:pPr>
              <w:pStyle w:val="82"/>
              <w:rPr>
                <w:rFonts w:hint="eastAsia" w:ascii="宋体" w:hAnsi="宋体" w:eastAsia="宋体" w:cs="宋体"/>
                <w:b w:val="0"/>
                <w:bCs/>
                <w:sz w:val="21"/>
                <w:szCs w:val="21"/>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主机</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最新型号最高版本台式机</w:t>
            </w:r>
          </w:p>
        </w:tc>
        <w:tc>
          <w:tcPr>
            <w:tcW w:w="1285" w:type="pct"/>
            <w:vAlign w:val="center"/>
          </w:tcPr>
          <w:p>
            <w:pPr>
              <w:pStyle w:val="82"/>
              <w:rPr>
                <w:rFonts w:hint="eastAsia" w:ascii="宋体" w:hAnsi="宋体" w:eastAsia="宋体" w:cs="宋体"/>
                <w:b w:val="0"/>
                <w:bCs/>
                <w:sz w:val="21"/>
                <w:szCs w:val="21"/>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进样口</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分流不分流进样口</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1</w:t>
            </w:r>
          </w:p>
        </w:tc>
        <w:tc>
          <w:tcPr>
            <w:tcW w:w="1285" w:type="pct"/>
            <w:vAlign w:val="center"/>
          </w:tcPr>
          <w:p>
            <w:pPr>
              <w:pStyle w:val="82"/>
              <w:rPr>
                <w:rFonts w:hint="eastAsia" w:ascii="宋体" w:hAnsi="宋体" w:eastAsia="宋体" w:cs="宋体"/>
                <w:b w:val="0"/>
                <w:bCs/>
                <w:sz w:val="21"/>
                <w:szCs w:val="21"/>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5</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阀</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6通阀</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2、10通阀</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1</w:t>
            </w:r>
          </w:p>
        </w:tc>
        <w:tc>
          <w:tcPr>
            <w:tcW w:w="1285" w:type="pct"/>
            <w:vAlign w:val="center"/>
          </w:tcPr>
          <w:p>
            <w:pPr>
              <w:pStyle w:val="82"/>
              <w:rPr>
                <w:rFonts w:hint="eastAsia" w:ascii="宋体" w:hAnsi="宋体" w:eastAsia="宋体" w:cs="宋体"/>
                <w:b w:val="0"/>
                <w:bCs/>
                <w:sz w:val="21"/>
                <w:szCs w:val="21"/>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6</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阀箱</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可加热自动化阀箱</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1套</w:t>
            </w:r>
          </w:p>
        </w:tc>
        <w:tc>
          <w:tcPr>
            <w:tcW w:w="1285" w:type="pct"/>
            <w:vAlign w:val="center"/>
          </w:tcPr>
          <w:p>
            <w:pPr>
              <w:pStyle w:val="82"/>
              <w:rPr>
                <w:rFonts w:hint="eastAsia" w:ascii="宋体" w:hAnsi="宋体" w:eastAsia="宋体" w:cs="宋体"/>
                <w:b w:val="0"/>
                <w:bCs/>
                <w:sz w:val="21"/>
                <w:szCs w:val="21"/>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7</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柱温箱</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1个</w:t>
            </w:r>
          </w:p>
        </w:tc>
        <w:tc>
          <w:tcPr>
            <w:tcW w:w="1285" w:type="pct"/>
            <w:vAlign w:val="center"/>
          </w:tcPr>
          <w:p>
            <w:pPr>
              <w:pStyle w:val="82"/>
              <w:rPr>
                <w:rFonts w:hint="eastAsia" w:ascii="宋体" w:hAnsi="宋体" w:eastAsia="宋体" w:cs="宋体"/>
                <w:b w:val="0"/>
                <w:bCs/>
                <w:sz w:val="21"/>
                <w:szCs w:val="21"/>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8</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色谱柱</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填充柱</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3、50mPONA毛细管柱</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1</w:t>
            </w:r>
          </w:p>
        </w:tc>
        <w:tc>
          <w:tcPr>
            <w:tcW w:w="1285" w:type="pct"/>
            <w:vAlign w:val="center"/>
          </w:tcPr>
          <w:p>
            <w:pPr>
              <w:pStyle w:val="82"/>
              <w:rPr>
                <w:rFonts w:hint="eastAsia" w:ascii="宋体" w:hAnsi="宋体" w:eastAsia="宋体" w:cs="宋体"/>
                <w:b w:val="0"/>
                <w:bCs/>
                <w:sz w:val="21"/>
                <w:szCs w:val="21"/>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9</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台式</w:t>
            </w:r>
            <w:r>
              <w:rPr>
                <w:rFonts w:hint="eastAsia" w:ascii="宋体" w:hAnsi="宋体" w:cs="宋体"/>
                <w:b w:val="0"/>
                <w:bCs/>
                <w:i w:val="0"/>
                <w:iCs w:val="0"/>
                <w:color w:val="000000"/>
                <w:kern w:val="0"/>
                <w:sz w:val="21"/>
                <w:szCs w:val="21"/>
                <w:u w:val="none"/>
                <w:lang w:val="en-US" w:eastAsia="zh-CN" w:bidi="ar"/>
              </w:rPr>
              <w:t>电脑</w:t>
            </w:r>
            <w:r>
              <w:rPr>
                <w:rFonts w:hint="eastAsia" w:ascii="宋体" w:hAnsi="宋体" w:eastAsia="宋体" w:cs="宋体"/>
                <w:b w:val="0"/>
                <w:bCs/>
                <w:i w:val="0"/>
                <w:iCs w:val="0"/>
                <w:color w:val="000000"/>
                <w:kern w:val="0"/>
                <w:sz w:val="21"/>
                <w:szCs w:val="21"/>
                <w:u w:val="none"/>
                <w:lang w:val="en-US" w:eastAsia="zh-CN" w:bidi="ar"/>
              </w:rPr>
              <w:t>主机</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1台（I7处理器，16G内存，1T固态硬盘，27寸显示器）</w:t>
            </w:r>
          </w:p>
        </w:tc>
        <w:tc>
          <w:tcPr>
            <w:tcW w:w="1285" w:type="pct"/>
            <w:vAlign w:val="center"/>
          </w:tcPr>
          <w:p>
            <w:pPr>
              <w:pStyle w:val="82"/>
              <w:rPr>
                <w:rFonts w:hint="eastAsia" w:ascii="宋体" w:hAnsi="宋体" w:eastAsia="宋体" w:cs="宋体"/>
                <w:b w:val="0"/>
                <w:bCs/>
                <w:sz w:val="21"/>
                <w:szCs w:val="21"/>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10</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工作站</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支持中文原版软件，自动数据收集处理，计算热值</w:t>
            </w:r>
          </w:p>
        </w:tc>
        <w:tc>
          <w:tcPr>
            <w:tcW w:w="1285" w:type="pct"/>
            <w:vAlign w:val="center"/>
          </w:tcPr>
          <w:p>
            <w:pPr>
              <w:pStyle w:val="82"/>
              <w:rPr>
                <w:rFonts w:hint="eastAsia" w:ascii="宋体" w:hAnsi="宋体" w:eastAsia="宋体" w:cs="宋体"/>
                <w:b w:val="0"/>
                <w:bCs/>
                <w:sz w:val="21"/>
                <w:szCs w:val="21"/>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11</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载气过滤器（氧气、水、烃类）&gt;700cc,</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氦气</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1个、氢气</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1个</w:t>
            </w:r>
          </w:p>
        </w:tc>
        <w:tc>
          <w:tcPr>
            <w:tcW w:w="1285" w:type="pct"/>
            <w:vAlign w:val="center"/>
          </w:tcPr>
          <w:p>
            <w:pPr>
              <w:pStyle w:val="82"/>
              <w:rPr>
                <w:rFonts w:hint="eastAsia" w:ascii="宋体" w:hAnsi="宋体" w:eastAsia="宋体" w:cs="宋体"/>
                <w:b w:val="0"/>
                <w:bCs/>
                <w:sz w:val="21"/>
                <w:szCs w:val="21"/>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12</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指示型载气过滤器</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1个</w:t>
            </w:r>
          </w:p>
        </w:tc>
        <w:tc>
          <w:tcPr>
            <w:tcW w:w="1285" w:type="pct"/>
            <w:vAlign w:val="center"/>
          </w:tcPr>
          <w:p>
            <w:pPr>
              <w:pStyle w:val="82"/>
              <w:rPr>
                <w:rFonts w:hint="eastAsia" w:ascii="宋体" w:hAnsi="宋体" w:eastAsia="宋体" w:cs="宋体"/>
                <w:b w:val="0"/>
                <w:bCs/>
                <w:sz w:val="21"/>
                <w:szCs w:val="21"/>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13</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空气压缩机</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1个</w:t>
            </w:r>
          </w:p>
        </w:tc>
        <w:tc>
          <w:tcPr>
            <w:tcW w:w="1285" w:type="pct"/>
            <w:vAlign w:val="center"/>
          </w:tcPr>
          <w:p>
            <w:pPr>
              <w:pStyle w:val="82"/>
              <w:rPr>
                <w:rFonts w:hint="eastAsia" w:ascii="宋体" w:hAnsi="宋体" w:eastAsia="宋体" w:cs="宋体"/>
                <w:b w:val="0"/>
                <w:bCs/>
                <w:sz w:val="21"/>
                <w:szCs w:val="21"/>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14</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安装维修工具包</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1套</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15</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耗材</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色谱柱智能安装工具</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2套</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进样口分流平板</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1个</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进样隔垫</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50个</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衬管</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5根</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O型圈</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10个</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石墨密封圈</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20个</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16</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21"/>
                <w:szCs w:val="21"/>
                <w:u w:val="none"/>
                <w:lang w:val="en-US" w:eastAsia="zh-CN" w:bidi="ar"/>
              </w:rPr>
            </w:pPr>
            <w:r>
              <w:rPr>
                <w:rFonts w:hint="eastAsia" w:ascii="宋体" w:hAnsi="宋体" w:cs="宋体"/>
                <w:b w:val="0"/>
                <w:bCs/>
                <w:i w:val="0"/>
                <w:iCs w:val="0"/>
                <w:color w:val="000000"/>
                <w:kern w:val="0"/>
                <w:sz w:val="21"/>
                <w:szCs w:val="21"/>
                <w:highlight w:val="none"/>
                <w:u w:val="none"/>
                <w:lang w:val="en-US" w:eastAsia="zh-CN" w:bidi="ar"/>
              </w:rPr>
              <w:t>取样设备</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21"/>
                <w:szCs w:val="21"/>
                <w:u w:val="none"/>
                <w:lang w:val="en-US" w:eastAsia="zh-CN" w:bidi="ar"/>
              </w:rPr>
            </w:pPr>
            <w:r>
              <w:rPr>
                <w:rFonts w:hint="eastAsia" w:ascii="宋体" w:hAnsi="宋体" w:cs="宋体"/>
                <w:b w:val="0"/>
                <w:bCs/>
                <w:i w:val="0"/>
                <w:iCs w:val="0"/>
                <w:color w:val="000000"/>
                <w:kern w:val="0"/>
                <w:sz w:val="21"/>
                <w:szCs w:val="21"/>
                <w:u w:val="none"/>
                <w:lang w:val="en-US" w:eastAsia="zh-CN" w:bidi="ar"/>
              </w:rPr>
              <w:t>316L采样取样钢瓶（20MPa-100ml、两端带阀、带快插接头）×5个、铝箔气体采样袋（20ml、双旋口阀门）×100个</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21"/>
                <w:szCs w:val="21"/>
                <w:u w:val="none"/>
                <w:lang w:val="en-US" w:eastAsia="zh-CN" w:bidi="ar"/>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17</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21"/>
                <w:szCs w:val="21"/>
                <w:u w:val="none"/>
                <w:lang w:val="en-US" w:eastAsia="zh-CN" w:bidi="ar"/>
              </w:rPr>
            </w:pPr>
            <w:r>
              <w:rPr>
                <w:rFonts w:hint="eastAsia" w:ascii="宋体" w:hAnsi="宋体" w:cs="宋体"/>
                <w:b w:val="0"/>
                <w:bCs/>
                <w:i w:val="0"/>
                <w:iCs w:val="0"/>
                <w:color w:val="000000"/>
                <w:kern w:val="0"/>
                <w:sz w:val="21"/>
                <w:szCs w:val="21"/>
                <w:u w:val="none"/>
                <w:lang w:val="en-US" w:eastAsia="zh-CN" w:bidi="ar"/>
              </w:rPr>
              <w:t>标准气</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21"/>
                <w:szCs w:val="21"/>
                <w:highlight w:val="red"/>
                <w:u w:val="none"/>
                <w:lang w:val="en-US" w:eastAsia="zh-CN" w:bidi="ar"/>
              </w:rPr>
            </w:pPr>
            <w:r>
              <w:rPr>
                <w:rFonts w:hint="eastAsia" w:ascii="宋体" w:hAnsi="宋体" w:cs="宋体"/>
                <w:b w:val="0"/>
                <w:bCs/>
                <w:i w:val="0"/>
                <w:iCs w:val="0"/>
                <w:color w:val="000000"/>
                <w:kern w:val="0"/>
                <w:sz w:val="21"/>
                <w:szCs w:val="21"/>
                <w:highlight w:val="none"/>
                <w:u w:val="none"/>
                <w:lang w:val="en-US" w:eastAsia="zh-CN" w:bidi="ar"/>
              </w:rPr>
              <w:t>满足GB/T13610-2020的标准气一瓶</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21"/>
                <w:szCs w:val="21"/>
                <w:highlight w:val="red"/>
                <w:u w:val="none"/>
                <w:lang w:val="en-US" w:eastAsia="zh-CN" w:bidi="ar"/>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18</w:t>
            </w:r>
          </w:p>
        </w:tc>
        <w:tc>
          <w:tcPr>
            <w:tcW w:w="296" w:type="pct"/>
            <w:vMerge w:val="restart"/>
            <w:shd w:val="clear" w:color="auto" w:fill="auto"/>
            <w:vAlign w:val="center"/>
          </w:tcPr>
          <w:p>
            <w:pPr>
              <w:keepNext w:val="0"/>
              <w:keepLines w:val="0"/>
              <w:widowControl/>
              <w:suppressLineNumbers w:val="0"/>
              <w:jc w:val="center"/>
              <w:textAlignment w:val="center"/>
              <w:rPr>
                <w:rFonts w:hint="eastAsia" w:eastAsia="宋体" w:cs="宋体"/>
                <w:b w:val="0"/>
                <w:bCs/>
                <w:sz w:val="21"/>
                <w:szCs w:val="21"/>
              </w:rPr>
            </w:pPr>
            <w:r>
              <w:rPr>
                <w:rFonts w:hint="eastAsia" w:eastAsia="宋体" w:cs="宋体"/>
                <w:b w:val="0"/>
                <w:bCs/>
                <w:sz w:val="21"/>
                <w:szCs w:val="21"/>
              </w:rPr>
              <w:t>★</w:t>
            </w:r>
          </w:p>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主机性能</w:t>
            </w: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测试范围</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C</w:t>
            </w:r>
            <w:r>
              <w:rPr>
                <w:rStyle w:val="167"/>
                <w:b w:val="0"/>
                <w:bCs/>
                <w:sz w:val="21"/>
                <w:szCs w:val="21"/>
                <w:lang w:val="en-US" w:eastAsia="zh-CN" w:bidi="ar"/>
              </w:rPr>
              <w:t>1</w:t>
            </w:r>
            <w:r>
              <w:rPr>
                <w:rFonts w:hint="eastAsia" w:ascii="宋体" w:hAnsi="宋体" w:eastAsia="宋体" w:cs="宋体"/>
                <w:b w:val="0"/>
                <w:bCs/>
                <w:i w:val="0"/>
                <w:iCs w:val="0"/>
                <w:color w:val="000000"/>
                <w:kern w:val="0"/>
                <w:sz w:val="21"/>
                <w:szCs w:val="21"/>
                <w:u w:val="none"/>
                <w:lang w:val="en-US" w:eastAsia="zh-CN" w:bidi="ar"/>
              </w:rPr>
              <w:t>-C</w:t>
            </w:r>
            <w:r>
              <w:rPr>
                <w:rStyle w:val="167"/>
                <w:b w:val="0"/>
                <w:bCs/>
                <w:sz w:val="21"/>
                <w:szCs w:val="21"/>
                <w:lang w:val="en-US" w:eastAsia="zh-CN" w:bidi="ar"/>
              </w:rPr>
              <w:t>12</w:t>
            </w:r>
            <w:r>
              <w:rPr>
                <w:rFonts w:hint="eastAsia" w:ascii="宋体" w:hAnsi="宋体" w:eastAsia="宋体" w:cs="宋体"/>
                <w:b w:val="0"/>
                <w:bCs/>
                <w:i w:val="0"/>
                <w:iCs w:val="0"/>
                <w:color w:val="000000"/>
                <w:kern w:val="0"/>
                <w:sz w:val="21"/>
                <w:szCs w:val="21"/>
                <w:u w:val="none"/>
                <w:lang w:val="en-US" w:eastAsia="zh-CN" w:bidi="ar"/>
              </w:rPr>
              <w:t>,O</w:t>
            </w:r>
            <w:r>
              <w:rPr>
                <w:rStyle w:val="167"/>
                <w:b w:val="0"/>
                <w:bCs/>
                <w:sz w:val="21"/>
                <w:szCs w:val="21"/>
                <w:lang w:val="en-US" w:eastAsia="zh-CN" w:bidi="ar"/>
              </w:rPr>
              <w:t>2</w:t>
            </w:r>
            <w:r>
              <w:rPr>
                <w:rFonts w:hint="eastAsia" w:ascii="宋体" w:hAnsi="宋体" w:eastAsia="宋体" w:cs="宋体"/>
                <w:b w:val="0"/>
                <w:bCs/>
                <w:i w:val="0"/>
                <w:iCs w:val="0"/>
                <w:color w:val="000000"/>
                <w:kern w:val="0"/>
                <w:sz w:val="21"/>
                <w:szCs w:val="21"/>
                <w:u w:val="none"/>
                <w:lang w:val="en-US" w:eastAsia="zh-CN" w:bidi="ar"/>
              </w:rPr>
              <w:t>,N</w:t>
            </w:r>
            <w:r>
              <w:rPr>
                <w:rStyle w:val="167"/>
                <w:b w:val="0"/>
                <w:bCs/>
                <w:sz w:val="21"/>
                <w:szCs w:val="21"/>
                <w:lang w:val="en-US" w:eastAsia="zh-CN" w:bidi="ar"/>
              </w:rPr>
              <w:t>2</w:t>
            </w:r>
            <w:r>
              <w:rPr>
                <w:rFonts w:hint="eastAsia" w:ascii="宋体" w:hAnsi="宋体" w:eastAsia="宋体" w:cs="宋体"/>
                <w:b w:val="0"/>
                <w:bCs/>
                <w:i w:val="0"/>
                <w:iCs w:val="0"/>
                <w:color w:val="000000"/>
                <w:kern w:val="0"/>
                <w:sz w:val="21"/>
                <w:szCs w:val="21"/>
                <w:u w:val="none"/>
                <w:lang w:val="en-US" w:eastAsia="zh-CN" w:bidi="ar"/>
              </w:rPr>
              <w:t>,CO</w:t>
            </w:r>
            <w:r>
              <w:rPr>
                <w:rStyle w:val="167"/>
                <w:b w:val="0"/>
                <w:bCs/>
                <w:sz w:val="21"/>
                <w:szCs w:val="21"/>
                <w:lang w:val="en-US" w:eastAsia="zh-CN" w:bidi="ar"/>
              </w:rPr>
              <w:t>2</w:t>
            </w:r>
            <w:r>
              <w:rPr>
                <w:rFonts w:hint="eastAsia" w:ascii="宋体" w:hAnsi="宋体" w:eastAsia="宋体" w:cs="宋体"/>
                <w:b w:val="0"/>
                <w:bCs/>
                <w:i w:val="0"/>
                <w:iCs w:val="0"/>
                <w:color w:val="000000"/>
                <w:kern w:val="0"/>
                <w:sz w:val="21"/>
                <w:szCs w:val="21"/>
                <w:u w:val="none"/>
                <w:lang w:val="en-US" w:eastAsia="zh-CN" w:bidi="ar"/>
              </w:rPr>
              <w:t>,CO</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19</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检测限</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TCD:50ppm,FID:10ppm</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20</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保留时间重现性</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&lt;0.008%或0.0008min</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21</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峰面积重现性</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&lt;0.5% RSD</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22</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面板</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不小于7英寸彩色液晶可触摸面板</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23</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智能化</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自引导式故障排除，自引导式维护保养，内置智能性能评估功能</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24</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气体识别</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自动识别载气类型，并且可以通过主机显示屏统计任意时间段载气消耗量。</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25</w:t>
            </w:r>
          </w:p>
        </w:tc>
        <w:tc>
          <w:tcPr>
            <w:tcW w:w="296" w:type="pct"/>
            <w:vMerge w:val="restart"/>
            <w:shd w:val="clear" w:color="auto" w:fill="auto"/>
            <w:vAlign w:val="center"/>
          </w:tcPr>
          <w:p>
            <w:pPr>
              <w:keepNext w:val="0"/>
              <w:keepLines w:val="0"/>
              <w:widowControl/>
              <w:suppressLineNumbers w:val="0"/>
              <w:jc w:val="center"/>
              <w:textAlignment w:val="center"/>
              <w:rPr>
                <w:rFonts w:hint="eastAsia" w:eastAsia="宋体" w:cs="宋体"/>
                <w:b w:val="0"/>
                <w:bCs/>
                <w:sz w:val="21"/>
                <w:szCs w:val="21"/>
              </w:rPr>
            </w:pPr>
            <w:r>
              <w:rPr>
                <w:rFonts w:hint="eastAsia" w:eastAsia="宋体" w:cs="宋体"/>
                <w:b w:val="0"/>
                <w:bCs/>
                <w:sz w:val="21"/>
                <w:szCs w:val="21"/>
              </w:rPr>
              <w:t>★</w:t>
            </w:r>
          </w:p>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阀系统</w:t>
            </w: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阀箱可加热最高温度</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≥400℃</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26</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阀品牌</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VICI Valco同级及以上品牌</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27</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最多阀数量</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不少于10个</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28</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系统调试</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阀系统调试需要在制作厂家完成</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29</w:t>
            </w:r>
          </w:p>
        </w:tc>
        <w:tc>
          <w:tcPr>
            <w:tcW w:w="296"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eastAsia="宋体" w:cs="宋体"/>
                <w:b w:val="0"/>
                <w:bCs/>
                <w:sz w:val="21"/>
                <w:szCs w:val="21"/>
              </w:rPr>
              <w:t>★</w:t>
            </w:r>
            <w:r>
              <w:rPr>
                <w:rFonts w:hint="eastAsia" w:ascii="宋体" w:hAnsi="宋体" w:eastAsia="宋体" w:cs="宋体"/>
                <w:b w:val="0"/>
                <w:bCs/>
                <w:i w:val="0"/>
                <w:iCs w:val="0"/>
                <w:color w:val="000000"/>
                <w:kern w:val="0"/>
                <w:sz w:val="21"/>
                <w:szCs w:val="21"/>
                <w:u w:val="none"/>
                <w:lang w:val="en-US" w:eastAsia="zh-CN" w:bidi="ar"/>
              </w:rPr>
              <w:t>柱温箱</w:t>
            </w: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温度范围</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室温以上4℃到450℃</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30</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温度设定精度</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0.1 ℃</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31</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最高升温速率</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≥110 ℃/min</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32</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程序升温阶数</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20阶／21平台</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33</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色谱柱</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所有色谱柱必须在主机柱温箱中</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34</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环境温度敏感度</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当环境温度变化1 ℃时，柱温箱温度变化&lt; 0.01 ℃</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35</w:t>
            </w:r>
          </w:p>
        </w:tc>
        <w:tc>
          <w:tcPr>
            <w:tcW w:w="296"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毛细柱分流/不分流进样口</w:t>
            </w: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最高使用温度</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400 ℃</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36</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压力设定范围</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0-100psi</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37</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压力控制精度</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0.001psi</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38</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eastAsia="宋体" w:cs="宋体"/>
                <w:b w:val="0"/>
                <w:bCs/>
                <w:sz w:val="21"/>
                <w:szCs w:val="21"/>
              </w:rPr>
              <w:t>★</w:t>
            </w:r>
            <w:r>
              <w:rPr>
                <w:rFonts w:hint="eastAsia" w:ascii="宋体" w:hAnsi="宋体" w:eastAsia="宋体" w:cs="宋体"/>
                <w:b w:val="0"/>
                <w:bCs/>
                <w:i w:val="0"/>
                <w:iCs w:val="0"/>
                <w:color w:val="000000"/>
                <w:kern w:val="0"/>
                <w:sz w:val="21"/>
                <w:szCs w:val="21"/>
                <w:u w:val="none"/>
                <w:lang w:val="en-US" w:eastAsia="zh-CN" w:bidi="ar"/>
              </w:rPr>
              <w:t>控制类型</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EPC</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39</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最大分流比</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1:12500</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40</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流量设定范围</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0 ～ 1250mL/min，He；0 ～ 600mL/min，N</w:t>
            </w:r>
            <w:r>
              <w:rPr>
                <w:rStyle w:val="167"/>
                <w:b w:val="0"/>
                <w:bCs/>
                <w:sz w:val="21"/>
                <w:szCs w:val="21"/>
                <w:lang w:val="en-US" w:eastAsia="zh-CN" w:bidi="ar"/>
              </w:rPr>
              <w:t>2</w:t>
            </w:r>
            <w:r>
              <w:rPr>
                <w:rFonts w:hint="eastAsia" w:ascii="宋体" w:hAnsi="宋体" w:eastAsia="宋体" w:cs="宋体"/>
                <w:b w:val="0"/>
                <w:bCs/>
                <w:i w:val="0"/>
                <w:iCs w:val="0"/>
                <w:color w:val="000000"/>
                <w:kern w:val="0"/>
                <w:sz w:val="21"/>
                <w:szCs w:val="21"/>
                <w:u w:val="none"/>
                <w:lang w:val="en-US" w:eastAsia="zh-CN" w:bidi="ar"/>
              </w:rPr>
              <w:t>；</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41</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扳转式进样口</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扳转式顶盖密封系统，有助于快速、简便地更换进样口衬管</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42</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载气、尾吹气设置(气体类型适配)</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氮气、氦气、氢气、氩气</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43</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安全措施</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自动检漏，断气保护</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44</w:t>
            </w:r>
          </w:p>
        </w:tc>
        <w:tc>
          <w:tcPr>
            <w:tcW w:w="296"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工作站</w:t>
            </w: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eastAsia="宋体" w:cs="宋体"/>
                <w:b w:val="0"/>
                <w:bCs/>
                <w:sz w:val="21"/>
                <w:szCs w:val="21"/>
              </w:rPr>
              <w:t>★</w:t>
            </w:r>
            <w:r>
              <w:rPr>
                <w:rFonts w:hint="eastAsia" w:ascii="宋体" w:hAnsi="宋体" w:eastAsia="宋体" w:cs="宋体"/>
                <w:b w:val="0"/>
                <w:bCs/>
                <w:i w:val="0"/>
                <w:iCs w:val="0"/>
                <w:color w:val="000000"/>
                <w:kern w:val="0"/>
                <w:sz w:val="21"/>
                <w:szCs w:val="21"/>
                <w:u w:val="none"/>
                <w:lang w:val="en-US" w:eastAsia="zh-CN" w:bidi="ar"/>
              </w:rPr>
              <w:t>导入与导出</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可将数据导出为通用色谱数据格式（AIA、TXT、CSV和GAML等）</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45</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eastAsia="宋体" w:cs="宋体"/>
                <w:b w:val="0"/>
                <w:bCs/>
                <w:sz w:val="21"/>
                <w:szCs w:val="21"/>
              </w:rPr>
              <w:t>★</w:t>
            </w:r>
            <w:r>
              <w:rPr>
                <w:rFonts w:hint="eastAsia" w:ascii="宋体" w:hAnsi="宋体" w:eastAsia="宋体" w:cs="宋体"/>
                <w:b w:val="0"/>
                <w:bCs/>
                <w:i w:val="0"/>
                <w:iCs w:val="0"/>
                <w:color w:val="000000"/>
                <w:kern w:val="0"/>
                <w:sz w:val="21"/>
                <w:szCs w:val="21"/>
                <w:u w:val="none"/>
                <w:lang w:val="en-US" w:eastAsia="zh-CN" w:bidi="ar"/>
              </w:rPr>
              <w:t>数据报告</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支持自建模板，支持多种格式（PDF、Excel等格式）的报告输出</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46</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远程访问及本地接口</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具有远程访问功能，允许直接通过智能手机或IPAD远程访问实验室GC主机。</w:t>
            </w:r>
            <w:r>
              <w:rPr>
                <w:rFonts w:hint="eastAsia" w:ascii="宋体" w:hAnsi="宋体" w:eastAsia="宋体" w:cs="宋体"/>
                <w:b w:val="0"/>
                <w:bCs/>
                <w:i w:val="0"/>
                <w:iCs w:val="0"/>
                <w:color w:val="000000"/>
                <w:kern w:val="0"/>
                <w:sz w:val="21"/>
                <w:szCs w:val="21"/>
                <w:u w:val="none"/>
                <w:lang w:val="en-US" w:eastAsia="zh-CN" w:bidi="ar"/>
              </w:rPr>
              <w:br w:type="textWrapping"/>
            </w:r>
            <w:r>
              <w:rPr>
                <w:rFonts w:hint="eastAsia" w:ascii="宋体" w:hAnsi="宋体" w:eastAsia="宋体" w:cs="宋体"/>
                <w:b w:val="0"/>
                <w:bCs/>
                <w:i w:val="0"/>
                <w:iCs w:val="0"/>
                <w:color w:val="000000"/>
                <w:kern w:val="0"/>
                <w:sz w:val="21"/>
                <w:szCs w:val="21"/>
                <w:u w:val="none"/>
                <w:lang w:val="en-US" w:eastAsia="zh-CN" w:bidi="ar"/>
              </w:rPr>
              <w:t>主机可选择使用USB接口、LAN接口或RS-232C接口传输数据。</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47</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保留时间锁定</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可使得同一种化合物气相色谱的保留时间一致。此功能通过软件自动调整仪器工作参数，在五个不同条件下进样，分析锁定目标化合物而实现。</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48</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eastAsia="宋体" w:cs="宋体"/>
                <w:b w:val="0"/>
                <w:bCs/>
                <w:sz w:val="21"/>
                <w:szCs w:val="21"/>
              </w:rPr>
              <w:t>★</w:t>
            </w:r>
            <w:r>
              <w:rPr>
                <w:rFonts w:hint="eastAsia" w:ascii="宋体" w:hAnsi="宋体" w:eastAsia="宋体" w:cs="宋体"/>
                <w:b w:val="0"/>
                <w:bCs/>
                <w:i w:val="0"/>
                <w:iCs w:val="0"/>
                <w:color w:val="000000"/>
                <w:kern w:val="0"/>
                <w:sz w:val="21"/>
                <w:szCs w:val="21"/>
                <w:u w:val="none"/>
                <w:lang w:val="en-US" w:eastAsia="zh-CN" w:bidi="ar"/>
              </w:rPr>
              <w:t>数据自动上传</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检测结果数值自动上传信息化系统</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49</w:t>
            </w:r>
          </w:p>
        </w:tc>
        <w:tc>
          <w:tcPr>
            <w:tcW w:w="296"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FID</w:t>
            </w: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最高操作温度</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425℃</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50</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最低检测限</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&lt;1.2 pg C/s</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51</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线性范围</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&gt;10</w:t>
            </w:r>
            <w:r>
              <w:rPr>
                <w:rFonts w:hint="eastAsia" w:ascii="宋体" w:hAnsi="宋体" w:eastAsia="宋体" w:cs="宋体"/>
                <w:b w:val="0"/>
                <w:bCs/>
                <w:i w:val="0"/>
                <w:iCs w:val="0"/>
                <w:color w:val="000000"/>
                <w:kern w:val="0"/>
                <w:sz w:val="21"/>
                <w:szCs w:val="21"/>
                <w:u w:val="none"/>
                <w:vertAlign w:val="superscript"/>
                <w:lang w:val="en-US" w:eastAsia="zh-CN" w:bidi="ar"/>
              </w:rPr>
              <w:t>7</w:t>
            </w:r>
            <w:r>
              <w:rPr>
                <w:rFonts w:hint="eastAsia" w:ascii="宋体" w:hAnsi="宋体" w:eastAsia="宋体" w:cs="宋体"/>
                <w:b w:val="0"/>
                <w:bCs/>
                <w:i w:val="0"/>
                <w:iCs w:val="0"/>
                <w:color w:val="000000"/>
                <w:kern w:val="0"/>
                <w:sz w:val="21"/>
                <w:szCs w:val="21"/>
                <w:u w:val="none"/>
                <w:lang w:val="en-US" w:eastAsia="zh-CN" w:bidi="ar"/>
              </w:rPr>
              <w:t>（±10%）</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52</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数据采集速率</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1000Hz</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53</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熄火检测和自动重新点火</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是</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54</w:t>
            </w:r>
          </w:p>
        </w:tc>
        <w:tc>
          <w:tcPr>
            <w:tcW w:w="296"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TCD</w:t>
            </w: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最低检测限</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400 pg /mL</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55</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线性动态范围</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＞10</w:t>
            </w:r>
            <w:r>
              <w:rPr>
                <w:rFonts w:hint="eastAsia" w:ascii="宋体" w:hAnsi="宋体" w:eastAsia="宋体" w:cs="宋体"/>
                <w:b w:val="0"/>
                <w:bCs/>
                <w:i w:val="0"/>
                <w:iCs w:val="0"/>
                <w:color w:val="000000"/>
                <w:kern w:val="0"/>
                <w:sz w:val="21"/>
                <w:szCs w:val="21"/>
                <w:u w:val="none"/>
                <w:vertAlign w:val="superscript"/>
                <w:lang w:val="en-US" w:eastAsia="zh-CN" w:bidi="ar"/>
              </w:rPr>
              <w:t>5</w:t>
            </w:r>
            <w:r>
              <w:rPr>
                <w:rFonts w:hint="eastAsia" w:ascii="宋体" w:hAnsi="宋体" w:eastAsia="宋体" w:cs="宋体"/>
                <w:b w:val="0"/>
                <w:bCs/>
                <w:i w:val="0"/>
                <w:iCs w:val="0"/>
                <w:color w:val="000000"/>
                <w:kern w:val="0"/>
                <w:sz w:val="21"/>
                <w:szCs w:val="21"/>
                <w:u w:val="none"/>
                <w:lang w:val="en-US" w:eastAsia="zh-CN" w:bidi="ar"/>
              </w:rPr>
              <w:t xml:space="preserve"> （±5%）</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56</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最高使用温度</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400°C</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57</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接口</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可以接毛细管柱和填充柱</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58</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数据采集速率</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1000Hz</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59</w:t>
            </w:r>
          </w:p>
        </w:tc>
        <w:tc>
          <w:tcPr>
            <w:tcW w:w="296"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售后</w:t>
            </w: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操作手册</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免费提供操作手册（中/英文可选）壹套</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60</w:t>
            </w:r>
          </w:p>
        </w:tc>
        <w:tc>
          <w:tcPr>
            <w:tcW w:w="296" w:type="pct"/>
            <w:vMerge w:val="continue"/>
            <w:vAlign w:val="center"/>
          </w:tcPr>
          <w:p>
            <w:pPr>
              <w:pStyle w:val="82"/>
              <w:rPr>
                <w:rFonts w:hint="eastAsia" w:ascii="宋体" w:hAnsi="宋体" w:eastAsia="宋体" w:cs="宋体"/>
                <w:b w:val="0"/>
                <w:bCs/>
                <w:sz w:val="21"/>
                <w:szCs w:val="21"/>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000000"/>
                <w:kern w:val="0"/>
                <w:sz w:val="21"/>
                <w:szCs w:val="21"/>
                <w:u w:val="none"/>
                <w:lang w:val="en-US" w:eastAsia="zh-CN" w:bidi="ar"/>
              </w:rPr>
              <w:t>保修期</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i w:val="0"/>
                <w:iCs w:val="0"/>
                <w:color w:val="000000"/>
                <w:kern w:val="0"/>
                <w:sz w:val="21"/>
                <w:szCs w:val="21"/>
                <w:u w:val="none"/>
                <w:lang w:val="en-US" w:eastAsia="zh-CN" w:bidi="ar"/>
              </w:rPr>
              <w:t>从仪器安装调试用户验收合格之日起保修一年，终身维护，包括对零配件的供应。</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61</w:t>
            </w:r>
          </w:p>
        </w:tc>
        <w:tc>
          <w:tcPr>
            <w:tcW w:w="296" w:type="pct"/>
            <w:vMerge w:val="continue"/>
            <w:shd w:val="clear" w:color="auto" w:fill="auto"/>
            <w:vAlign w:val="center"/>
          </w:tcPr>
          <w:p>
            <w:pPr>
              <w:jc w:val="center"/>
              <w:rPr>
                <w:rFonts w:hint="eastAsia" w:ascii="宋体" w:hAnsi="宋体" w:eastAsia="宋体" w:cs="宋体"/>
                <w:b w:val="0"/>
                <w:bCs/>
                <w:kern w:val="2"/>
                <w:sz w:val="21"/>
                <w:szCs w:val="21"/>
                <w:vertAlign w:val="baseline"/>
                <w:lang w:val="en-US" w:eastAsia="zh-CN" w:bidi="ar-SA"/>
              </w:rPr>
            </w:pPr>
          </w:p>
        </w:tc>
        <w:tc>
          <w:tcPr>
            <w:tcW w:w="84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2"/>
                <w:sz w:val="21"/>
                <w:szCs w:val="21"/>
                <w:lang w:val="en-US" w:eastAsia="zh-CN" w:bidi="ar-SA"/>
              </w:rPr>
            </w:pPr>
            <w:r>
              <w:rPr>
                <w:rFonts w:hint="eastAsia" w:ascii="宋体" w:hAnsi="宋体" w:eastAsia="宋体" w:cs="宋体"/>
                <w:b w:val="0"/>
                <w:bCs/>
                <w:i w:val="0"/>
                <w:iCs w:val="0"/>
                <w:color w:val="auto"/>
                <w:kern w:val="0"/>
                <w:sz w:val="21"/>
                <w:szCs w:val="21"/>
                <w:highlight w:val="none"/>
                <w:u w:val="none"/>
                <w:lang w:val="en-US" w:eastAsia="zh-CN" w:bidi="ar"/>
              </w:rPr>
              <w:t>安装培训</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cs="宋体"/>
                <w:b w:val="0"/>
                <w:bCs/>
                <w:i w:val="0"/>
                <w:iCs w:val="0"/>
                <w:color w:val="000000"/>
                <w:kern w:val="0"/>
                <w:sz w:val="21"/>
                <w:szCs w:val="21"/>
                <w:u w:val="none"/>
                <w:lang w:val="en-US" w:eastAsia="zh-CN" w:bidi="ar"/>
              </w:rPr>
            </w:pPr>
            <w:r>
              <w:rPr>
                <w:rFonts w:hint="eastAsia" w:ascii="宋体" w:hAnsi="宋体" w:eastAsia="宋体" w:cs="宋体"/>
                <w:b w:val="0"/>
                <w:bCs/>
                <w:i w:val="0"/>
                <w:iCs w:val="0"/>
                <w:color w:val="000000"/>
                <w:kern w:val="0"/>
                <w:sz w:val="21"/>
                <w:szCs w:val="21"/>
                <w:u w:val="none"/>
                <w:lang w:val="en-US" w:eastAsia="zh-CN" w:bidi="ar"/>
              </w:rPr>
              <w:t>用户现场免费安装</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调试</w:t>
            </w:r>
            <w:r>
              <w:rPr>
                <w:rFonts w:hint="eastAsia" w:ascii="宋体" w:hAnsi="宋体" w:cs="宋体"/>
                <w:b w:val="0"/>
                <w:bCs/>
                <w:i w:val="0"/>
                <w:iCs w:val="0"/>
                <w:color w:val="000000"/>
                <w:kern w:val="0"/>
                <w:sz w:val="21"/>
                <w:szCs w:val="21"/>
                <w:u w:val="none"/>
                <w:lang w:val="en-US" w:eastAsia="zh-CN" w:bidi="ar"/>
              </w:rPr>
              <w:t>、</w:t>
            </w:r>
            <w:r>
              <w:rPr>
                <w:rFonts w:hint="eastAsia" w:ascii="宋体" w:hAnsi="宋体" w:eastAsia="宋体" w:cs="宋体"/>
                <w:b w:val="0"/>
                <w:bCs/>
                <w:i w:val="0"/>
                <w:iCs w:val="0"/>
                <w:color w:val="000000"/>
                <w:kern w:val="0"/>
                <w:sz w:val="21"/>
                <w:szCs w:val="21"/>
                <w:u w:val="none"/>
                <w:lang w:val="en-US" w:eastAsia="zh-CN" w:bidi="ar"/>
              </w:rPr>
              <w:t>培训（不限人数）</w:t>
            </w:r>
            <w:r>
              <w:rPr>
                <w:rFonts w:hint="eastAsia" w:ascii="宋体" w:hAnsi="宋体" w:cs="宋体"/>
                <w:b w:val="0"/>
                <w:bCs/>
                <w:i w:val="0"/>
                <w:iCs w:val="0"/>
                <w:color w:val="000000"/>
                <w:kern w:val="0"/>
                <w:sz w:val="21"/>
                <w:szCs w:val="21"/>
                <w:u w:val="none"/>
                <w:lang w:val="en-US" w:eastAsia="zh-CN" w:bidi="ar"/>
              </w:rPr>
              <w:t>；</w:t>
            </w:r>
          </w:p>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r>
              <w:rPr>
                <w:rFonts w:hint="eastAsia" w:ascii="宋体" w:hAnsi="宋体" w:cs="宋体"/>
                <w:b w:val="0"/>
                <w:bCs/>
                <w:i w:val="0"/>
                <w:iCs w:val="0"/>
                <w:color w:val="000000"/>
                <w:kern w:val="0"/>
                <w:sz w:val="21"/>
                <w:szCs w:val="21"/>
                <w:u w:val="none"/>
                <w:lang w:val="en-US" w:eastAsia="zh-CN" w:bidi="ar"/>
              </w:rPr>
              <w:t>前往培训中心5人次2天专业培训</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kern w:val="2"/>
                <w:sz w:val="21"/>
                <w:szCs w:val="21"/>
                <w:vertAlign w:val="baseline"/>
                <w:lang w:val="en-US" w:eastAsia="zh-CN" w:bidi="ar-SA"/>
              </w:rPr>
            </w:pPr>
          </w:p>
        </w:tc>
        <w:tc>
          <w:tcPr>
            <w:tcW w:w="483" w:type="pct"/>
            <w:vAlign w:val="center"/>
          </w:tcPr>
          <w:p>
            <w:pPr>
              <w:pStyle w:val="82"/>
              <w:rPr>
                <w:rFonts w:hint="eastAsia" w:ascii="宋体" w:hAnsi="宋体" w:eastAsia="宋体" w:cs="宋体"/>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4" w:type="pct"/>
            <w:vAlign w:val="center"/>
          </w:tcPr>
          <w:p>
            <w:pPr>
              <w:pStyle w:val="82"/>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62</w:t>
            </w:r>
          </w:p>
        </w:tc>
        <w:tc>
          <w:tcPr>
            <w:tcW w:w="1140" w:type="pct"/>
            <w:gridSpan w:val="2"/>
            <w:shd w:val="clear" w:color="auto" w:fill="auto"/>
            <w:vAlign w:val="center"/>
          </w:tcPr>
          <w:p>
            <w:pPr>
              <w:pStyle w:val="82"/>
              <w:rPr>
                <w:rFonts w:hint="eastAsia" w:ascii="宋体" w:hAnsi="宋体" w:eastAsia="宋体" w:cs="宋体"/>
                <w:b w:val="0"/>
                <w:bCs/>
                <w:sz w:val="21"/>
                <w:szCs w:val="21"/>
              </w:rPr>
            </w:pPr>
            <w:r>
              <w:rPr>
                <w:rFonts w:hint="eastAsia" w:ascii="宋体" w:hAnsi="宋体" w:cs="宋体"/>
                <w:b w:val="0"/>
                <w:bCs/>
                <w:sz w:val="21"/>
                <w:szCs w:val="21"/>
                <w:vertAlign w:val="baseline"/>
                <w:lang w:val="en-US" w:eastAsia="zh-CN"/>
              </w:rPr>
              <w:t>样品测试</w:t>
            </w:r>
          </w:p>
        </w:tc>
        <w:tc>
          <w:tcPr>
            <w:tcW w:w="1686"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21"/>
                <w:szCs w:val="21"/>
                <w:u w:val="none"/>
                <w:lang w:val="en-US" w:eastAsia="zh-CN" w:bidi="ar"/>
              </w:rPr>
            </w:pPr>
            <w:r>
              <w:rPr>
                <w:rFonts w:hint="eastAsia" w:ascii="宋体" w:hAnsi="宋体" w:cs="宋体"/>
                <w:b w:val="0"/>
                <w:bCs/>
                <w:i w:val="0"/>
                <w:iCs w:val="0"/>
                <w:color w:val="000000"/>
                <w:kern w:val="0"/>
                <w:sz w:val="21"/>
                <w:szCs w:val="21"/>
                <w:u w:val="none"/>
                <w:lang w:val="en-US" w:eastAsia="zh-CN" w:bidi="ar"/>
              </w:rPr>
              <w:t>投标方投标前联系技术答疑人员对现场样品进行取样，使用拟投标产品对样品进行检测分析，投标时提供样品检测报告</w:t>
            </w:r>
          </w:p>
        </w:tc>
        <w:tc>
          <w:tcPr>
            <w:tcW w:w="1285" w:type="pc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000000"/>
                <w:kern w:val="0"/>
                <w:sz w:val="21"/>
                <w:szCs w:val="21"/>
                <w:u w:val="none"/>
                <w:lang w:val="en-US" w:eastAsia="zh-CN" w:bidi="ar"/>
              </w:rPr>
            </w:pPr>
          </w:p>
        </w:tc>
        <w:tc>
          <w:tcPr>
            <w:tcW w:w="483" w:type="pct"/>
            <w:vAlign w:val="center"/>
          </w:tcPr>
          <w:p>
            <w:pPr>
              <w:pStyle w:val="82"/>
              <w:rPr>
                <w:rFonts w:hint="eastAsia" w:ascii="宋体" w:hAnsi="宋体" w:eastAsia="宋体" w:cs="宋体"/>
                <w:b w:val="0"/>
                <w:bCs/>
                <w:sz w:val="21"/>
                <w:szCs w:val="21"/>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2"/>
              <w:rPr>
                <w:rFonts w:hint="eastAsia" w:ascii="宋体" w:hAnsi="宋体" w:eastAsia="宋体" w:cs="宋体"/>
              </w:rPr>
            </w:pPr>
            <w:r>
              <w:rPr>
                <w:rFonts w:hint="eastAsia" w:ascii="宋体" w:hAnsi="宋体" w:eastAsia="宋体" w:cs="宋体"/>
              </w:rPr>
              <w:t>序号</w:t>
            </w:r>
          </w:p>
        </w:tc>
        <w:tc>
          <w:tcPr>
            <w:tcW w:w="751" w:type="pct"/>
            <w:vAlign w:val="center"/>
          </w:tcPr>
          <w:p>
            <w:pPr>
              <w:pStyle w:val="82"/>
              <w:rPr>
                <w:rFonts w:hint="eastAsia" w:ascii="宋体" w:hAnsi="宋体" w:eastAsia="宋体" w:cs="宋体"/>
              </w:rPr>
            </w:pPr>
            <w:r>
              <w:rPr>
                <w:rFonts w:hint="eastAsia" w:ascii="宋体" w:hAnsi="宋体" w:eastAsia="宋体" w:cs="宋体"/>
              </w:rPr>
              <w:t>项目名称</w:t>
            </w:r>
          </w:p>
        </w:tc>
        <w:tc>
          <w:tcPr>
            <w:tcW w:w="614" w:type="pct"/>
            <w:vAlign w:val="center"/>
          </w:tcPr>
          <w:p>
            <w:pPr>
              <w:pStyle w:val="82"/>
              <w:rPr>
                <w:rFonts w:hint="eastAsia" w:ascii="宋体" w:hAnsi="宋体" w:eastAsia="宋体" w:cs="宋体"/>
              </w:rPr>
            </w:pPr>
            <w:r>
              <w:rPr>
                <w:rFonts w:hint="eastAsia" w:ascii="宋体" w:hAnsi="宋体" w:eastAsia="宋体" w:cs="宋体"/>
              </w:rPr>
              <w:t>投标总价</w:t>
            </w:r>
          </w:p>
          <w:p>
            <w:pPr>
              <w:pStyle w:val="82"/>
              <w:rPr>
                <w:rFonts w:hint="eastAsia" w:ascii="宋体" w:hAnsi="宋体" w:eastAsia="宋体" w:cs="宋体"/>
              </w:rPr>
            </w:pPr>
            <w:r>
              <w:rPr>
                <w:rFonts w:hint="eastAsia" w:ascii="宋体" w:hAnsi="宋体" w:eastAsia="宋体" w:cs="宋体"/>
              </w:rPr>
              <w:t>（元）</w:t>
            </w:r>
          </w:p>
        </w:tc>
        <w:tc>
          <w:tcPr>
            <w:tcW w:w="381" w:type="pct"/>
            <w:vAlign w:val="center"/>
          </w:tcPr>
          <w:p>
            <w:pPr>
              <w:pStyle w:val="82"/>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pPr>
              <w:pStyle w:val="82"/>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pPr>
              <w:pStyle w:val="82"/>
              <w:rPr>
                <w:rFonts w:hint="eastAsia" w:ascii="宋体" w:hAnsi="宋体" w:eastAsia="宋体" w:cs="宋体"/>
              </w:rPr>
            </w:pPr>
            <w:r>
              <w:rPr>
                <w:rFonts w:hint="eastAsia" w:ascii="宋体" w:hAnsi="宋体" w:eastAsia="宋体" w:cs="宋体"/>
              </w:rPr>
              <w:t>质保期</w:t>
            </w:r>
          </w:p>
          <w:p>
            <w:pPr>
              <w:pStyle w:val="82"/>
              <w:rPr>
                <w:rFonts w:hint="eastAsia" w:ascii="宋体" w:hAnsi="宋体" w:eastAsia="宋体" w:cs="宋体"/>
              </w:rPr>
            </w:pPr>
            <w:r>
              <w:rPr>
                <w:rFonts w:hint="eastAsia" w:ascii="宋体" w:hAnsi="宋体" w:eastAsia="宋体" w:cs="宋体"/>
              </w:rPr>
              <w:t>（若有）</w:t>
            </w:r>
          </w:p>
        </w:tc>
        <w:tc>
          <w:tcPr>
            <w:tcW w:w="831" w:type="pct"/>
            <w:vAlign w:val="center"/>
          </w:tcPr>
          <w:p>
            <w:pPr>
              <w:pStyle w:val="82"/>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2"/>
              <w:rPr>
                <w:rFonts w:hint="eastAsia" w:ascii="宋体" w:hAnsi="宋体" w:eastAsia="宋体" w:cs="宋体"/>
              </w:rPr>
            </w:pPr>
            <w:r>
              <w:rPr>
                <w:rFonts w:hint="eastAsia" w:ascii="宋体" w:hAnsi="宋体" w:eastAsia="宋体" w:cs="宋体"/>
              </w:rPr>
              <w:t>1</w:t>
            </w:r>
          </w:p>
        </w:tc>
        <w:tc>
          <w:tcPr>
            <w:tcW w:w="751"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天然气组分分析仪</w:t>
            </w:r>
          </w:p>
        </w:tc>
        <w:tc>
          <w:tcPr>
            <w:tcW w:w="614" w:type="pct"/>
            <w:vAlign w:val="center"/>
          </w:tcPr>
          <w:p>
            <w:pPr>
              <w:pStyle w:val="82"/>
              <w:rPr>
                <w:rFonts w:hint="eastAsia" w:ascii="宋体" w:hAnsi="宋体" w:eastAsia="宋体" w:cs="宋体"/>
              </w:rPr>
            </w:pPr>
          </w:p>
        </w:tc>
        <w:tc>
          <w:tcPr>
            <w:tcW w:w="381" w:type="pct"/>
            <w:vAlign w:val="center"/>
          </w:tcPr>
          <w:p>
            <w:pPr>
              <w:pStyle w:val="82"/>
              <w:rPr>
                <w:rFonts w:hint="eastAsia" w:ascii="宋体" w:hAnsi="宋体" w:eastAsia="宋体" w:cs="宋体"/>
              </w:rPr>
            </w:pPr>
          </w:p>
        </w:tc>
        <w:tc>
          <w:tcPr>
            <w:tcW w:w="363" w:type="pct"/>
            <w:vAlign w:val="center"/>
          </w:tcPr>
          <w:p>
            <w:pPr>
              <w:pStyle w:val="82"/>
              <w:rPr>
                <w:rFonts w:hint="eastAsia" w:ascii="宋体" w:hAnsi="宋体" w:eastAsia="宋体" w:cs="宋体"/>
              </w:rPr>
            </w:pPr>
          </w:p>
        </w:tc>
        <w:tc>
          <w:tcPr>
            <w:tcW w:w="650" w:type="pct"/>
            <w:vAlign w:val="center"/>
          </w:tcPr>
          <w:p>
            <w:pPr>
              <w:pStyle w:val="82"/>
              <w:rPr>
                <w:rFonts w:hint="eastAsia" w:ascii="宋体" w:hAnsi="宋体" w:eastAsia="宋体" w:cs="宋体"/>
              </w:rPr>
            </w:pPr>
          </w:p>
        </w:tc>
        <w:tc>
          <w:tcPr>
            <w:tcW w:w="831" w:type="pct"/>
            <w:vAlign w:val="center"/>
          </w:tcPr>
          <w:p>
            <w:pPr>
              <w:pStyle w:val="82"/>
              <w:rPr>
                <w:rFonts w:hint="eastAsia" w:ascii="宋体" w:hAnsi="宋体" w:eastAsia="宋体" w:cs="宋体"/>
              </w:rPr>
            </w:pPr>
          </w:p>
        </w:tc>
        <w:tc>
          <w:tcPr>
            <w:tcW w:w="1109"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2"/>
              <w:rPr>
                <w:rFonts w:hint="eastAsia" w:ascii="宋体" w:hAnsi="宋体" w:eastAsia="宋体" w:cs="宋体"/>
              </w:rPr>
            </w:pPr>
            <w:r>
              <w:rPr>
                <w:rFonts w:hint="eastAsia" w:ascii="宋体" w:hAnsi="宋体" w:eastAsia="宋体" w:cs="宋体"/>
              </w:rPr>
              <w:t>2</w:t>
            </w:r>
          </w:p>
        </w:tc>
        <w:tc>
          <w:tcPr>
            <w:tcW w:w="751" w:type="pct"/>
            <w:vAlign w:val="center"/>
          </w:tcPr>
          <w:p>
            <w:pPr>
              <w:pStyle w:val="82"/>
              <w:rPr>
                <w:rFonts w:hint="eastAsia" w:ascii="宋体" w:hAnsi="宋体" w:eastAsia="宋体" w:cs="宋体"/>
              </w:rPr>
            </w:pPr>
            <w:r>
              <w:rPr>
                <w:rFonts w:hint="eastAsia" w:ascii="宋体" w:hAnsi="宋体" w:eastAsia="宋体" w:cs="宋体"/>
              </w:rPr>
              <w:t>合计</w:t>
            </w:r>
          </w:p>
        </w:tc>
        <w:tc>
          <w:tcPr>
            <w:tcW w:w="3951" w:type="pct"/>
            <w:gridSpan w:val="6"/>
            <w:vAlign w:val="center"/>
          </w:tcPr>
          <w:p>
            <w:pPr>
              <w:pStyle w:val="82"/>
              <w:rPr>
                <w:rFonts w:hint="eastAsia" w:ascii="宋体" w:hAnsi="宋体" w:eastAsia="宋体" w:cs="宋体"/>
              </w:rPr>
            </w:pPr>
          </w:p>
        </w:tc>
      </w:tr>
    </w:tbl>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353881017"/>
      <w:bookmarkStart w:id="11" w:name="_Toc26556"/>
      <w:bookmarkStart w:id="12" w:name="_Toc639008"/>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8995" w:type="dxa"/>
        <w:tblInd w:w="0" w:type="dxa"/>
        <w:tblLayout w:type="fixed"/>
        <w:tblCellMar>
          <w:top w:w="0" w:type="dxa"/>
          <w:left w:w="108" w:type="dxa"/>
          <w:bottom w:w="0" w:type="dxa"/>
          <w:right w:w="108" w:type="dxa"/>
        </w:tblCellMar>
      </w:tblPr>
      <w:tblGrid>
        <w:gridCol w:w="949"/>
        <w:gridCol w:w="1804"/>
        <w:gridCol w:w="1356"/>
        <w:gridCol w:w="744"/>
        <w:gridCol w:w="816"/>
        <w:gridCol w:w="1260"/>
        <w:gridCol w:w="1486"/>
        <w:gridCol w:w="580"/>
      </w:tblGrid>
      <w:tr>
        <w:tblPrEx>
          <w:tblCellMar>
            <w:top w:w="0" w:type="dxa"/>
            <w:left w:w="108" w:type="dxa"/>
            <w:bottom w:w="0" w:type="dxa"/>
            <w:right w:w="108" w:type="dxa"/>
          </w:tblCellMar>
        </w:tblPrEx>
        <w:trPr>
          <w:trHeight w:val="608"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名称</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both"/>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单位</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数量</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bl>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r>
              <w:rPr>
                <w:rFonts w:hint="eastAsia" w:ascii="宋体" w:hAnsi="宋体" w:eastAsia="宋体" w:cs="宋体"/>
                <w:b w:val="0"/>
                <w:bCs/>
                <w:i w:val="0"/>
                <w:iCs w:val="0"/>
                <w:color w:val="000000"/>
                <w:kern w:val="0"/>
                <w:sz w:val="21"/>
                <w:szCs w:val="21"/>
                <w:u w:val="none"/>
                <w:lang w:val="en-US" w:eastAsia="zh-CN" w:bidi="ar"/>
              </w:rPr>
              <w:t>半年期银行承兑汇票</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bCs/>
                <w:i w:val="0"/>
                <w:iCs w:val="0"/>
                <w:color w:val="000000"/>
                <w:kern w:val="0"/>
                <w:sz w:val="21"/>
                <w:szCs w:val="21"/>
                <w:u w:val="none"/>
                <w:lang w:val="en-US" w:eastAsia="zh-CN" w:bidi="ar"/>
              </w:rPr>
            </w:pPr>
            <w:r>
              <w:rPr>
                <w:rFonts w:hint="eastAsia" w:ascii="宋体" w:hAnsi="宋体" w:eastAsia="宋体" w:cs="宋体"/>
                <w:b w:val="0"/>
                <w:bCs/>
                <w:i w:val="0"/>
                <w:iCs w:val="0"/>
                <w:color w:val="000000"/>
                <w:kern w:val="0"/>
                <w:sz w:val="21"/>
                <w:szCs w:val="21"/>
                <w:u w:val="none"/>
                <w:lang w:val="en-US" w:eastAsia="zh-CN" w:bidi="ar"/>
              </w:rPr>
              <w:t>从仪器安装调试用户验收合格之日起保修一年，终身维护，包括对零配件的供应。</w:t>
            </w:r>
          </w:p>
          <w:p>
            <w:pPr>
              <w:pStyle w:val="82"/>
              <w:rPr>
                <w:rFonts w:hint="eastAsia" w:ascii="宋体" w:hAnsi="宋体" w:eastAsia="宋体" w:cs="宋体"/>
                <w:b w:val="0"/>
                <w:bCs/>
                <w:i w:val="0"/>
                <w:iCs w:val="0"/>
                <w:color w:val="000000"/>
                <w:kern w:val="0"/>
                <w:sz w:val="21"/>
                <w:szCs w:val="21"/>
                <w:u w:val="none"/>
                <w:lang w:val="en-US" w:eastAsia="zh-CN" w:bidi="ar"/>
              </w:rPr>
            </w:pPr>
            <w:r>
              <w:rPr>
                <w:rFonts w:hint="eastAsia" w:ascii="宋体" w:hAnsi="宋体" w:eastAsia="宋体" w:cs="宋体"/>
                <w:b w:val="0"/>
                <w:bCs/>
                <w:i w:val="0"/>
                <w:iCs w:val="0"/>
                <w:color w:val="000000"/>
                <w:kern w:val="0"/>
                <w:sz w:val="21"/>
                <w:szCs w:val="21"/>
                <w:u w:val="none"/>
                <w:lang w:val="en-US" w:eastAsia="zh-CN" w:bidi="ar"/>
              </w:rPr>
              <w:t>用户现场免费安装、调试、培训（不限人数）；</w:t>
            </w:r>
          </w:p>
          <w:p>
            <w:pPr>
              <w:pStyle w:val="82"/>
              <w:rPr>
                <w:rFonts w:hint="eastAsia" w:ascii="宋体" w:hAnsi="宋体" w:eastAsia="宋体" w:cs="宋体"/>
                <w:b w:val="0"/>
                <w:bCs/>
                <w:i w:val="0"/>
                <w:iCs w:val="0"/>
                <w:color w:val="000000"/>
                <w:kern w:val="0"/>
                <w:sz w:val="21"/>
                <w:szCs w:val="21"/>
                <w:u w:val="none"/>
                <w:lang w:val="en-US" w:eastAsia="zh-CN" w:bidi="ar"/>
              </w:rPr>
            </w:pPr>
            <w:r>
              <w:rPr>
                <w:rFonts w:hint="eastAsia" w:ascii="宋体" w:hAnsi="宋体" w:eastAsia="宋体" w:cs="宋体"/>
                <w:b w:val="0"/>
                <w:bCs/>
                <w:i w:val="0"/>
                <w:iCs w:val="0"/>
                <w:color w:val="000000"/>
                <w:kern w:val="0"/>
                <w:sz w:val="21"/>
                <w:szCs w:val="21"/>
                <w:u w:val="none"/>
                <w:lang w:val="en-US" w:eastAsia="zh-CN" w:bidi="ar"/>
              </w:rPr>
              <w:t>前往培训中心5人次2天专业培训</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default" w:ascii="宋体" w:hAnsi="宋体" w:cs="宋体" w:eastAsiaTheme="minorEastAsia"/>
                <w:lang w:val="en-US" w:eastAsia="zh-CN"/>
              </w:rPr>
            </w:pPr>
            <w:r>
              <w:rPr>
                <w:rFonts w:hint="eastAsia" w:ascii="宋体" w:hAnsi="宋体" w:eastAsia="宋体" w:cs="宋体"/>
                <w:b w:val="0"/>
                <w:bCs/>
                <w:i w:val="0"/>
                <w:iCs w:val="0"/>
                <w:color w:val="000000"/>
                <w:kern w:val="0"/>
                <w:sz w:val="21"/>
                <w:szCs w:val="21"/>
                <w:u w:val="none"/>
                <w:lang w:val="en-US" w:eastAsia="zh-CN" w:bidi="ar"/>
              </w:rPr>
              <w:t>提供保证货物质保期之后正常运行一年的备品备件、易损件和专用耗材及一级减压阀、二级减压阀各两个</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639013"/>
      <w:bookmarkStart w:id="14" w:name="_Toc9193"/>
      <w:bookmarkStart w:id="15" w:name="_Toc353881022"/>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353881023"/>
      <w:bookmarkStart w:id="18" w:name="_Toc212369556"/>
      <w:bookmarkStart w:id="19" w:name="_Toc639014"/>
      <w:bookmarkStart w:id="20" w:name="_Toc15535"/>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default"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8"/>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9"/>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20"/>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21"/>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2"/>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3"/>
                    <a:stretch>
                      <a:fillRect/>
                    </a:stretch>
                  </pic:blipFill>
                  <pic:spPr>
                    <a:xfrm>
                      <a:off x="0" y="0"/>
                      <a:ext cx="5760085" cy="2820042"/>
                    </a:xfrm>
                    <a:prstGeom prst="rect">
                      <a:avLst/>
                    </a:prstGeom>
                  </pic:spPr>
                </pic:pic>
              </a:graphicData>
            </a:graphic>
          </wp:inline>
        </w:drawing>
      </w:r>
    </w:p>
    <w:p>
      <w:pPr>
        <w:pStyle w:val="15"/>
        <w:rPr>
          <w:rFonts w:hint="eastAsia" w:ascii="宋体" w:hAnsi="宋体" w:eastAsia="宋体" w:cs="宋体"/>
        </w:rPr>
      </w:pPr>
    </w:p>
    <w:p>
      <w:pPr>
        <w:pStyle w:val="15"/>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注册注意事项：</w:t>
      </w:r>
    </w:p>
    <w:p>
      <w:pPr>
        <w:pStyle w:val="15"/>
        <w:numPr>
          <w:ilvl w:val="0"/>
          <w:numId w:val="7"/>
        </w:numPr>
        <w:rPr>
          <w:rFonts w:hint="default" w:hAnsi="宋体" w:cs="宋体"/>
          <w:b/>
          <w:bCs/>
          <w:sz w:val="24"/>
          <w:szCs w:val="28"/>
          <w:highlight w:val="yellow"/>
          <w:lang w:val="en-US" w:eastAsia="zh-CN"/>
        </w:rPr>
      </w:pPr>
      <w:r>
        <w:rPr>
          <w:rFonts w:hint="eastAsia" w:hAnsi="宋体" w:cs="宋体"/>
          <w:b/>
          <w:bCs/>
          <w:sz w:val="24"/>
          <w:szCs w:val="28"/>
          <w:highlight w:val="yellow"/>
          <w:lang w:val="en-US" w:eastAsia="zh-CN"/>
        </w:rPr>
        <w:t>E采通注册时的所有信息，除个别非关键信息或实在是本公司没有的，其他信息必填，尤其是财务数据等重要信息，不填审核无法通过。</w:t>
      </w:r>
    </w:p>
    <w:p>
      <w:pPr>
        <w:pStyle w:val="15"/>
        <w:widowControl w:val="0"/>
        <w:numPr>
          <w:ilvl w:val="0"/>
          <w:numId w:val="7"/>
        </w:numPr>
        <w:ind w:left="0" w:leftChars="0" w:firstLine="0" w:firstLineChars="0"/>
        <w:jc w:val="both"/>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注册时供应商属性请选择非生产供方，管理单位选择直管单位，意向配套单位选择直管单位。</w:t>
      </w:r>
    </w:p>
    <w:p>
      <w:pPr>
        <w:pStyle w:val="15"/>
        <w:widowControl w:val="0"/>
        <w:numPr>
          <w:ilvl w:val="0"/>
          <w:numId w:val="7"/>
        </w:numPr>
        <w:ind w:left="0" w:leftChars="0" w:firstLine="0" w:firstLineChars="0"/>
        <w:jc w:val="both"/>
        <w:rPr>
          <w:b/>
          <w:bCs/>
          <w:sz w:val="24"/>
          <w:szCs w:val="28"/>
          <w:highlight w:val="yellow"/>
        </w:rPr>
      </w:pPr>
      <w:r>
        <w:rPr>
          <w:rFonts w:hint="eastAsia" w:hAnsi="宋体" w:cs="宋体"/>
          <w:b/>
          <w:bCs/>
          <w:sz w:val="24"/>
          <w:szCs w:val="28"/>
          <w:highlight w:val="yellow"/>
          <w:lang w:val="en-US" w:eastAsia="zh-CN"/>
        </w:rPr>
        <w:t>供货类别请选择：研发试验类设备（产品试验检测中心）。</w:t>
      </w:r>
    </w:p>
    <w:p>
      <w:pPr>
        <w:pStyle w:val="15"/>
        <w:widowControl w:val="0"/>
        <w:numPr>
          <w:ilvl w:val="0"/>
          <w:numId w:val="0"/>
        </w:numPr>
        <w:jc w:val="both"/>
        <w:rPr>
          <w:rFonts w:hint="default"/>
          <w:b/>
          <w:bCs/>
          <w:sz w:val="24"/>
          <w:szCs w:val="28"/>
          <w:highlight w:val="yellow"/>
          <w:lang w:val="en-US" w:eastAsia="zh-CN"/>
        </w:rPr>
        <w:sectPr>
          <w:pgSz w:w="11906" w:h="16838"/>
          <w:pgMar w:top="1588" w:right="1418" w:bottom="1134" w:left="1418" w:header="851" w:footer="992" w:gutter="0"/>
          <w:cols w:space="720" w:num="1"/>
          <w:titlePg/>
          <w:docGrid w:type="lines" w:linePitch="312" w:charSpace="0"/>
        </w:sectPr>
      </w:pPr>
      <w:r>
        <w:rPr>
          <w:rFonts w:hint="eastAsia"/>
          <w:b/>
          <w:bCs/>
          <w:sz w:val="24"/>
          <w:szCs w:val="28"/>
          <w:highlight w:val="yellow"/>
          <w:lang w:val="en-US" w:eastAsia="zh-CN"/>
        </w:rPr>
        <w:t>4.详细注册流程及注意事项，请在注册在登录界面下载供应商用户手册。</w:t>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4"/>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5"/>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6"/>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7"/>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8"/>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9"/>
                    <a:stretch>
                      <a:fillRect/>
                    </a:stretch>
                  </pic:blipFill>
                  <pic:spPr>
                    <a:xfrm>
                      <a:off x="0" y="0"/>
                      <a:ext cx="5760085" cy="1956600"/>
                    </a:xfrm>
                    <a:prstGeom prst="rect">
                      <a:avLst/>
                    </a:prstGeom>
                  </pic:spPr>
                </pic:pic>
              </a:graphicData>
            </a:graphic>
          </wp:inline>
        </w:drawing>
      </w:r>
    </w:p>
    <w:p>
      <w:pPr>
        <w:pStyle w:val="15"/>
        <w:rPr>
          <w:rFonts w:hint="eastAsia" w:ascii="宋体" w:hAnsi="宋体" w:eastAsia="宋体" w:cs="宋体"/>
          <w:b/>
          <w:color w:val="000000"/>
          <w:sz w:val="24"/>
          <w:szCs w:val="24"/>
        </w:rPr>
      </w:pPr>
    </w:p>
    <w:p>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pPr>
        <w:pStyle w:val="3"/>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pPr>
        <w:rPr>
          <w:rFonts w:hint="eastAsia" w:ascii="宋体" w:hAnsi="宋体" w:eastAsia="宋体" w:cs="宋体"/>
          <w:b/>
          <w:bCs/>
          <w:sz w:val="24"/>
          <w:szCs w:val="24"/>
        </w:rPr>
      </w:pP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0" w:hRule="atLeast"/>
          <w:jc w:val="center"/>
        </w:trPr>
        <w:tc>
          <w:tcPr>
            <w:tcW w:w="825" w:type="dxa"/>
            <w:vMerge w:val="restart"/>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pPr>
              <w:tabs>
                <w:tab w:val="left" w:pos="13965"/>
              </w:tabs>
              <w:spacing w:line="360" w:lineRule="auto"/>
              <w:ind w:right="-6"/>
              <w:jc w:val="center"/>
              <w:rPr>
                <w:rFonts w:hint="eastAsia" w:ascii="宋体" w:hAnsi="宋体" w:eastAsia="宋体" w:cs="宋体"/>
                <w:szCs w:val="21"/>
              </w:rPr>
            </w:pPr>
            <w:r>
              <w:rPr>
                <w:rFonts w:hint="eastAsia" w:ascii="宋体" w:hAnsi="宋体" w:cs="宋体"/>
                <w:szCs w:val="21"/>
                <w:lang w:val="en-US" w:eastAsia="zh-CN"/>
              </w:rPr>
              <w:t>100</w:t>
            </w:r>
            <w:r>
              <w:rPr>
                <w:rFonts w:hint="eastAsia" w:ascii="宋体" w:hAnsi="宋体" w:eastAsia="宋体" w:cs="宋体"/>
                <w:szCs w:val="21"/>
              </w:rPr>
              <w:t>分</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color w:val="000000"/>
                <w:szCs w:val="21"/>
              </w:rPr>
              <w:t>产品技术</w:t>
            </w:r>
          </w:p>
        </w:tc>
        <w:tc>
          <w:tcPr>
            <w:tcW w:w="875" w:type="dxa"/>
            <w:vAlign w:val="center"/>
          </w:tcPr>
          <w:p>
            <w:pPr>
              <w:tabs>
                <w:tab w:val="left" w:pos="13965"/>
              </w:tabs>
              <w:spacing w:line="360" w:lineRule="auto"/>
              <w:ind w:right="-6"/>
              <w:jc w:val="center"/>
              <w:rPr>
                <w:rFonts w:hint="default" w:ascii="宋体" w:hAnsi="宋体" w:eastAsia="宋体" w:cs="宋体"/>
                <w:szCs w:val="21"/>
                <w:lang w:val="en-US" w:eastAsia="zh-CN"/>
              </w:rPr>
            </w:pPr>
            <w:r>
              <w:rPr>
                <w:rFonts w:hint="eastAsia" w:ascii="宋体" w:hAnsi="宋体" w:cs="宋体"/>
                <w:szCs w:val="21"/>
                <w:lang w:val="en-US" w:eastAsia="zh-CN"/>
              </w:rPr>
              <w:t>60</w:t>
            </w:r>
          </w:p>
        </w:tc>
        <w:tc>
          <w:tcPr>
            <w:tcW w:w="5604" w:type="dxa"/>
            <w:vAlign w:val="center"/>
          </w:tcPr>
          <w:p>
            <w:pPr>
              <w:spacing w:line="360" w:lineRule="auto"/>
              <w:rPr>
                <w:rFonts w:hint="eastAsia" w:ascii="宋体" w:hAnsi="宋体" w:eastAsia="宋体" w:cs="宋体"/>
                <w:szCs w:val="21"/>
              </w:rPr>
            </w:pPr>
            <w:r>
              <w:rPr>
                <w:rFonts w:hint="eastAsia" w:ascii="宋体" w:hAnsi="宋体" w:eastAsia="宋体" w:cs="宋体"/>
                <w:szCs w:val="21"/>
              </w:rPr>
              <w:t xml:space="preserve">以下各项由评标委员会成员独立进行客观、公正的评价打分。 </w:t>
            </w:r>
          </w:p>
          <w:p>
            <w:pPr>
              <w:numPr>
                <w:ilvl w:val="0"/>
                <w:numId w:val="8"/>
              </w:numPr>
              <w:spacing w:line="360" w:lineRule="auto"/>
              <w:rPr>
                <w:rFonts w:hint="eastAsia" w:ascii="宋体" w:hAnsi="宋体" w:eastAsia="宋体" w:cs="宋体"/>
                <w:szCs w:val="21"/>
              </w:rPr>
            </w:pPr>
            <w:r>
              <w:rPr>
                <w:rFonts w:hint="eastAsia" w:ascii="宋体" w:hAnsi="宋体" w:eastAsia="宋体" w:cs="宋体"/>
                <w:szCs w:val="21"/>
              </w:rPr>
              <w:t>投标文件中设备技术参数满足招标要求，关键技术资料完整，方案完整性、针对性、与项目需求匹配度</w:t>
            </w:r>
            <w:r>
              <w:rPr>
                <w:rFonts w:hint="eastAsia" w:ascii="宋体" w:hAnsi="宋体" w:cs="宋体"/>
                <w:szCs w:val="21"/>
                <w:lang w:val="en-US" w:eastAsia="zh-CN"/>
              </w:rPr>
              <w:t>等</w:t>
            </w:r>
            <w:r>
              <w:rPr>
                <w:rFonts w:hint="eastAsia" w:ascii="宋体" w:hAnsi="宋体" w:eastAsia="宋体" w:cs="宋体"/>
                <w:szCs w:val="21"/>
              </w:rPr>
              <w:t>打分0-</w:t>
            </w:r>
            <w:r>
              <w:rPr>
                <w:rFonts w:hint="eastAsia" w:ascii="宋体" w:hAnsi="宋体" w:cs="宋体"/>
                <w:szCs w:val="21"/>
                <w:lang w:val="en-US" w:eastAsia="zh-CN"/>
              </w:rPr>
              <w:t>10</w:t>
            </w:r>
            <w:r>
              <w:rPr>
                <w:rFonts w:hint="eastAsia" w:ascii="宋体" w:hAnsi="宋体" w:eastAsia="宋体" w:cs="宋体"/>
                <w:szCs w:val="21"/>
              </w:rPr>
              <w:t>分。</w:t>
            </w:r>
          </w:p>
          <w:p>
            <w:pPr>
              <w:numPr>
                <w:ilvl w:val="0"/>
                <w:numId w:val="8"/>
              </w:numPr>
              <w:spacing w:line="360" w:lineRule="auto"/>
              <w:rPr>
                <w:rFonts w:hint="eastAsia" w:ascii="宋体" w:hAnsi="宋体" w:eastAsia="宋体" w:cs="宋体"/>
                <w:szCs w:val="21"/>
              </w:rPr>
            </w:pPr>
            <w:r>
              <w:rPr>
                <w:rFonts w:hint="eastAsia" w:ascii="宋体" w:hAnsi="宋体" w:cs="宋体"/>
                <w:bCs/>
                <w:szCs w:val="21"/>
                <w:lang w:val="en-US" w:eastAsia="zh-CN"/>
              </w:rPr>
              <w:t>气相色谱仪</w:t>
            </w:r>
            <w:r>
              <w:rPr>
                <w:rFonts w:hint="eastAsia" w:ascii="宋体" w:hAnsi="宋体" w:eastAsia="宋体" w:cs="宋体"/>
                <w:bCs/>
                <w:szCs w:val="21"/>
              </w:rPr>
              <w:t>的配置参数技术偏离情况，在满足我司技术基本要求的前提下偏离，无偏离得</w:t>
            </w:r>
            <w:r>
              <w:rPr>
                <w:rFonts w:hint="eastAsia" w:ascii="宋体" w:hAnsi="宋体" w:cs="宋体"/>
                <w:bCs/>
                <w:szCs w:val="21"/>
                <w:lang w:val="en-US" w:eastAsia="zh-CN"/>
              </w:rPr>
              <w:t>30</w:t>
            </w:r>
            <w:r>
              <w:rPr>
                <w:rFonts w:hint="eastAsia" w:ascii="宋体" w:hAnsi="宋体" w:eastAsia="宋体" w:cs="宋体"/>
                <w:bCs/>
                <w:szCs w:val="21"/>
              </w:rPr>
              <w:t>分，较大偏离每一项扣</w:t>
            </w:r>
            <w:r>
              <w:rPr>
                <w:rFonts w:hint="eastAsia" w:ascii="宋体" w:hAnsi="宋体" w:cs="宋体"/>
                <w:bCs/>
                <w:szCs w:val="21"/>
                <w:lang w:val="en-US" w:eastAsia="zh-CN"/>
              </w:rPr>
              <w:t>3</w:t>
            </w:r>
            <w:r>
              <w:rPr>
                <w:rFonts w:hint="eastAsia" w:ascii="宋体" w:hAnsi="宋体" w:eastAsia="宋体" w:cs="宋体"/>
                <w:bCs/>
                <w:szCs w:val="21"/>
              </w:rPr>
              <w:t>分，一般偏离每一项扣1</w:t>
            </w:r>
            <w:r>
              <w:rPr>
                <w:rFonts w:hint="eastAsia" w:ascii="宋体" w:hAnsi="宋体" w:cs="宋体"/>
                <w:bCs/>
                <w:szCs w:val="21"/>
                <w:lang w:val="en-US" w:eastAsia="zh-CN"/>
              </w:rPr>
              <w:t>-2</w:t>
            </w:r>
            <w:r>
              <w:rPr>
                <w:rFonts w:hint="eastAsia" w:ascii="宋体" w:hAnsi="宋体" w:eastAsia="宋体" w:cs="宋体"/>
                <w:bCs/>
                <w:szCs w:val="21"/>
              </w:rPr>
              <w:t>分，最低0分。</w:t>
            </w:r>
          </w:p>
          <w:p>
            <w:pPr>
              <w:numPr>
                <w:ilvl w:val="0"/>
                <w:numId w:val="8"/>
              </w:numPr>
              <w:spacing w:line="360" w:lineRule="auto"/>
              <w:rPr>
                <w:rFonts w:hint="eastAsia" w:ascii="宋体" w:hAnsi="宋体" w:eastAsia="宋体" w:cs="宋体"/>
                <w:szCs w:val="21"/>
              </w:rPr>
            </w:pPr>
            <w:r>
              <w:rPr>
                <w:rFonts w:hint="eastAsia" w:ascii="宋体" w:hAnsi="宋体" w:cs="宋体"/>
                <w:szCs w:val="21"/>
                <w:lang w:val="en-US" w:eastAsia="zh-CN"/>
              </w:rPr>
              <w:t>管路、试验台及通风系统设计方案、安全措施等在满足基本要求下，综合评价打1-10分；无技术偏离得10分，偏离一项扣2分，最低得0分。</w:t>
            </w:r>
          </w:p>
          <w:p>
            <w:pPr>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8"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1500" w:type="dxa"/>
            <w:vAlign w:val="center"/>
          </w:tcPr>
          <w:p>
            <w:pPr>
              <w:spacing w:line="360" w:lineRule="auto"/>
              <w:rPr>
                <w:rFonts w:hint="eastAsia" w:ascii="宋体" w:hAnsi="宋体" w:eastAsia="宋体" w:cs="宋体"/>
                <w:szCs w:val="21"/>
              </w:rPr>
            </w:pPr>
            <w:r>
              <w:rPr>
                <w:rFonts w:hint="eastAsia" w:ascii="宋体" w:hAnsi="宋体" w:cs="宋体"/>
                <w:szCs w:val="21"/>
                <w:lang w:val="en-US" w:eastAsia="zh-CN"/>
              </w:rPr>
              <w:t>到货</w:t>
            </w:r>
            <w:r>
              <w:rPr>
                <w:rFonts w:hint="eastAsia" w:ascii="宋体" w:hAnsi="宋体" w:eastAsia="宋体" w:cs="宋体"/>
                <w:szCs w:val="21"/>
              </w:rPr>
              <w:t>期及工期进度计划</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cs="宋体"/>
                <w:bCs/>
                <w:szCs w:val="21"/>
                <w:lang w:val="en-US" w:eastAsia="zh-CN"/>
              </w:rPr>
              <w:t>到货</w:t>
            </w:r>
            <w:r>
              <w:rPr>
                <w:rFonts w:hint="eastAsia" w:ascii="宋体" w:hAnsi="宋体" w:eastAsia="宋体" w:cs="宋体"/>
                <w:bCs/>
                <w:szCs w:val="21"/>
              </w:rPr>
              <w:t>期</w:t>
            </w:r>
            <w:r>
              <w:rPr>
                <w:rFonts w:hint="eastAsia" w:ascii="宋体" w:hAnsi="宋体" w:cs="宋体"/>
                <w:bCs/>
                <w:szCs w:val="21"/>
                <w:lang w:eastAsia="zh-CN"/>
              </w:rPr>
              <w:t>（</w:t>
            </w:r>
            <w:r>
              <w:rPr>
                <w:rFonts w:hint="eastAsia" w:ascii="宋体" w:hAnsi="宋体" w:cs="宋体"/>
                <w:bCs/>
                <w:szCs w:val="21"/>
                <w:lang w:val="en-US" w:eastAsia="zh-CN"/>
              </w:rPr>
              <w:t>5分</w:t>
            </w:r>
            <w:r>
              <w:rPr>
                <w:rFonts w:hint="eastAsia" w:ascii="宋体" w:hAnsi="宋体" w:cs="宋体"/>
                <w:bCs/>
                <w:szCs w:val="21"/>
                <w:lang w:eastAsia="zh-CN"/>
              </w:rPr>
              <w:t>）</w:t>
            </w:r>
            <w:r>
              <w:rPr>
                <w:rFonts w:hint="eastAsia" w:ascii="宋体" w:hAnsi="宋体" w:eastAsia="宋体" w:cs="宋体"/>
                <w:bCs/>
                <w:szCs w:val="21"/>
              </w:rPr>
              <w:t>及工期进度计划</w:t>
            </w:r>
            <w:r>
              <w:rPr>
                <w:rFonts w:hint="eastAsia" w:ascii="宋体" w:hAnsi="宋体" w:cs="宋体"/>
                <w:bCs/>
                <w:szCs w:val="21"/>
                <w:lang w:eastAsia="zh-CN"/>
              </w:rPr>
              <w:t>（</w:t>
            </w:r>
            <w:r>
              <w:rPr>
                <w:rFonts w:hint="eastAsia" w:ascii="宋体" w:hAnsi="宋体" w:cs="宋体"/>
                <w:bCs/>
                <w:szCs w:val="21"/>
                <w:lang w:val="en-US" w:eastAsia="zh-CN"/>
              </w:rPr>
              <w:t>5分</w:t>
            </w:r>
            <w:r>
              <w:rPr>
                <w:rFonts w:hint="eastAsia" w:ascii="宋体" w:hAnsi="宋体" w:cs="宋体"/>
                <w:bCs/>
                <w:szCs w:val="21"/>
                <w:lang w:eastAsia="zh-CN"/>
              </w:rPr>
              <w:t>）</w:t>
            </w:r>
            <w:r>
              <w:rPr>
                <w:rFonts w:hint="eastAsia" w:ascii="宋体" w:hAnsi="宋体" w:eastAsia="宋体" w:cs="宋体"/>
                <w:bCs/>
                <w:szCs w:val="21"/>
              </w:rPr>
              <w:t>：</w:t>
            </w:r>
          </w:p>
          <w:p>
            <w:pPr>
              <w:spacing w:line="360" w:lineRule="auto"/>
              <w:rPr>
                <w:rFonts w:hint="eastAsia" w:ascii="宋体" w:hAnsi="宋体" w:eastAsia="宋体" w:cs="宋体"/>
                <w:bCs/>
                <w:szCs w:val="21"/>
              </w:rPr>
            </w:pPr>
            <w:r>
              <w:rPr>
                <w:rFonts w:hint="eastAsia" w:ascii="宋体" w:hAnsi="宋体" w:eastAsia="宋体" w:cs="宋体"/>
                <w:bCs/>
                <w:szCs w:val="21"/>
              </w:rPr>
              <w:t>到货期≤</w:t>
            </w:r>
            <w:r>
              <w:rPr>
                <w:rFonts w:hint="eastAsia" w:ascii="宋体" w:hAnsi="宋体" w:cs="宋体"/>
                <w:bCs/>
                <w:szCs w:val="21"/>
                <w:lang w:val="en-US" w:eastAsia="zh-CN"/>
              </w:rPr>
              <w:t>2</w:t>
            </w:r>
            <w:r>
              <w:rPr>
                <w:rFonts w:hint="eastAsia" w:ascii="宋体" w:hAnsi="宋体" w:eastAsia="宋体" w:cs="宋体"/>
                <w:bCs/>
                <w:szCs w:val="21"/>
              </w:rPr>
              <w:t>个月得5分，</w:t>
            </w:r>
            <w:r>
              <w:rPr>
                <w:rFonts w:hint="eastAsia" w:ascii="宋体" w:hAnsi="宋体" w:cs="宋体"/>
                <w:bCs/>
                <w:szCs w:val="21"/>
                <w:lang w:val="en-US" w:eastAsia="zh-CN"/>
              </w:rPr>
              <w:t>2个月</w:t>
            </w:r>
            <w:r>
              <w:rPr>
                <w:rFonts w:hint="eastAsia" w:ascii="宋体" w:hAnsi="宋体" w:eastAsia="宋体" w:cs="宋体"/>
                <w:bCs/>
                <w:szCs w:val="21"/>
              </w:rPr>
              <w:t>&lt;到货期≤</w:t>
            </w:r>
            <w:r>
              <w:rPr>
                <w:rFonts w:hint="eastAsia" w:ascii="宋体" w:hAnsi="宋体" w:cs="宋体"/>
                <w:bCs/>
                <w:szCs w:val="21"/>
                <w:lang w:val="en-US" w:eastAsia="zh-CN"/>
              </w:rPr>
              <w:t>3</w:t>
            </w:r>
            <w:r>
              <w:rPr>
                <w:rFonts w:hint="eastAsia" w:ascii="宋体" w:hAnsi="宋体" w:eastAsia="宋体" w:cs="宋体"/>
                <w:bCs/>
                <w:szCs w:val="21"/>
              </w:rPr>
              <w:t>个月得</w:t>
            </w:r>
            <w:r>
              <w:rPr>
                <w:rFonts w:hint="eastAsia" w:ascii="宋体" w:hAnsi="宋体" w:cs="宋体"/>
                <w:bCs/>
                <w:szCs w:val="21"/>
                <w:lang w:val="en-US" w:eastAsia="zh-CN"/>
              </w:rPr>
              <w:t>3</w:t>
            </w:r>
            <w:r>
              <w:rPr>
                <w:rFonts w:hint="eastAsia" w:ascii="宋体" w:hAnsi="宋体" w:eastAsia="宋体" w:cs="宋体"/>
                <w:bCs/>
                <w:szCs w:val="21"/>
              </w:rPr>
              <w:t>分，</w:t>
            </w:r>
            <w:r>
              <w:rPr>
                <w:rFonts w:hint="eastAsia" w:ascii="宋体" w:hAnsi="宋体" w:cs="宋体"/>
                <w:bCs/>
                <w:szCs w:val="21"/>
                <w:lang w:val="en-US" w:eastAsia="zh-CN"/>
              </w:rPr>
              <w:t>3个月</w:t>
            </w:r>
            <w:r>
              <w:rPr>
                <w:rFonts w:hint="eastAsia" w:ascii="宋体" w:hAnsi="宋体" w:eastAsia="宋体" w:cs="宋体"/>
                <w:bCs/>
                <w:szCs w:val="21"/>
              </w:rPr>
              <w:t>&lt;到货期</w:t>
            </w:r>
            <w:r>
              <w:rPr>
                <w:rFonts w:hint="eastAsia" w:ascii="宋体" w:hAnsi="宋体" w:cs="宋体"/>
                <w:bCs/>
                <w:szCs w:val="21"/>
                <w:lang w:val="en-US" w:eastAsia="zh-CN"/>
              </w:rPr>
              <w:t>不得分</w:t>
            </w:r>
            <w:r>
              <w:rPr>
                <w:rFonts w:hint="eastAsia" w:ascii="宋体" w:hAnsi="宋体" w:eastAsia="宋体" w:cs="宋体"/>
                <w:bCs/>
                <w:szCs w:val="21"/>
              </w:rPr>
              <w:t>。</w:t>
            </w:r>
          </w:p>
          <w:p>
            <w:pPr>
              <w:spacing w:line="360" w:lineRule="auto"/>
              <w:rPr>
                <w:rFonts w:hint="default" w:ascii="宋体" w:hAnsi="宋体" w:eastAsia="宋体" w:cs="宋体"/>
                <w:bCs/>
                <w:szCs w:val="21"/>
                <w:lang w:val="en-US" w:eastAsia="zh-CN"/>
              </w:rPr>
            </w:pPr>
            <w:r>
              <w:rPr>
                <w:rFonts w:hint="eastAsia" w:ascii="宋体" w:hAnsi="宋体" w:cs="宋体"/>
                <w:bCs/>
                <w:szCs w:val="21"/>
                <w:lang w:val="en-US" w:eastAsia="zh-CN"/>
              </w:rPr>
              <w:t>工期</w:t>
            </w:r>
            <w:r>
              <w:rPr>
                <w:rFonts w:hint="eastAsia" w:ascii="宋体" w:hAnsi="宋体" w:eastAsia="宋体" w:cs="宋体"/>
                <w:bCs/>
                <w:szCs w:val="21"/>
              </w:rPr>
              <w:t>≤</w:t>
            </w:r>
            <w:r>
              <w:rPr>
                <w:rFonts w:hint="eastAsia" w:ascii="宋体" w:hAnsi="宋体" w:cs="宋体"/>
                <w:bCs/>
                <w:szCs w:val="21"/>
                <w:lang w:val="en-US" w:eastAsia="zh-CN"/>
              </w:rPr>
              <w:t>15天得5分，15天</w:t>
            </w:r>
            <w:r>
              <w:rPr>
                <w:rFonts w:hint="eastAsia" w:ascii="宋体" w:hAnsi="宋体" w:eastAsia="宋体" w:cs="宋体"/>
                <w:bCs/>
                <w:szCs w:val="21"/>
              </w:rPr>
              <w:t>&lt;</w:t>
            </w:r>
            <w:r>
              <w:rPr>
                <w:rFonts w:hint="eastAsia" w:ascii="宋体" w:hAnsi="宋体" w:cs="宋体"/>
                <w:bCs/>
                <w:szCs w:val="21"/>
                <w:lang w:val="en-US" w:eastAsia="zh-CN"/>
              </w:rPr>
              <w:t>工期</w:t>
            </w:r>
            <w:r>
              <w:rPr>
                <w:rFonts w:hint="eastAsia" w:ascii="宋体" w:hAnsi="宋体" w:eastAsia="宋体" w:cs="宋体"/>
                <w:bCs/>
                <w:szCs w:val="21"/>
              </w:rPr>
              <w:t>≤</w:t>
            </w:r>
            <w:r>
              <w:rPr>
                <w:rFonts w:hint="eastAsia" w:ascii="宋体" w:hAnsi="宋体" w:cs="宋体"/>
                <w:bCs/>
                <w:szCs w:val="21"/>
                <w:lang w:val="en-US" w:eastAsia="zh-CN"/>
              </w:rPr>
              <w:t>30天得3分，30天</w:t>
            </w:r>
            <w:r>
              <w:rPr>
                <w:rFonts w:hint="eastAsia" w:ascii="宋体" w:hAnsi="宋体" w:eastAsia="宋体" w:cs="宋体"/>
                <w:bCs/>
                <w:szCs w:val="21"/>
              </w:rPr>
              <w:t>&lt;</w:t>
            </w:r>
            <w:r>
              <w:rPr>
                <w:rFonts w:hint="eastAsia" w:ascii="宋体" w:hAnsi="宋体" w:cs="宋体"/>
                <w:bCs/>
                <w:szCs w:val="21"/>
                <w:lang w:val="en-US" w:eastAsia="zh-CN"/>
              </w:rPr>
              <w:t>工期不得分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4"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500" w:type="dxa"/>
            <w:vAlign w:val="center"/>
          </w:tcPr>
          <w:p>
            <w:pPr>
              <w:tabs>
                <w:tab w:val="left" w:pos="7854"/>
              </w:tabs>
              <w:spacing w:line="300" w:lineRule="exact"/>
              <w:rPr>
                <w:rFonts w:hint="eastAsia" w:ascii="宋体" w:hAnsi="宋体" w:eastAsia="宋体" w:cs="宋体"/>
                <w:szCs w:val="21"/>
              </w:rPr>
            </w:pPr>
            <w:r>
              <w:rPr>
                <w:rFonts w:hint="eastAsia" w:ascii="宋体" w:hAnsi="宋体" w:eastAsia="宋体" w:cs="宋体"/>
                <w:szCs w:val="21"/>
              </w:rPr>
              <w:t>售后服务/资质</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1.有完整的售后服务体系（</w:t>
            </w:r>
            <w:r>
              <w:rPr>
                <w:rFonts w:hint="eastAsia" w:ascii="宋体" w:hAnsi="宋体" w:cs="宋体"/>
                <w:bCs/>
                <w:szCs w:val="21"/>
                <w:lang w:val="en-US" w:eastAsia="zh-CN"/>
              </w:rPr>
              <w:t>2</w:t>
            </w:r>
            <w:r>
              <w:rPr>
                <w:rFonts w:hint="eastAsia" w:ascii="宋体" w:hAnsi="宋体" w:eastAsia="宋体" w:cs="宋体"/>
                <w:bCs/>
                <w:szCs w:val="21"/>
              </w:rPr>
              <w:t>分）</w:t>
            </w:r>
          </w:p>
          <w:p>
            <w:pPr>
              <w:spacing w:line="360" w:lineRule="auto"/>
              <w:rPr>
                <w:rFonts w:hint="eastAsia" w:ascii="宋体" w:hAnsi="宋体" w:eastAsia="宋体" w:cs="宋体"/>
                <w:bCs/>
                <w:szCs w:val="21"/>
              </w:rPr>
            </w:pPr>
            <w:r>
              <w:rPr>
                <w:rFonts w:hint="eastAsia" w:ascii="宋体" w:hAnsi="宋体" w:eastAsia="宋体" w:cs="宋体"/>
                <w:bCs/>
                <w:szCs w:val="21"/>
              </w:rPr>
              <w:t>2.提供完备的本地化服务支持承诺，明确承诺到现场响应时间（根据响应时间长短给予</w:t>
            </w:r>
            <w:r>
              <w:rPr>
                <w:rFonts w:hint="eastAsia" w:ascii="宋体" w:hAnsi="宋体" w:cs="宋体"/>
                <w:bCs/>
                <w:szCs w:val="21"/>
                <w:lang w:val="en-US" w:eastAsia="zh-CN"/>
              </w:rPr>
              <w:t>1-3</w:t>
            </w:r>
            <w:r>
              <w:rPr>
                <w:rFonts w:hint="eastAsia" w:ascii="宋体" w:hAnsi="宋体" w:eastAsia="宋体" w:cs="宋体"/>
                <w:bCs/>
                <w:szCs w:val="21"/>
              </w:rPr>
              <w:t>分）</w:t>
            </w:r>
          </w:p>
          <w:p>
            <w:pPr>
              <w:spacing w:line="360" w:lineRule="auto"/>
              <w:rPr>
                <w:rFonts w:hint="eastAsia" w:ascii="宋体" w:hAnsi="宋体" w:eastAsia="宋体" w:cs="宋体"/>
                <w:bCs/>
                <w:szCs w:val="21"/>
              </w:rPr>
            </w:pPr>
            <w:r>
              <w:rPr>
                <w:rFonts w:hint="eastAsia" w:ascii="宋体" w:hAnsi="宋体" w:eastAsia="宋体" w:cs="宋体"/>
                <w:bCs/>
                <w:szCs w:val="21"/>
              </w:rPr>
              <w:t>3.投标人提供相应完善的培训计划（</w:t>
            </w:r>
            <w:r>
              <w:rPr>
                <w:rFonts w:hint="eastAsia" w:ascii="宋体" w:hAnsi="宋体" w:cs="宋体"/>
                <w:bCs/>
                <w:szCs w:val="21"/>
                <w:lang w:val="en-US" w:eastAsia="zh-CN"/>
              </w:rPr>
              <w:t>3</w:t>
            </w:r>
            <w:r>
              <w:rPr>
                <w:rFonts w:hint="eastAsia" w:ascii="宋体" w:hAnsi="宋体" w:eastAsia="宋体" w:cs="宋体"/>
                <w:bCs/>
                <w:szCs w:val="21"/>
              </w:rPr>
              <w:t>分）</w:t>
            </w:r>
          </w:p>
          <w:p>
            <w:pPr>
              <w:spacing w:line="360" w:lineRule="auto"/>
              <w:rPr>
                <w:rFonts w:hint="eastAsia" w:ascii="宋体" w:hAnsi="宋体" w:eastAsia="宋体" w:cs="宋体"/>
                <w:bCs/>
                <w:szCs w:val="21"/>
              </w:rPr>
            </w:pPr>
            <w:r>
              <w:rPr>
                <w:rFonts w:hint="eastAsia" w:ascii="宋体" w:hAnsi="宋体" w:eastAsia="宋体" w:cs="宋体"/>
                <w:bCs/>
                <w:szCs w:val="21"/>
              </w:rPr>
              <w:t>4.可随时远程视频支持解决问题（</w:t>
            </w:r>
            <w:r>
              <w:rPr>
                <w:rFonts w:hint="eastAsia" w:ascii="宋体" w:hAnsi="宋体" w:cs="宋体"/>
                <w:bCs/>
                <w:szCs w:val="21"/>
                <w:lang w:val="en-US" w:eastAsia="zh-CN"/>
              </w:rPr>
              <w:t>2</w:t>
            </w:r>
            <w:r>
              <w:rPr>
                <w:rFonts w:hint="eastAsia" w:ascii="宋体" w:hAnsi="宋体" w:eastAsia="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1500" w:type="dxa"/>
            <w:vAlign w:val="center"/>
          </w:tcPr>
          <w:p>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投标人代表对方案、技术优势的讲解，以及就该项目难点回答评标专家现场提问，打分0-</w:t>
            </w:r>
            <w:r>
              <w:rPr>
                <w:rFonts w:hint="eastAsia" w:ascii="宋体" w:hAnsi="宋体" w:cs="宋体"/>
                <w:bCs/>
                <w:szCs w:val="21"/>
                <w:lang w:val="en-US" w:eastAsia="zh-CN"/>
              </w:rPr>
              <w:t>10</w:t>
            </w:r>
            <w:r>
              <w:rPr>
                <w:rFonts w:hint="eastAsia" w:ascii="宋体" w:hAnsi="宋体" w:eastAsia="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设备制造商同类型项目业绩</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同类型项目业绩：202</w:t>
            </w:r>
            <w:r>
              <w:rPr>
                <w:rFonts w:hint="eastAsia" w:ascii="宋体" w:hAnsi="宋体" w:cs="宋体"/>
                <w:bCs/>
                <w:szCs w:val="21"/>
                <w:lang w:val="en-US" w:eastAsia="zh-CN"/>
              </w:rPr>
              <w:t>3</w:t>
            </w:r>
            <w:r>
              <w:rPr>
                <w:rFonts w:hint="eastAsia" w:ascii="宋体" w:hAnsi="宋体" w:eastAsia="宋体" w:cs="宋体"/>
                <w:bCs/>
                <w:szCs w:val="21"/>
              </w:rPr>
              <w:t>年1月以来到现在以来已交付使用的与本次招标项目类似产品的业绩，业绩最多者满分，第二名得</w:t>
            </w:r>
            <w:r>
              <w:rPr>
                <w:rFonts w:hint="eastAsia" w:ascii="宋体" w:hAnsi="宋体" w:cs="宋体"/>
                <w:bCs/>
                <w:szCs w:val="21"/>
                <w:lang w:val="en-US" w:eastAsia="zh-CN"/>
              </w:rPr>
              <w:t>8</w:t>
            </w:r>
            <w:r>
              <w:rPr>
                <w:rFonts w:hint="eastAsia" w:ascii="宋体" w:hAnsi="宋体" w:eastAsia="宋体" w:cs="宋体"/>
                <w:bCs/>
                <w:szCs w:val="21"/>
              </w:rPr>
              <w:t>分，第三名得</w:t>
            </w:r>
            <w:r>
              <w:rPr>
                <w:rFonts w:hint="eastAsia" w:ascii="宋体" w:hAnsi="宋体" w:cs="宋体"/>
                <w:bCs/>
                <w:szCs w:val="21"/>
                <w:lang w:val="en-US" w:eastAsia="zh-CN"/>
              </w:rPr>
              <w:t>6</w:t>
            </w:r>
            <w:r>
              <w:rPr>
                <w:rFonts w:hint="eastAsia" w:ascii="宋体" w:hAnsi="宋体" w:eastAsia="宋体" w:cs="宋体"/>
                <w:bCs/>
                <w:szCs w:val="21"/>
              </w:rPr>
              <w:t>分，</w:t>
            </w:r>
            <w:r>
              <w:rPr>
                <w:rFonts w:hint="eastAsia" w:ascii="宋体" w:hAnsi="宋体" w:cs="宋体"/>
                <w:bCs/>
                <w:szCs w:val="21"/>
                <w:lang w:val="en-US" w:eastAsia="zh-CN"/>
              </w:rPr>
              <w:t>第四名得4，</w:t>
            </w:r>
            <w:r>
              <w:rPr>
                <w:rFonts w:hint="eastAsia" w:ascii="宋体" w:hAnsi="宋体" w:eastAsia="宋体" w:cs="宋体"/>
                <w:bCs/>
                <w:szCs w:val="21"/>
              </w:rPr>
              <w:t>其余得1分。（时间以签订日期为准）。</w:t>
            </w:r>
          </w:p>
        </w:tc>
      </w:tr>
    </w:tbl>
    <w:p>
      <w:pPr>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sz w:val="24"/>
          <w:szCs w:val="24"/>
          <w:lang w:val="en-US" w:eastAsia="zh-CN"/>
        </w:rPr>
      </w:pPr>
    </w:p>
    <w:p>
      <w:pPr>
        <w:pageBreakBefore w:val="0"/>
        <w:widowControl w:val="0"/>
        <w:kinsoku/>
        <w:wordWrap/>
        <w:overflowPunct/>
        <w:topLinePunct w:val="0"/>
        <w:autoSpaceDE/>
        <w:autoSpaceDN/>
        <w:bidi w:val="0"/>
        <w:adjustRightInd/>
        <w:snapToGrid/>
        <w:spacing w:line="480" w:lineRule="auto"/>
        <w:jc w:val="left"/>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注：</w:t>
      </w:r>
    </w:p>
    <w:p>
      <w:pPr>
        <w:pageBreakBefore w:val="0"/>
        <w:widowControl w:val="0"/>
        <w:kinsoku/>
        <w:wordWrap/>
        <w:overflowPunct/>
        <w:topLinePunct w:val="0"/>
        <w:autoSpaceDE/>
        <w:autoSpaceDN/>
        <w:bidi w:val="0"/>
        <w:adjustRightInd/>
        <w:snapToGrid/>
        <w:spacing w:line="480" w:lineRule="auto"/>
        <w:jc w:val="left"/>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1、投标人技术标的最终得分为所有评委打分汇总后的算术平均值。</w:t>
      </w:r>
    </w:p>
    <w:p>
      <w:pPr>
        <w:pStyle w:val="58"/>
        <w:pageBreakBefore w:val="0"/>
        <w:widowControl w:val="0"/>
        <w:kinsoku/>
        <w:wordWrap/>
        <w:overflowPunct/>
        <w:topLinePunct w:val="0"/>
        <w:autoSpaceDE/>
        <w:autoSpaceDN/>
        <w:bidi w:val="0"/>
        <w:adjustRightInd/>
        <w:snapToGrid/>
        <w:spacing w:line="480" w:lineRule="auto"/>
        <w:jc w:val="left"/>
        <w:textAlignment w:val="auto"/>
        <w:rPr>
          <w:rFonts w:hint="eastAsia" w:ascii="宋体" w:hAnsi="宋体" w:eastAsia="宋体" w:cs="宋体"/>
        </w:rPr>
      </w:pPr>
      <w:r>
        <w:rPr>
          <w:rFonts w:hint="eastAsia" w:ascii="宋体" w:hAnsi="宋体" w:eastAsia="宋体" w:cs="宋体"/>
          <w:b/>
          <w:bCs/>
          <w:color w:val="000000"/>
          <w:sz w:val="24"/>
          <w:szCs w:val="24"/>
        </w:rPr>
        <w:t>2、技术标根据评分办法进行打分，技术标评标小组推荐至少3家技术得分</w:t>
      </w:r>
      <w:r>
        <w:rPr>
          <w:rFonts w:hint="eastAsia" w:ascii="宋体" w:hAnsi="宋体" w:eastAsia="宋体" w:cs="宋体"/>
          <w:b/>
          <w:bCs/>
          <w:color w:val="000000"/>
          <w:sz w:val="24"/>
          <w:szCs w:val="24"/>
          <w:lang w:val="en-US" w:eastAsia="zh-CN"/>
        </w:rPr>
        <w:t>8</w:t>
      </w:r>
      <w:r>
        <w:rPr>
          <w:rFonts w:hint="eastAsia" w:ascii="宋体" w:hAnsi="宋体" w:eastAsia="宋体" w:cs="宋体"/>
          <w:b/>
          <w:bCs/>
          <w:color w:val="000000"/>
          <w:sz w:val="24"/>
          <w:szCs w:val="24"/>
        </w:rPr>
        <w:t>0分（含）以上的投标人入围。技术入围投标人不足三家时，本次按废标处理，招标人有权根据招标采购管理流程重新组织招标。</w:t>
      </w:r>
      <w:r>
        <w:rPr>
          <w:rFonts w:hint="eastAsia" w:ascii="宋体" w:hAnsi="宋体" w:eastAsia="宋体" w:cs="宋体"/>
        </w:rPr>
        <w:br w:type="page"/>
      </w:r>
      <w:bookmarkEnd w:id="21"/>
      <w:bookmarkStart w:id="22" w:name="_Toc425801541"/>
      <w:r>
        <w:rPr>
          <w:rFonts w:hint="eastAsia" w:ascii="宋体" w:hAnsi="宋体" w:eastAsia="宋体" w:cs="宋体"/>
        </w:rPr>
        <w:t>第二</w:t>
      </w:r>
      <w:r>
        <w:rPr>
          <w:rFonts w:hint="eastAsia" w:ascii="宋体" w:hAnsi="宋体" w:eastAsia="宋体" w:cs="宋体"/>
          <w:lang w:val="en-US" w:eastAsia="zh-CN"/>
        </w:rPr>
        <w:t>部分</w:t>
      </w:r>
      <w:r>
        <w:rPr>
          <w:rFonts w:hint="eastAsia" w:ascii="宋体" w:hAnsi="宋体" w:eastAsia="宋体" w:cs="宋体"/>
        </w:rPr>
        <w:t>技术协议书</w:t>
      </w:r>
    </w:p>
    <w:bookmarkEnd w:id="22"/>
    <w:p>
      <w:pPr>
        <w:keepNext/>
        <w:keepLines/>
        <w:spacing w:before="120"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pPr>
        <w:keepNext/>
        <w:keepLines/>
        <w:spacing w:before="120" w:after="120" w:line="480" w:lineRule="exact"/>
        <w:jc w:val="center"/>
        <w:outlineLvl w:val="2"/>
        <w:rPr>
          <w:rFonts w:ascii="Arial" w:hAnsi="Arial" w:eastAsia="宋体" w:cs="Times New Roman"/>
          <w:b/>
          <w:bCs/>
          <w:sz w:val="24"/>
          <w:szCs w:val="24"/>
        </w:rPr>
      </w:pPr>
      <w:bookmarkStart w:id="23"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23"/>
    </w:p>
    <w:p>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sz w:val="24"/>
          <w:szCs w:val="24"/>
          <w:lang w:val="en-US" w:eastAsia="zh-CN"/>
        </w:rPr>
        <w:t>天然气组分分析招标</w:t>
      </w:r>
      <w:r>
        <w:rPr>
          <w:rFonts w:hint="eastAsia" w:ascii="宋体" w:hAnsi="宋体" w:eastAsia="宋体" w:cs="宋体"/>
          <w:color w:val="000000"/>
          <w:sz w:val="24"/>
          <w:szCs w:val="24"/>
          <w:highlight w:val="yellow"/>
          <w:u w:val="single"/>
          <w:lang w:val="en-US" w:eastAsia="zh-CN"/>
        </w:rPr>
        <w:t>项目</w:t>
      </w:r>
    </w:p>
    <w:p>
      <w:pPr>
        <w:spacing w:line="360" w:lineRule="auto"/>
        <w:outlineLvl w:val="3"/>
        <w:rPr>
          <w:rFonts w:hint="default" w:ascii="宋体" w:hAnsi="宋体" w:eastAsia="宋体" w:cs="宋体"/>
          <w:sz w:val="24"/>
          <w:szCs w:val="24"/>
          <w:highlight w:val="none"/>
          <w:u w:val="single"/>
          <w:shd w:val="pct10" w:color="auto" w:fill="FFFFFF"/>
          <w:lang w:val="en-US" w:eastAsia="zh-CN"/>
        </w:rPr>
      </w:pPr>
      <w:r>
        <w:rPr>
          <w:rFonts w:hint="eastAsia" w:ascii="宋体" w:hAnsi="宋体" w:eastAsia="宋体" w:cs="宋体"/>
          <w:sz w:val="24"/>
          <w:szCs w:val="24"/>
        </w:rPr>
        <w:t>二、建设地点</w:t>
      </w:r>
      <w:r>
        <w:rPr>
          <w:rFonts w:hint="eastAsia" w:ascii="宋体" w:hAnsi="宋体" w:eastAsia="宋体" w:cs="宋体"/>
          <w:sz w:val="24"/>
          <w:szCs w:val="24"/>
          <w:highlight w:val="none"/>
        </w:rPr>
        <w:t>：济南市章丘区世纪大道7777号园区内</w:t>
      </w:r>
    </w:p>
    <w:p>
      <w:pPr>
        <w:spacing w:line="360" w:lineRule="auto"/>
        <w:outlineLvl w:val="3"/>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三、使用地点：济南市章丘区世纪大道7777号园区内</w:t>
      </w:r>
    </w:p>
    <w:p>
      <w:pPr>
        <w:spacing w:line="360" w:lineRule="auto"/>
        <w:outlineLvl w:val="3"/>
        <w:rPr>
          <w:rFonts w:ascii="宋体" w:hAnsi="宋体" w:eastAsia="宋体" w:cs="宋体"/>
          <w:sz w:val="24"/>
          <w:szCs w:val="24"/>
        </w:rPr>
      </w:pPr>
      <w:r>
        <w:rPr>
          <w:rFonts w:hint="eastAsia" w:ascii="宋体" w:hAnsi="宋体" w:eastAsia="宋体" w:cs="宋体"/>
          <w:sz w:val="24"/>
          <w:szCs w:val="24"/>
        </w:rPr>
        <w:t>四、工作制度：</w:t>
      </w:r>
      <w:r>
        <w:rPr>
          <w:rFonts w:hint="eastAsia" w:ascii="宋体" w:hAnsi="宋体" w:eastAsia="宋体" w:cs="宋体"/>
          <w:sz w:val="24"/>
          <w:szCs w:val="24"/>
          <w:highlight w:val="none"/>
        </w:rPr>
        <w:t>全年工作</w:t>
      </w:r>
      <w:r>
        <w:rPr>
          <w:rFonts w:hint="eastAsia" w:ascii="宋体" w:hAnsi="宋体" w:eastAsia="宋体" w:cs="宋体"/>
          <w:sz w:val="24"/>
          <w:szCs w:val="24"/>
          <w:highlight w:val="yellow"/>
          <w:u w:val="single"/>
          <w:shd w:val="pct10" w:color="auto" w:fill="FFFFFF"/>
          <w:lang w:val="en-US" w:eastAsia="zh-CN"/>
        </w:rPr>
        <w:t>365</w:t>
      </w:r>
      <w:r>
        <w:rPr>
          <w:rFonts w:hint="eastAsia" w:ascii="宋体" w:hAnsi="宋体" w:eastAsia="宋体" w:cs="宋体"/>
          <w:sz w:val="24"/>
          <w:szCs w:val="24"/>
          <w:highlight w:val="none"/>
        </w:rPr>
        <w:t>天、</w:t>
      </w:r>
      <w:r>
        <w:rPr>
          <w:rFonts w:hint="eastAsia" w:ascii="宋体" w:hAnsi="宋体" w:eastAsia="宋体" w:cs="宋体"/>
          <w:sz w:val="24"/>
          <w:szCs w:val="24"/>
          <w:highlight w:val="yellow"/>
          <w:u w:val="single"/>
          <w:shd w:val="pct10" w:color="auto" w:fill="FFFFFF"/>
        </w:rPr>
        <w:t xml:space="preserve"> </w:t>
      </w:r>
      <w:r>
        <w:rPr>
          <w:rFonts w:hint="eastAsia" w:ascii="宋体" w:hAnsi="宋体" w:eastAsia="宋体" w:cs="宋体"/>
          <w:sz w:val="24"/>
          <w:szCs w:val="24"/>
          <w:highlight w:val="yellow"/>
          <w:u w:val="single"/>
          <w:shd w:val="pct10" w:color="auto" w:fill="FFFFFF"/>
          <w:lang w:val="en-US" w:eastAsia="zh-CN"/>
        </w:rPr>
        <w:t>一</w:t>
      </w:r>
      <w:r>
        <w:rPr>
          <w:rFonts w:hint="eastAsia" w:ascii="宋体" w:hAnsi="宋体" w:eastAsia="宋体" w:cs="宋体"/>
          <w:sz w:val="24"/>
          <w:szCs w:val="24"/>
          <w:highlight w:val="yellow"/>
          <w:u w:val="single"/>
          <w:shd w:val="pct10" w:color="auto" w:fill="FFFFFF"/>
        </w:rPr>
        <w:t xml:space="preserve"> </w:t>
      </w:r>
      <w:r>
        <w:rPr>
          <w:rFonts w:hint="eastAsia" w:ascii="宋体" w:hAnsi="宋体" w:eastAsia="宋体" w:cs="宋体"/>
          <w:sz w:val="24"/>
          <w:szCs w:val="24"/>
          <w:highlight w:val="none"/>
        </w:rPr>
        <w:t>班制、设备年时基数</w:t>
      </w:r>
      <w:r>
        <w:rPr>
          <w:rFonts w:hint="eastAsia" w:ascii="宋体" w:hAnsi="宋体" w:eastAsia="宋体" w:cs="宋体"/>
          <w:sz w:val="24"/>
          <w:szCs w:val="24"/>
          <w:highlight w:val="yellow"/>
          <w:u w:val="single"/>
          <w:shd w:val="pct10" w:color="auto" w:fill="FFFFFF"/>
          <w:lang w:val="en-US" w:eastAsia="zh-CN"/>
        </w:rPr>
        <w:t>2190</w:t>
      </w:r>
      <w:r>
        <w:rPr>
          <w:rFonts w:hint="eastAsia" w:ascii="宋体" w:hAnsi="宋体" w:eastAsia="宋体" w:cs="宋体"/>
          <w:sz w:val="24"/>
          <w:szCs w:val="24"/>
          <w:highlight w:val="none"/>
        </w:rPr>
        <w:t>小时</w:t>
      </w:r>
    </w:p>
    <w:p>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1.海拔高度：</w:t>
      </w:r>
      <w:r>
        <w:rPr>
          <w:rFonts w:hint="eastAsia" w:ascii="宋体" w:hAnsi="宋体" w:eastAsia="宋体" w:cs="宋体"/>
          <w:bCs/>
          <w:sz w:val="24"/>
          <w:szCs w:val="24"/>
          <w:highlight w:val="none"/>
          <w:lang w:val="en-US" w:eastAsia="zh-CN"/>
        </w:rPr>
        <w:t>4</w:t>
      </w:r>
      <w:r>
        <w:rPr>
          <w:rFonts w:hint="eastAsia" w:ascii="宋体" w:hAnsi="宋体" w:eastAsia="宋体" w:cs="宋体"/>
          <w:bCs/>
          <w:sz w:val="24"/>
          <w:szCs w:val="24"/>
          <w:highlight w:val="none"/>
        </w:rPr>
        <w:t>000m以下。</w:t>
      </w:r>
    </w:p>
    <w:p>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2.环境温度：室外极端最低温度-</w:t>
      </w:r>
      <w:r>
        <w:rPr>
          <w:rFonts w:hint="eastAsia" w:ascii="宋体" w:hAnsi="宋体" w:eastAsia="宋体" w:cs="宋体"/>
          <w:bCs/>
          <w:sz w:val="24"/>
          <w:szCs w:val="24"/>
          <w:highlight w:val="none"/>
          <w:lang w:val="en-US" w:eastAsia="zh-CN"/>
        </w:rPr>
        <w:t>1</w:t>
      </w:r>
      <w:r>
        <w:rPr>
          <w:rFonts w:hint="eastAsia" w:ascii="宋体" w:hAnsi="宋体" w:cs="宋体"/>
          <w:bCs/>
          <w:sz w:val="24"/>
          <w:szCs w:val="24"/>
          <w:highlight w:val="none"/>
          <w:lang w:val="en-US" w:eastAsia="zh-CN"/>
        </w:rPr>
        <w:t>5</w:t>
      </w:r>
      <w:r>
        <w:rPr>
          <w:rFonts w:hint="eastAsia" w:ascii="宋体" w:hAnsi="宋体" w:eastAsia="宋体" w:cs="宋体"/>
          <w:bCs/>
          <w:sz w:val="24"/>
          <w:szCs w:val="24"/>
          <w:highlight w:val="none"/>
        </w:rPr>
        <w:t>℃、极端最高温度45℃。</w:t>
      </w:r>
    </w:p>
    <w:p>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3.相对湿度：最大95%、最小15%。</w:t>
      </w:r>
    </w:p>
    <w:p>
      <w:pPr>
        <w:spacing w:line="360" w:lineRule="auto"/>
        <w:outlineLvl w:val="3"/>
        <w:rPr>
          <w:rFonts w:ascii="宋体" w:hAnsi="宋体" w:eastAsia="宋体" w:cs="宋体"/>
          <w:bCs/>
          <w:sz w:val="24"/>
          <w:szCs w:val="24"/>
          <w:highlight w:val="none"/>
        </w:rPr>
      </w:pPr>
      <w:r>
        <w:rPr>
          <w:rFonts w:hint="eastAsia" w:ascii="宋体" w:hAnsi="宋体" w:eastAsia="宋体" w:cs="宋体"/>
          <w:bCs/>
          <w:sz w:val="24"/>
          <w:szCs w:val="24"/>
          <w:highlight w:val="none"/>
        </w:rPr>
        <w:t>六、使用试验室环境条件：</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1、电力：中国制式，供电电压</w:t>
      </w:r>
      <w:r>
        <w:rPr>
          <w:rFonts w:hint="eastAsia" w:ascii="宋体" w:hAnsi="宋体" w:eastAsia="宋体" w:cs="宋体"/>
          <w:sz w:val="24"/>
          <w:szCs w:val="24"/>
          <w:highlight w:val="yellow"/>
        </w:rPr>
        <w:t>220V±15%</w:t>
      </w:r>
      <w:r>
        <w:rPr>
          <w:rFonts w:hint="eastAsia" w:ascii="宋体" w:hAnsi="宋体" w:eastAsia="宋体" w:cs="宋体"/>
          <w:sz w:val="24"/>
          <w:szCs w:val="24"/>
        </w:rPr>
        <w:t>，供电频率</w:t>
      </w:r>
      <w:r>
        <w:rPr>
          <w:rFonts w:hint="eastAsia" w:ascii="宋体" w:hAnsi="宋体" w:eastAsia="宋体" w:cs="宋体"/>
          <w:sz w:val="24"/>
          <w:szCs w:val="24"/>
          <w:highlight w:val="yellow"/>
        </w:rPr>
        <w:t>50Hz±2%</w:t>
      </w:r>
      <w:r>
        <w:rPr>
          <w:rFonts w:hint="eastAsia" w:ascii="宋体" w:hAnsi="宋体" w:eastAsia="宋体" w:cs="宋体"/>
          <w:sz w:val="24"/>
          <w:szCs w:val="24"/>
        </w:rPr>
        <w:t>。</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2、给水：</w:t>
      </w:r>
      <w:r>
        <w:rPr>
          <w:rFonts w:hint="eastAsia" w:ascii="宋体" w:hAnsi="宋体" w:eastAsia="宋体" w:cs="宋体"/>
          <w:sz w:val="24"/>
          <w:szCs w:val="24"/>
          <w:highlight w:val="yellow"/>
        </w:rPr>
        <w:t>市政自来水</w:t>
      </w:r>
      <w:r>
        <w:rPr>
          <w:rFonts w:hint="eastAsia" w:ascii="宋体" w:hAnsi="宋体" w:eastAsia="宋体" w:cs="宋体"/>
          <w:sz w:val="24"/>
          <w:szCs w:val="24"/>
        </w:rPr>
        <w:t>。</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3、压缩空气：</w:t>
      </w:r>
      <w:r>
        <w:rPr>
          <w:rFonts w:hint="eastAsia" w:ascii="宋体" w:hAnsi="宋体" w:eastAsia="宋体" w:cs="宋体"/>
          <w:sz w:val="24"/>
          <w:szCs w:val="24"/>
          <w:highlight w:val="yellow"/>
        </w:rPr>
        <w:t>自备空压机自产压缩空气，0.6～1.0MP</w:t>
      </w:r>
      <w:r>
        <w:rPr>
          <w:rFonts w:hint="eastAsia" w:ascii="宋体" w:hAnsi="宋体" w:eastAsia="宋体" w:cs="宋体"/>
          <w:sz w:val="24"/>
          <w:szCs w:val="24"/>
        </w:rPr>
        <w:t>a。</w:t>
      </w:r>
    </w:p>
    <w:p>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pPr>
        <w:spacing w:line="420" w:lineRule="exact"/>
        <w:outlineLvl w:val="3"/>
        <w:rPr>
          <w:rFonts w:ascii="宋体" w:hAnsi="宋体" w:eastAsia="宋体" w:cs="宋体"/>
          <w:sz w:val="24"/>
          <w:szCs w:val="24"/>
          <w:highlight w:val="none"/>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sz w:val="24"/>
          <w:szCs w:val="24"/>
          <w:highlight w:val="none"/>
          <w:lang w:val="en-US" w:eastAsia="zh-CN"/>
        </w:rPr>
        <w:t>天然气组分分析仪系统</w:t>
      </w:r>
      <w:r>
        <w:rPr>
          <w:rFonts w:hint="eastAsia" w:ascii="宋体" w:hAnsi="宋体" w:eastAsia="宋体" w:cs="宋体"/>
          <w:sz w:val="24"/>
          <w:szCs w:val="24"/>
          <w:highlight w:val="none"/>
        </w:rPr>
        <w:t>（详见下表）</w:t>
      </w:r>
    </w:p>
    <w:p>
      <w:pPr>
        <w:spacing w:line="420" w:lineRule="exact"/>
        <w:outlineLvl w:val="3"/>
        <w:rPr>
          <w:rFonts w:ascii="宋体" w:hAnsi="宋体" w:eastAsia="宋体" w:cs="宋体"/>
          <w:sz w:val="24"/>
          <w:szCs w:val="24"/>
          <w:highlight w:val="none"/>
        </w:rPr>
      </w:pPr>
      <w:r>
        <w:rPr>
          <w:rFonts w:hint="eastAsia" w:ascii="宋体" w:hAnsi="宋体" w:eastAsia="宋体" w:cs="宋体"/>
          <w:b/>
          <w:sz w:val="24"/>
          <w:szCs w:val="24"/>
          <w:highlight w:val="none"/>
        </w:rPr>
        <w:t>二、货物数量：</w:t>
      </w:r>
      <w:r>
        <w:rPr>
          <w:rFonts w:hint="eastAsia" w:ascii="宋体" w:hAnsi="宋体" w:eastAsia="宋体" w:cs="宋体"/>
          <w:sz w:val="24"/>
          <w:szCs w:val="24"/>
          <w:highlight w:val="none"/>
          <w:u w:val="single"/>
          <w:shd w:val="pct10" w:color="auto" w:fill="FFFFFF"/>
        </w:rPr>
        <w:t>1</w:t>
      </w:r>
      <w:r>
        <w:rPr>
          <w:rFonts w:hint="eastAsia" w:ascii="宋体" w:hAnsi="宋体" w:eastAsia="宋体" w:cs="宋体"/>
          <w:sz w:val="24"/>
          <w:szCs w:val="24"/>
          <w:highlight w:val="none"/>
          <w:u w:val="single"/>
          <w:shd w:val="pct10" w:color="auto" w:fill="FFFFFF"/>
          <w:lang w:val="en-US" w:eastAsia="zh-CN"/>
        </w:rPr>
        <w:t>台</w:t>
      </w:r>
      <w:r>
        <w:rPr>
          <w:rFonts w:hint="eastAsia" w:ascii="宋体" w:hAnsi="宋体" w:eastAsia="宋体" w:cs="宋体"/>
          <w:sz w:val="24"/>
          <w:szCs w:val="24"/>
          <w:highlight w:val="none"/>
          <w:u w:val="single"/>
          <w:shd w:val="pct10" w:color="auto" w:fill="FFFFFF"/>
        </w:rPr>
        <w:t>套</w:t>
      </w:r>
      <w:r>
        <w:rPr>
          <w:rFonts w:hint="eastAsia" w:ascii="宋体" w:hAnsi="宋体" w:eastAsia="宋体" w:cs="宋体"/>
          <w:sz w:val="24"/>
          <w:szCs w:val="24"/>
          <w:highlight w:val="none"/>
        </w:rPr>
        <w:t>（详见下表）</w:t>
      </w:r>
    </w:p>
    <w:p>
      <w:pPr>
        <w:spacing w:line="420" w:lineRule="exact"/>
        <w:outlineLvl w:val="3"/>
        <w:rPr>
          <w:rFonts w:ascii="宋体" w:hAnsi="宋体" w:eastAsia="宋体" w:cs="宋体"/>
          <w:b/>
          <w:sz w:val="24"/>
          <w:szCs w:val="24"/>
        </w:rPr>
      </w:pPr>
      <w:r>
        <w:rPr>
          <w:rFonts w:hint="eastAsia" w:ascii="宋体" w:hAnsi="宋体" w:eastAsia="宋体" w:cs="宋体"/>
          <w:b/>
          <w:sz w:val="24"/>
          <w:szCs w:val="24"/>
        </w:rPr>
        <w:t>三、分投分中：不允许</w:t>
      </w:r>
    </w:p>
    <w:p>
      <w:pPr>
        <w:jc w:val="center"/>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采购货物主要构成</w:t>
      </w:r>
      <w:r>
        <w:rPr>
          <w:rFonts w:hint="eastAsia" w:ascii="宋体" w:hAnsi="宋体" w:eastAsia="宋体" w:cs="宋体"/>
          <w:sz w:val="24"/>
          <w:szCs w:val="24"/>
          <w:highlight w:val="none"/>
        </w:rPr>
        <w:t>一览表：</w:t>
      </w:r>
    </w:p>
    <w:tbl>
      <w:tblPr>
        <w:tblStyle w:val="32"/>
        <w:tblW w:w="91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3406"/>
        <w:gridCol w:w="1617"/>
        <w:gridCol w:w="1233"/>
        <w:gridCol w:w="1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序号</w:t>
            </w:r>
          </w:p>
        </w:tc>
        <w:tc>
          <w:tcPr>
            <w:tcW w:w="3406"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名称</w:t>
            </w:r>
          </w:p>
        </w:tc>
        <w:tc>
          <w:tcPr>
            <w:tcW w:w="1617"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单位</w:t>
            </w:r>
          </w:p>
        </w:tc>
        <w:tc>
          <w:tcPr>
            <w:tcW w:w="1233"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数量</w:t>
            </w:r>
          </w:p>
        </w:tc>
        <w:tc>
          <w:tcPr>
            <w:tcW w:w="1983" w:type="dxa"/>
            <w:vAlign w:val="center"/>
          </w:tcPr>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3406"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气相色谱仪</w:t>
            </w:r>
          </w:p>
        </w:tc>
        <w:tc>
          <w:tcPr>
            <w:tcW w:w="1617"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套</w:t>
            </w:r>
          </w:p>
        </w:tc>
        <w:tc>
          <w:tcPr>
            <w:tcW w:w="1233" w:type="dxa"/>
            <w:vAlign w:val="center"/>
          </w:tcPr>
          <w:p>
            <w:pPr>
              <w:pStyle w:val="15"/>
              <w:jc w:val="center"/>
              <w:rPr>
                <w:rFonts w:hint="default"/>
                <w:lang w:val="en-US" w:eastAsia="zh-CN"/>
              </w:rPr>
            </w:pPr>
            <w:r>
              <w:rPr>
                <w:rFonts w:hint="eastAsia"/>
                <w:lang w:val="en-US" w:eastAsia="zh-CN"/>
              </w:rPr>
              <w:t>1</w:t>
            </w:r>
          </w:p>
        </w:tc>
        <w:tc>
          <w:tcPr>
            <w:tcW w:w="1983" w:type="dxa"/>
            <w:vAlign w:val="center"/>
          </w:tcPr>
          <w:p>
            <w:pPr>
              <w:jc w:val="center"/>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国外品牌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w:t>
            </w:r>
          </w:p>
        </w:tc>
        <w:tc>
          <w:tcPr>
            <w:tcW w:w="3406" w:type="dxa"/>
            <w:vAlign w:val="center"/>
          </w:tcPr>
          <w:p>
            <w:pPr>
              <w:spacing w:line="360" w:lineRule="exact"/>
              <w:jc w:val="center"/>
              <w:rPr>
                <w:rFonts w:hint="eastAsia" w:ascii="宋体" w:hAnsi="宋体" w:eastAsia="宋体" w:cs="宋体"/>
                <w:sz w:val="21"/>
                <w:szCs w:val="21"/>
                <w:highlight w:val="none"/>
                <w:lang w:val="en-US" w:eastAsia="zh-CN"/>
              </w:rPr>
            </w:pPr>
            <w:r>
              <w:rPr>
                <w:rFonts w:hint="eastAsia"/>
                <w:lang w:val="en-US" w:eastAsia="zh-CN"/>
              </w:rPr>
              <w:t>控制电脑及仪器操作软件</w:t>
            </w:r>
          </w:p>
        </w:tc>
        <w:tc>
          <w:tcPr>
            <w:tcW w:w="1617"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套</w:t>
            </w:r>
          </w:p>
        </w:tc>
        <w:tc>
          <w:tcPr>
            <w:tcW w:w="1233" w:type="dxa"/>
            <w:vAlign w:val="center"/>
          </w:tcPr>
          <w:p>
            <w:pPr>
              <w:pStyle w:val="15"/>
              <w:jc w:val="center"/>
              <w:rPr>
                <w:rFonts w:hint="default"/>
                <w:lang w:val="en-US" w:eastAsia="zh-CN"/>
              </w:rPr>
            </w:pPr>
            <w:r>
              <w:rPr>
                <w:rFonts w:hint="eastAsia"/>
                <w:lang w:val="en-US" w:eastAsia="zh-CN"/>
              </w:rPr>
              <w:t>1</w:t>
            </w:r>
          </w:p>
        </w:tc>
        <w:tc>
          <w:tcPr>
            <w:tcW w:w="1983" w:type="dxa"/>
            <w:vAlign w:val="center"/>
          </w:tcPr>
          <w:p>
            <w:pPr>
              <w:jc w:val="center"/>
              <w:rPr>
                <w:rFonts w:hint="eastAsia" w:ascii="宋体" w:hAnsi="宋体" w:cs="宋体"/>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3</w:t>
            </w:r>
          </w:p>
        </w:tc>
        <w:tc>
          <w:tcPr>
            <w:tcW w:w="3406"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标气、工作气管路</w:t>
            </w:r>
          </w:p>
        </w:tc>
        <w:tc>
          <w:tcPr>
            <w:tcW w:w="1617" w:type="dxa"/>
            <w:vAlign w:val="top"/>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路</w:t>
            </w:r>
          </w:p>
        </w:tc>
        <w:tc>
          <w:tcPr>
            <w:tcW w:w="1233" w:type="dxa"/>
            <w:vAlign w:val="center"/>
          </w:tcPr>
          <w:p>
            <w:pPr>
              <w:pStyle w:val="15"/>
              <w:jc w:val="center"/>
              <w:rPr>
                <w:rFonts w:hint="default"/>
                <w:lang w:val="en-US" w:eastAsia="zh-CN"/>
              </w:rPr>
            </w:pPr>
            <w:r>
              <w:rPr>
                <w:rFonts w:hint="eastAsia"/>
                <w:lang w:val="en-US" w:eastAsia="zh-CN"/>
              </w:rPr>
              <w:t>2</w:t>
            </w:r>
          </w:p>
        </w:tc>
        <w:tc>
          <w:tcPr>
            <w:tcW w:w="1983" w:type="dxa"/>
            <w:vAlign w:val="center"/>
          </w:tcPr>
          <w:p>
            <w:pPr>
              <w:jc w:val="center"/>
              <w:rPr>
                <w:rFonts w:hint="eastAsia" w:ascii="宋体" w:hAnsi="宋体" w:eastAsia="宋体" w:cs="宋体"/>
                <w:sz w:val="21"/>
                <w:szCs w:val="21"/>
                <w:highlight w:val="none"/>
                <w:lang w:val="en-US" w:eastAsia="zh-CN"/>
              </w:rPr>
            </w:pPr>
            <w:r>
              <w:rPr>
                <w:rFonts w:hint="eastAsia"/>
                <w:lang w:val="en-US" w:eastAsia="zh-CN"/>
              </w:rPr>
              <w:t>包含施工、管路材料、减压阀、固定装置等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4</w:t>
            </w:r>
          </w:p>
        </w:tc>
        <w:tc>
          <w:tcPr>
            <w:tcW w:w="3406"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试验台及排风系统</w:t>
            </w:r>
          </w:p>
        </w:tc>
        <w:tc>
          <w:tcPr>
            <w:tcW w:w="1617" w:type="dxa"/>
            <w:vAlign w:val="top"/>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套</w:t>
            </w:r>
          </w:p>
        </w:tc>
        <w:tc>
          <w:tcPr>
            <w:tcW w:w="1233" w:type="dxa"/>
            <w:vAlign w:val="center"/>
          </w:tcPr>
          <w:p>
            <w:pPr>
              <w:pStyle w:val="15"/>
              <w:jc w:val="center"/>
              <w:rPr>
                <w:rFonts w:hint="default"/>
                <w:lang w:val="en-US" w:eastAsia="zh-CN"/>
              </w:rPr>
            </w:pPr>
            <w:r>
              <w:rPr>
                <w:rFonts w:hint="eastAsia"/>
                <w:lang w:val="en-US" w:eastAsia="zh-CN"/>
              </w:rPr>
              <w:t>1</w:t>
            </w:r>
          </w:p>
        </w:tc>
        <w:tc>
          <w:tcPr>
            <w:tcW w:w="1983" w:type="dxa"/>
            <w:vAlign w:val="center"/>
          </w:tcPr>
          <w:p>
            <w:pPr>
              <w:jc w:val="center"/>
              <w:rPr>
                <w:rFonts w:hint="eastAsia" w:ascii="宋体" w:hAnsi="宋体" w:eastAsia="宋体" w:cs="宋体"/>
                <w:sz w:val="21"/>
                <w:szCs w:val="21"/>
                <w:highlight w:val="none"/>
                <w:lang w:val="en-US" w:eastAsia="zh-CN"/>
              </w:rPr>
            </w:pPr>
          </w:p>
        </w:tc>
      </w:tr>
    </w:tbl>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w:t>
      </w:r>
      <w:r>
        <w:rPr>
          <w:rFonts w:hint="eastAsia" w:ascii="宋体" w:hAnsi="宋体" w:eastAsia="宋体" w:cs="宋体"/>
          <w:bCs/>
          <w:sz w:val="24"/>
          <w:szCs w:val="24"/>
          <w:lang w:val="en-US" w:eastAsia="zh-CN"/>
        </w:rPr>
        <w:t>1.</w:t>
      </w:r>
      <w:r>
        <w:rPr>
          <w:rFonts w:hint="eastAsia" w:ascii="宋体" w:hAnsi="宋体" w:eastAsia="宋体" w:cs="宋体"/>
          <w:bCs/>
          <w:sz w:val="24"/>
          <w:szCs w:val="24"/>
        </w:rPr>
        <w:t>本表所列采购货物仅为货物的主要构成部分，应配套供货以及招标人所列其它货物（或设备）和服务，请投标人认真阅读“供货范围”。若有异议，不管是多么微小，都应在投标文件“商务偏离”章节中予以详细说明。</w:t>
      </w:r>
    </w:p>
    <w:p>
      <w:pPr>
        <w:spacing w:line="360" w:lineRule="auto"/>
        <w:ind w:firstLine="480" w:firstLineChars="200"/>
        <w:rPr>
          <w:rFonts w:hint="eastAsia" w:ascii="宋体" w:hAnsi="宋体" w:eastAsia="宋体" w:cs="宋体"/>
          <w:bCs/>
          <w:sz w:val="24"/>
          <w:szCs w:val="24"/>
          <w:highlight w:val="red"/>
        </w:rPr>
      </w:pPr>
      <w:r>
        <w:rPr>
          <w:rFonts w:hint="eastAsia" w:ascii="宋体" w:hAnsi="宋体" w:eastAsia="宋体" w:cs="宋体"/>
          <w:bCs/>
          <w:sz w:val="24"/>
          <w:szCs w:val="24"/>
          <w:lang w:val="en-US" w:eastAsia="zh-CN"/>
        </w:rPr>
        <w:t>2.</w:t>
      </w:r>
      <w:r>
        <w:rPr>
          <w:rFonts w:hint="eastAsia" w:ascii="宋体" w:hAnsi="宋体" w:eastAsia="宋体" w:cs="宋体"/>
          <w:bCs/>
          <w:sz w:val="24"/>
          <w:szCs w:val="24"/>
        </w:rPr>
        <w:t>本表“供货方式”指：交钥匙方式——包括制造、运输、定点卸货、安装、调试和协助验收以及约定培训等</w:t>
      </w:r>
      <w:r>
        <w:rPr>
          <w:rFonts w:hint="eastAsia" w:ascii="宋体" w:hAnsi="宋体" w:eastAsia="宋体" w:cs="宋体"/>
          <w:bCs/>
          <w:sz w:val="24"/>
          <w:szCs w:val="24"/>
          <w:lang w:eastAsia="zh-CN"/>
        </w:rPr>
        <w:t>。</w:t>
      </w:r>
    </w:p>
    <w:p>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pPr>
        <w:widowControl/>
        <w:jc w:val="left"/>
      </w:pPr>
      <w:r>
        <w:br w:type="page"/>
      </w:r>
    </w:p>
    <w:p>
      <w:pPr>
        <w:keepNext/>
        <w:keepLines/>
        <w:spacing w:before="120" w:after="120" w:line="480" w:lineRule="exact"/>
        <w:jc w:val="center"/>
        <w:outlineLvl w:val="1"/>
        <w:rPr>
          <w:rFonts w:ascii="宋体" w:hAnsi="Calibri" w:eastAsia="宋体" w:cs="Times New Roman"/>
          <w:bCs/>
          <w:kern w:val="44"/>
          <w:sz w:val="28"/>
          <w:szCs w:val="28"/>
        </w:rPr>
      </w:pPr>
      <w:bookmarkStart w:id="24" w:name="_Toc169605880"/>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24"/>
    </w:p>
    <w:p>
      <w:pPr>
        <w:pStyle w:val="80"/>
        <w:spacing w:line="360" w:lineRule="auto"/>
        <w:ind w:firstLine="480" w:firstLineChars="200"/>
        <w:outlineLvl w:val="2"/>
        <w:rPr>
          <w:rFonts w:eastAsia="宋体" w:cs="宋体"/>
          <w:b/>
          <w:bCs w:val="0"/>
          <w:sz w:val="24"/>
          <w:szCs w:val="24"/>
        </w:rPr>
      </w:pPr>
      <w:r>
        <w:rPr>
          <w:rFonts w:hint="eastAsia" w:eastAsia="宋体" w:cs="宋体"/>
          <w:b/>
          <w:bCs w:val="0"/>
          <w:sz w:val="24"/>
          <w:szCs w:val="24"/>
        </w:rPr>
        <w:t>一、特别提示</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1.本章技术要求，仅对功能、设计、结构、性能、安装和试验检验等方面，提出了最低和一般性的技术要求，并未对一切技术细节作出规定。</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2.本技术要求所使用的标准、规范等，如与投标人所执行的标准、规范不一致时，应按高于本技术要求所列的标准、规范执行。</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pPr>
        <w:pStyle w:val="80"/>
        <w:spacing w:line="360" w:lineRule="auto"/>
        <w:ind w:firstLine="480" w:firstLineChars="200"/>
        <w:outlineLvl w:val="2"/>
        <w:rPr>
          <w:rFonts w:eastAsia="宋体" w:cs="宋体"/>
          <w:b/>
          <w:bCs w:val="0"/>
          <w:sz w:val="24"/>
          <w:szCs w:val="24"/>
        </w:rPr>
      </w:pPr>
      <w:r>
        <w:rPr>
          <w:rFonts w:hint="eastAsia" w:eastAsia="宋体" w:cs="宋体"/>
          <w:b/>
          <w:bCs w:val="0"/>
          <w:sz w:val="24"/>
          <w:szCs w:val="24"/>
        </w:rPr>
        <w:t>二、基本要求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pPr>
        <w:spacing w:line="360" w:lineRule="auto"/>
        <w:ind w:firstLine="480" w:firstLineChars="200"/>
        <w:rPr>
          <w:rFonts w:hint="default" w:ascii="宋体" w:hAnsi="Calibri" w:eastAsia="宋体" w:cs="Times New Roman"/>
          <w:sz w:val="24"/>
          <w:szCs w:val="24"/>
          <w:lang w:val="en-US" w:eastAsia="zh-CN"/>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r>
        <w:rPr>
          <w:rFonts w:hint="eastAsia" w:ascii="宋体" w:hAnsi="宋体" w:eastAsia="宋体" w:cs="Times New Roman"/>
          <w:b/>
          <w:bCs/>
          <w:sz w:val="24"/>
          <w:szCs w:val="24"/>
          <w:highlight w:val="yellow"/>
          <w:lang w:val="en-US" w:eastAsia="zh-CN"/>
        </w:rPr>
        <w:t>其中，功率≥7.5KW的电机，应选用1级能效（根据国标计算）。＜7.5KW的电机，能效等级不低于2级。</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pPr>
        <w:spacing w:line="360" w:lineRule="auto"/>
        <w:ind w:firstLine="480" w:firstLineChars="200"/>
        <w:rPr>
          <w:rFonts w:hint="eastAsia" w:ascii="宋体" w:hAnsi="宋体" w:eastAsia="宋体" w:cs="Times New Roman"/>
          <w:sz w:val="24"/>
          <w:szCs w:val="24"/>
          <w:highlight w:val="none"/>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w:t>
      </w:r>
      <w:r>
        <w:rPr>
          <w:rFonts w:hint="eastAsia" w:ascii="宋体" w:hAnsi="宋体" w:eastAsia="宋体" w:cs="Times New Roman"/>
          <w:sz w:val="24"/>
          <w:szCs w:val="24"/>
          <w:highlight w:val="none"/>
        </w:rPr>
        <w:t>究投标人泄密责任的权利；招标人如有需要，投标人应无条件签署保密协议。</w:t>
      </w:r>
    </w:p>
    <w:p>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8</w:t>
      </w:r>
      <w:r>
        <w:rPr>
          <w:rFonts w:hint="eastAsia" w:ascii="宋体" w:hAnsi="宋体" w:eastAsia="宋体" w:cs="Times New Roman"/>
          <w:sz w:val="24"/>
          <w:szCs w:val="24"/>
          <w:highlight w:val="yellow"/>
        </w:rPr>
        <w:t>.程序图纸要求</w:t>
      </w:r>
    </w:p>
    <w:p>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8</w:t>
      </w:r>
      <w:r>
        <w:rPr>
          <w:rFonts w:hint="eastAsia" w:ascii="宋体" w:hAnsi="宋体" w:eastAsia="宋体" w:cs="Times New Roman"/>
          <w:sz w:val="24"/>
          <w:szCs w:val="24"/>
          <w:highlight w:val="yellow"/>
        </w:rPr>
        <w:t>.1 供方必须提供所有设备程序的源代码，包括但不限于 PLC程序、HMI 程序、机器人程序、视觉程序、伺服等。</w:t>
      </w:r>
    </w:p>
    <w:p>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8</w:t>
      </w:r>
      <w:r>
        <w:rPr>
          <w:rFonts w:hint="eastAsia" w:ascii="宋体" w:hAnsi="宋体" w:eastAsia="宋体" w:cs="Times New Roman"/>
          <w:sz w:val="24"/>
          <w:szCs w:val="24"/>
          <w:highlight w:val="yellow"/>
        </w:rPr>
        <w:t>.2 供方所提供的程序不得设置任何密码、保护等限制手段，PLC 不得设置修改下载权限，功能块不得设置密码保护。</w:t>
      </w:r>
    </w:p>
    <w:p>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8</w:t>
      </w:r>
      <w:r>
        <w:rPr>
          <w:rFonts w:hint="eastAsia" w:ascii="宋体" w:hAnsi="宋体" w:eastAsia="宋体" w:cs="Times New Roman"/>
          <w:sz w:val="24"/>
          <w:szCs w:val="24"/>
          <w:highlight w:val="yellow"/>
        </w:rPr>
        <w:t>.3 HMI 界面等需要密码保护的程序，供方必须提供所有级别的用户名、密码。</w:t>
      </w:r>
    </w:p>
    <w:p>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8</w:t>
      </w:r>
      <w:r>
        <w:rPr>
          <w:rFonts w:hint="eastAsia" w:ascii="宋体" w:hAnsi="宋体" w:eastAsia="宋体" w:cs="Times New Roman"/>
          <w:sz w:val="24"/>
          <w:szCs w:val="24"/>
          <w:highlight w:val="yellow"/>
        </w:rPr>
        <w:t>.4 供方需在设备入场前提供设备程序源码，HMI 界面各级用户名和密码，并保证与现场程序一致。</w:t>
      </w:r>
    </w:p>
    <w:p>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8</w:t>
      </w:r>
      <w:r>
        <w:rPr>
          <w:rFonts w:hint="eastAsia" w:ascii="宋体" w:hAnsi="宋体" w:eastAsia="宋体" w:cs="Times New Roman"/>
          <w:sz w:val="24"/>
          <w:szCs w:val="24"/>
          <w:highlight w:val="yellow"/>
        </w:rPr>
        <w:t>.5 供方需在终验收前提供最新的设备程序源码和电气图纸，图纸要求为可编辑原格式（EPLAN、CAD 格式）且与实际接线一致。</w:t>
      </w:r>
    </w:p>
    <w:p>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9</w:t>
      </w:r>
      <w:r>
        <w:rPr>
          <w:rFonts w:hint="eastAsia" w:ascii="宋体" w:hAnsi="宋体" w:eastAsia="宋体" w:cs="Times New Roman"/>
          <w:sz w:val="24"/>
          <w:szCs w:val="24"/>
          <w:highlight w:val="yellow"/>
        </w:rPr>
        <w:t>.接口协议要求</w:t>
      </w:r>
    </w:p>
    <w:p>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9</w:t>
      </w:r>
      <w:r>
        <w:rPr>
          <w:rFonts w:hint="eastAsia" w:ascii="宋体" w:hAnsi="宋体" w:eastAsia="宋体" w:cs="Times New Roman"/>
          <w:sz w:val="24"/>
          <w:szCs w:val="24"/>
          <w:highlight w:val="yellow"/>
        </w:rPr>
        <w:t>.1 供方免费开放所有通讯接口，包括但不限于以太网、</w:t>
      </w:r>
    </w:p>
    <w:p>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rPr>
        <w:t>RS232、RS485、PROFIBUS、PROFINET、MODBUS 等常见接口，以及设备特有的专用接口。</w:t>
      </w:r>
    </w:p>
    <w:p>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9</w:t>
      </w:r>
      <w:r>
        <w:rPr>
          <w:rFonts w:hint="eastAsia" w:ascii="宋体" w:hAnsi="宋体" w:eastAsia="宋体" w:cs="Times New Roman"/>
          <w:sz w:val="24"/>
          <w:szCs w:val="24"/>
          <w:highlight w:val="yellow"/>
        </w:rPr>
        <w:t>.2 供方免费提供数据交互功能，交互数据包括但不限于实时数据、历史数据、报警信息等。</w:t>
      </w:r>
    </w:p>
    <w:p>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9</w:t>
      </w:r>
      <w:r>
        <w:rPr>
          <w:rFonts w:hint="eastAsia" w:ascii="宋体" w:hAnsi="宋体" w:eastAsia="宋体" w:cs="Times New Roman"/>
          <w:sz w:val="24"/>
          <w:szCs w:val="24"/>
          <w:highlight w:val="yellow"/>
        </w:rPr>
        <w:t>.3 供方在设备入场前提供接口的技术文档和参数说明，包括但不限于接口协议、通讯速率、数据格式等。</w:t>
      </w:r>
    </w:p>
    <w:p>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9</w:t>
      </w:r>
      <w:r>
        <w:rPr>
          <w:rFonts w:hint="eastAsia" w:ascii="宋体" w:hAnsi="宋体" w:eastAsia="宋体" w:cs="Times New Roman"/>
          <w:sz w:val="24"/>
          <w:szCs w:val="24"/>
          <w:highlight w:val="yellow"/>
        </w:rPr>
        <w:t>.4 设备使用周期内，供方免费派遣技术人员与甲方调试团队共同进行设备通讯接口的调试工作</w:t>
      </w:r>
      <w:r>
        <w:rPr>
          <w:rFonts w:hint="eastAsia" w:ascii="宋体" w:hAnsi="宋体" w:eastAsia="宋体" w:cs="Times New Roman"/>
          <w:sz w:val="24"/>
          <w:szCs w:val="24"/>
          <w:highlight w:val="yellow"/>
          <w:lang w:eastAsia="zh-CN"/>
        </w:rPr>
        <w:t>。</w:t>
      </w:r>
    </w:p>
    <w:p>
      <w:pPr>
        <w:pStyle w:val="84"/>
        <w:spacing w:line="360" w:lineRule="auto"/>
        <w:outlineLvl w:val="2"/>
        <w:rPr>
          <w:rFonts w:hint="eastAsia" w:eastAsia="宋体" w:cs="宋体"/>
          <w:b/>
          <w:bCs w:val="0"/>
          <w:color w:val="auto"/>
          <w:sz w:val="24"/>
          <w:szCs w:val="24"/>
          <w:highlight w:val="none"/>
        </w:rPr>
      </w:pPr>
      <w:r>
        <w:rPr>
          <w:rFonts w:hint="eastAsia" w:eastAsia="宋体" w:cs="宋体"/>
          <w:b/>
          <w:bCs w:val="0"/>
          <w:color w:val="auto"/>
          <w:sz w:val="24"/>
          <w:szCs w:val="24"/>
          <w:highlight w:val="none"/>
        </w:rPr>
        <w:t>三、技术要求</w:t>
      </w:r>
      <w:bookmarkStart w:id="25" w:name="_Toc169605881"/>
    </w:p>
    <w:p>
      <w:pPr>
        <w:spacing w:line="360" w:lineRule="auto"/>
        <w:ind w:firstLine="480" w:firstLineChars="200"/>
        <w:rPr>
          <w:rFonts w:eastAsia="宋体" w:cs="宋体"/>
          <w:b/>
          <w:sz w:val="24"/>
          <w:szCs w:val="24"/>
        </w:rPr>
      </w:pPr>
      <w:r>
        <w:rPr>
          <w:rFonts w:hint="eastAsia" w:eastAsia="宋体" w:cs="宋体"/>
          <w:b/>
          <w:sz w:val="24"/>
          <w:szCs w:val="24"/>
        </w:rPr>
        <w:t>1 用途</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用于天然气C</w:t>
      </w:r>
      <w:r>
        <w:rPr>
          <w:rFonts w:hint="eastAsia" w:ascii="宋体" w:hAnsi="宋体" w:eastAsia="宋体" w:cs="宋体"/>
          <w:sz w:val="24"/>
          <w:szCs w:val="24"/>
          <w:vertAlign w:val="subscript"/>
        </w:rPr>
        <w:t>1</w:t>
      </w:r>
      <w:r>
        <w:rPr>
          <w:rFonts w:hint="eastAsia" w:ascii="宋体" w:hAnsi="宋体" w:eastAsia="宋体" w:cs="宋体"/>
          <w:sz w:val="24"/>
          <w:szCs w:val="24"/>
        </w:rPr>
        <w:t>-C</w:t>
      </w:r>
      <w:r>
        <w:rPr>
          <w:rFonts w:hint="eastAsia" w:ascii="宋体" w:hAnsi="宋体" w:eastAsia="宋体" w:cs="宋体"/>
          <w:sz w:val="24"/>
          <w:szCs w:val="24"/>
          <w:vertAlign w:val="subscript"/>
        </w:rPr>
        <w:t>12</w:t>
      </w:r>
      <w:r>
        <w:rPr>
          <w:rFonts w:hint="eastAsia" w:ascii="宋体" w:hAnsi="宋体" w:eastAsia="宋体" w:cs="宋体"/>
          <w:sz w:val="24"/>
          <w:szCs w:val="24"/>
        </w:rPr>
        <w:t>、O</w:t>
      </w:r>
      <w:r>
        <w:rPr>
          <w:rFonts w:hint="eastAsia" w:ascii="宋体" w:hAnsi="宋体" w:eastAsia="宋体" w:cs="宋体"/>
          <w:sz w:val="24"/>
          <w:szCs w:val="24"/>
          <w:vertAlign w:val="subscript"/>
        </w:rPr>
        <w:t>2</w:t>
      </w:r>
      <w:r>
        <w:rPr>
          <w:rFonts w:hint="eastAsia" w:ascii="宋体" w:hAnsi="宋体" w:eastAsia="宋体" w:cs="宋体"/>
          <w:sz w:val="24"/>
          <w:szCs w:val="24"/>
        </w:rPr>
        <w:t>、N</w:t>
      </w:r>
      <w:r>
        <w:rPr>
          <w:rFonts w:hint="eastAsia" w:ascii="宋体" w:hAnsi="宋体" w:eastAsia="宋体" w:cs="宋体"/>
          <w:sz w:val="24"/>
          <w:szCs w:val="24"/>
          <w:vertAlign w:val="subscript"/>
        </w:rPr>
        <w:t>2</w:t>
      </w:r>
      <w:r>
        <w:rPr>
          <w:rFonts w:hint="eastAsia" w:ascii="宋体" w:hAnsi="宋体" w:eastAsia="宋体" w:cs="宋体"/>
          <w:sz w:val="24"/>
          <w:szCs w:val="24"/>
        </w:rPr>
        <w:t>、CO</w:t>
      </w:r>
      <w:r>
        <w:rPr>
          <w:rFonts w:hint="eastAsia" w:ascii="宋体" w:hAnsi="宋体" w:eastAsia="宋体" w:cs="宋体"/>
          <w:sz w:val="24"/>
          <w:szCs w:val="24"/>
          <w:vertAlign w:val="subscript"/>
        </w:rPr>
        <w:t>2</w:t>
      </w:r>
      <w:r>
        <w:rPr>
          <w:rFonts w:hint="eastAsia" w:ascii="宋体" w:hAnsi="宋体" w:eastAsia="宋体" w:cs="宋体"/>
          <w:sz w:val="24"/>
          <w:szCs w:val="24"/>
        </w:rPr>
        <w:t>、CO</w:t>
      </w:r>
      <w:r>
        <w:rPr>
          <w:rFonts w:hint="eastAsia" w:ascii="宋体" w:hAnsi="宋体" w:eastAsia="宋体" w:cs="宋体"/>
          <w:sz w:val="24"/>
          <w:szCs w:val="24"/>
          <w:lang w:val="en-US" w:eastAsia="zh-CN"/>
        </w:rPr>
        <w:t>等成分的</w:t>
      </w:r>
      <w:r>
        <w:rPr>
          <w:rFonts w:hint="eastAsia" w:ascii="宋体" w:hAnsi="宋体" w:eastAsia="宋体" w:cs="宋体"/>
          <w:sz w:val="24"/>
          <w:szCs w:val="24"/>
        </w:rPr>
        <w:t>含量检测及自动计算热值</w:t>
      </w:r>
      <w:r>
        <w:rPr>
          <w:rFonts w:hint="eastAsia" w:ascii="宋体" w:hAnsi="宋体" w:eastAsia="宋体" w:cs="宋体"/>
          <w:sz w:val="24"/>
          <w:szCs w:val="24"/>
          <w:lang w:eastAsia="zh-CN"/>
        </w:rPr>
        <w:t>。</w:t>
      </w:r>
    </w:p>
    <w:p>
      <w:pPr>
        <w:spacing w:line="360" w:lineRule="auto"/>
        <w:ind w:firstLine="480" w:firstLineChars="200"/>
        <w:rPr>
          <w:rFonts w:hint="eastAsia" w:eastAsia="宋体" w:cs="宋体"/>
          <w:b/>
          <w:sz w:val="24"/>
          <w:szCs w:val="24"/>
          <w:lang w:eastAsia="zh-CN"/>
        </w:rPr>
      </w:pPr>
      <w:r>
        <w:rPr>
          <w:rFonts w:hint="eastAsia" w:eastAsia="宋体" w:cs="宋体"/>
          <w:b/>
          <w:sz w:val="24"/>
          <w:szCs w:val="24"/>
        </w:rPr>
        <w:t>2 技术规格（带★</w:t>
      </w:r>
      <w:r>
        <w:rPr>
          <w:rFonts w:hint="eastAsia" w:eastAsia="宋体" w:cs="宋体"/>
          <w:b/>
          <w:color w:val="000000"/>
          <w:sz w:val="24"/>
          <w:szCs w:val="24"/>
        </w:rPr>
        <w:t>的项目</w:t>
      </w:r>
      <w:r>
        <w:rPr>
          <w:rFonts w:hint="eastAsia" w:eastAsia="宋体" w:cs="宋体"/>
          <w:b/>
          <w:color w:val="000000"/>
          <w:sz w:val="24"/>
          <w:szCs w:val="24"/>
          <w:lang w:val="en-US" w:eastAsia="zh-CN"/>
        </w:rPr>
        <w:t>不允许出现负偏离</w:t>
      </w:r>
      <w:r>
        <w:rPr>
          <w:rFonts w:hint="eastAsia" w:cs="宋体"/>
          <w:b/>
          <w:color w:val="000000"/>
          <w:sz w:val="24"/>
          <w:szCs w:val="24"/>
          <w:lang w:val="en-US" w:eastAsia="zh-CN"/>
        </w:rPr>
        <w:t>）</w:t>
      </w:r>
    </w:p>
    <w:p>
      <w:pPr>
        <w:spacing w:line="360" w:lineRule="auto"/>
        <w:ind w:firstLine="480" w:firstLineChars="200"/>
        <w:rPr>
          <w:rFonts w:hint="eastAsia" w:ascii="宋体" w:hAnsi="宋体" w:eastAsia="宋体" w:cs="宋体"/>
          <w:sz w:val="24"/>
          <w:szCs w:val="24"/>
        </w:rPr>
      </w:pPr>
      <w:r>
        <w:rPr>
          <w:rFonts w:hint="eastAsia" w:eastAsia="宋体" w:cs="宋体"/>
          <w:b/>
          <w:sz w:val="24"/>
          <w:szCs w:val="24"/>
        </w:rPr>
        <w:t>★</w:t>
      </w:r>
      <w:r>
        <w:rPr>
          <w:rFonts w:hint="eastAsia" w:ascii="宋体" w:hAnsi="宋体" w:eastAsia="宋体" w:cs="宋体"/>
          <w:sz w:val="24"/>
          <w:szCs w:val="24"/>
        </w:rPr>
        <w:t>2.1</w:t>
      </w:r>
      <w:r>
        <w:rPr>
          <w:rFonts w:hint="eastAsia" w:ascii="宋体" w:hAnsi="宋体" w:eastAsia="宋体" w:cs="宋体"/>
          <w:sz w:val="24"/>
          <w:szCs w:val="24"/>
          <w:lang w:val="en-US" w:eastAsia="zh-CN"/>
        </w:rPr>
        <w:t>拟</w:t>
      </w:r>
      <w:r>
        <w:rPr>
          <w:rFonts w:hint="default" w:ascii="宋体" w:hAnsi="宋体" w:eastAsia="宋体" w:cs="宋体"/>
          <w:sz w:val="24"/>
          <w:szCs w:val="24"/>
          <w:lang w:val="en-US" w:eastAsia="zh-CN"/>
        </w:rPr>
        <w:t>投标人须为所投进口设备的国外制造商，或由该制造商合法授权的代理商（需提供制造商出具的专项授权书，明确授权范围及有效期）</w:t>
      </w:r>
      <w:r>
        <w:rPr>
          <w:rFonts w:hint="eastAsia" w:ascii="宋体" w:hAnsi="宋体" w:eastAsia="宋体" w:cs="宋体"/>
          <w:sz w:val="24"/>
          <w:szCs w:val="24"/>
          <w:lang w:val="en-US" w:eastAsia="zh-CN"/>
        </w:rPr>
        <w:t>。</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2</w:t>
      </w:r>
      <w:r>
        <w:rPr>
          <w:rFonts w:hint="eastAsia" w:ascii="宋体" w:hAnsi="宋体" w:eastAsia="宋体" w:cs="宋体"/>
          <w:sz w:val="24"/>
          <w:szCs w:val="24"/>
          <w:lang w:val="en-US" w:eastAsia="zh-CN"/>
        </w:rPr>
        <w:t>.3气相色谱仪</w:t>
      </w:r>
    </w:p>
    <w:p>
      <w:pPr>
        <w:spacing w:line="360" w:lineRule="auto"/>
        <w:ind w:firstLine="480" w:firstLineChars="200"/>
        <w:rPr>
          <w:rFonts w:hint="eastAsia" w:ascii="宋体" w:hAnsi="宋体" w:eastAsia="宋体" w:cs="宋体"/>
          <w:sz w:val="24"/>
          <w:szCs w:val="24"/>
          <w:lang w:val="en-US" w:eastAsia="zh-CN"/>
        </w:r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850"/>
        <w:gridCol w:w="2194"/>
        <w:gridCol w:w="5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序号</w:t>
            </w:r>
          </w:p>
        </w:tc>
        <w:tc>
          <w:tcPr>
            <w:tcW w:w="3044" w:type="dxa"/>
            <w:gridSpan w:val="2"/>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名称</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restart"/>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w:t>
            </w:r>
          </w:p>
        </w:tc>
        <w:tc>
          <w:tcPr>
            <w:tcW w:w="850" w:type="dxa"/>
            <w:vMerge w:val="restart"/>
            <w:vAlign w:val="center"/>
          </w:tcPr>
          <w:p>
            <w:pPr>
              <w:keepNext w:val="0"/>
              <w:keepLines w:val="0"/>
              <w:widowControl/>
              <w:suppressLineNumbers w:val="0"/>
              <w:jc w:val="center"/>
              <w:textAlignment w:val="center"/>
              <w:rPr>
                <w:rFonts w:hint="eastAsia" w:eastAsia="宋体" w:cs="宋体"/>
                <w:b/>
                <w:sz w:val="24"/>
                <w:szCs w:val="24"/>
              </w:rPr>
            </w:pPr>
            <w:r>
              <w:rPr>
                <w:rFonts w:hint="eastAsia" w:eastAsia="宋体" w:cs="宋体"/>
                <w:b/>
                <w:sz w:val="24"/>
                <w:szCs w:val="24"/>
              </w:rPr>
              <w:t>★</w:t>
            </w:r>
          </w:p>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配置</w:t>
            </w: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方案</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三阀四柱两检测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检测器</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TCD</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1,FID</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主机</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最新型号最高版本台式机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进样口</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分流不分流进样口</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阀</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6通阀</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2、10通阀</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阀箱</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可加热自动化阀箱</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柱温箱</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色谱柱</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填充柱</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3、50mPONA毛细管柱</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台式</w:t>
            </w:r>
            <w:r>
              <w:rPr>
                <w:rFonts w:hint="eastAsia" w:ascii="宋体" w:hAnsi="宋体" w:cs="宋体"/>
                <w:i w:val="0"/>
                <w:iCs w:val="0"/>
                <w:color w:val="000000"/>
                <w:kern w:val="0"/>
                <w:sz w:val="24"/>
                <w:szCs w:val="24"/>
                <w:u w:val="none"/>
                <w:lang w:val="en-US" w:eastAsia="zh-CN" w:bidi="ar"/>
              </w:rPr>
              <w:t>电脑</w:t>
            </w:r>
            <w:r>
              <w:rPr>
                <w:rFonts w:hint="eastAsia" w:ascii="宋体" w:hAnsi="宋体" w:eastAsia="宋体" w:cs="宋体"/>
                <w:i w:val="0"/>
                <w:iCs w:val="0"/>
                <w:color w:val="000000"/>
                <w:kern w:val="0"/>
                <w:sz w:val="24"/>
                <w:szCs w:val="24"/>
                <w:u w:val="none"/>
                <w:lang w:val="en-US" w:eastAsia="zh-CN" w:bidi="ar"/>
              </w:rPr>
              <w:t>主机</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1台（I7处理器，16G内存，1T固态硬盘，27寸显示器）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工作站</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支持中文原版软件，自动数据收集处理，计算热值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载气过滤器（氧气、水、烃类）&gt;700cc,</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氦气</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1个、氢气</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指示型载气过滤器</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空气压缩机</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安装维修工具包</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耗材</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色谱柱智能安装工具</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2套</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进样口分流平板</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1个</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进样隔垫</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50个</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衬管</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5根</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O型圈</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10个</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石墨密封圈</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20个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highlight w:val="none"/>
                <w:u w:val="none"/>
                <w:lang w:val="en-US" w:eastAsia="zh-CN" w:bidi="ar"/>
              </w:rPr>
              <w:t>取样设备</w:t>
            </w:r>
          </w:p>
        </w:tc>
        <w:tc>
          <w:tcPr>
            <w:tcW w:w="5599"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316L采样取样钢瓶（20MPa-100ml、两端带阀、带快插接头）×5个、铝箔气体采样袋（20ml、双旋口阀门）×100个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rPr>
                <w:rFonts w:hint="default"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标准气</w:t>
            </w:r>
          </w:p>
        </w:tc>
        <w:tc>
          <w:tcPr>
            <w:tcW w:w="5599" w:type="dxa"/>
            <w:vAlign w:val="center"/>
          </w:tcPr>
          <w:p>
            <w:pPr>
              <w:keepNext w:val="0"/>
              <w:keepLines w:val="0"/>
              <w:widowControl/>
              <w:suppressLineNumbers w:val="0"/>
              <w:jc w:val="center"/>
              <w:textAlignment w:val="center"/>
              <w:rPr>
                <w:rFonts w:hint="default" w:ascii="宋体" w:hAnsi="宋体" w:cs="宋体"/>
                <w:i w:val="0"/>
                <w:iCs w:val="0"/>
                <w:color w:val="000000"/>
                <w:kern w:val="0"/>
                <w:sz w:val="24"/>
                <w:szCs w:val="24"/>
                <w:highlight w:val="red"/>
                <w:u w:val="none"/>
                <w:lang w:val="en-US" w:eastAsia="zh-CN" w:bidi="ar"/>
              </w:rPr>
            </w:pPr>
            <w:r>
              <w:rPr>
                <w:rFonts w:hint="eastAsia" w:ascii="宋体" w:hAnsi="宋体" w:cs="宋体"/>
                <w:i w:val="0"/>
                <w:iCs w:val="0"/>
                <w:color w:val="000000"/>
                <w:kern w:val="0"/>
                <w:sz w:val="24"/>
                <w:szCs w:val="24"/>
                <w:highlight w:val="none"/>
                <w:u w:val="none"/>
                <w:lang w:val="en-US" w:eastAsia="zh-CN" w:bidi="ar"/>
              </w:rPr>
              <w:t>满足GB/T13610-2020的标准气一瓶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restart"/>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2</w:t>
            </w:r>
          </w:p>
        </w:tc>
        <w:tc>
          <w:tcPr>
            <w:tcW w:w="850" w:type="dxa"/>
            <w:vMerge w:val="restart"/>
            <w:vAlign w:val="center"/>
          </w:tcPr>
          <w:p>
            <w:pPr>
              <w:keepNext w:val="0"/>
              <w:keepLines w:val="0"/>
              <w:widowControl/>
              <w:suppressLineNumbers w:val="0"/>
              <w:jc w:val="center"/>
              <w:textAlignment w:val="center"/>
              <w:rPr>
                <w:rFonts w:hint="eastAsia" w:eastAsia="宋体" w:cs="宋体"/>
                <w:b/>
                <w:sz w:val="24"/>
                <w:szCs w:val="24"/>
              </w:rPr>
            </w:pPr>
            <w:r>
              <w:rPr>
                <w:rFonts w:hint="eastAsia" w:eastAsia="宋体" w:cs="宋体"/>
                <w:b/>
                <w:sz w:val="24"/>
                <w:szCs w:val="24"/>
              </w:rPr>
              <w:t>★</w:t>
            </w:r>
          </w:p>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主机性能</w:t>
            </w: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测试范围</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C</w:t>
            </w:r>
            <w:r>
              <w:rPr>
                <w:rStyle w:val="167"/>
                <w:lang w:val="en-US" w:eastAsia="zh-CN" w:bidi="ar"/>
              </w:rPr>
              <w:t>1</w:t>
            </w:r>
            <w:r>
              <w:rPr>
                <w:rFonts w:hint="eastAsia" w:ascii="宋体" w:hAnsi="宋体" w:eastAsia="宋体" w:cs="宋体"/>
                <w:i w:val="0"/>
                <w:iCs w:val="0"/>
                <w:color w:val="000000"/>
                <w:kern w:val="0"/>
                <w:sz w:val="24"/>
                <w:szCs w:val="24"/>
                <w:u w:val="none"/>
                <w:lang w:val="en-US" w:eastAsia="zh-CN" w:bidi="ar"/>
              </w:rPr>
              <w:t>-C</w:t>
            </w:r>
            <w:r>
              <w:rPr>
                <w:rStyle w:val="167"/>
                <w:lang w:val="en-US" w:eastAsia="zh-CN" w:bidi="ar"/>
              </w:rPr>
              <w:t>12</w:t>
            </w:r>
            <w:r>
              <w:rPr>
                <w:rFonts w:hint="eastAsia" w:ascii="宋体" w:hAnsi="宋体" w:eastAsia="宋体" w:cs="宋体"/>
                <w:i w:val="0"/>
                <w:iCs w:val="0"/>
                <w:color w:val="000000"/>
                <w:kern w:val="0"/>
                <w:sz w:val="24"/>
                <w:szCs w:val="24"/>
                <w:u w:val="none"/>
                <w:lang w:val="en-US" w:eastAsia="zh-CN" w:bidi="ar"/>
              </w:rPr>
              <w:t>,O</w:t>
            </w:r>
            <w:r>
              <w:rPr>
                <w:rStyle w:val="167"/>
                <w:lang w:val="en-US" w:eastAsia="zh-CN" w:bidi="ar"/>
              </w:rPr>
              <w:t>2</w:t>
            </w:r>
            <w:r>
              <w:rPr>
                <w:rFonts w:hint="eastAsia" w:ascii="宋体" w:hAnsi="宋体" w:eastAsia="宋体" w:cs="宋体"/>
                <w:i w:val="0"/>
                <w:iCs w:val="0"/>
                <w:color w:val="000000"/>
                <w:kern w:val="0"/>
                <w:sz w:val="24"/>
                <w:szCs w:val="24"/>
                <w:u w:val="none"/>
                <w:lang w:val="en-US" w:eastAsia="zh-CN" w:bidi="ar"/>
              </w:rPr>
              <w:t>,N</w:t>
            </w:r>
            <w:r>
              <w:rPr>
                <w:rStyle w:val="167"/>
                <w:lang w:val="en-US" w:eastAsia="zh-CN" w:bidi="ar"/>
              </w:rPr>
              <w:t>2</w:t>
            </w:r>
            <w:r>
              <w:rPr>
                <w:rFonts w:hint="eastAsia" w:ascii="宋体" w:hAnsi="宋体" w:eastAsia="宋体" w:cs="宋体"/>
                <w:i w:val="0"/>
                <w:iCs w:val="0"/>
                <w:color w:val="000000"/>
                <w:kern w:val="0"/>
                <w:sz w:val="24"/>
                <w:szCs w:val="24"/>
                <w:u w:val="none"/>
                <w:lang w:val="en-US" w:eastAsia="zh-CN" w:bidi="ar"/>
              </w:rPr>
              <w:t>,CO</w:t>
            </w:r>
            <w:r>
              <w:rPr>
                <w:rStyle w:val="167"/>
                <w:lang w:val="en-US" w:eastAsia="zh-CN" w:bidi="ar"/>
              </w:rPr>
              <w:t>2</w:t>
            </w:r>
            <w:r>
              <w:rPr>
                <w:rFonts w:hint="eastAsia" w:ascii="宋体" w:hAnsi="宋体" w:eastAsia="宋体" w:cs="宋体"/>
                <w:i w:val="0"/>
                <w:iCs w:val="0"/>
                <w:color w:val="000000"/>
                <w:kern w:val="0"/>
                <w:sz w:val="24"/>
                <w:szCs w:val="24"/>
                <w:u w:val="none"/>
                <w:lang w:val="en-US" w:eastAsia="zh-CN" w:bidi="ar"/>
              </w:rPr>
              <w:t>,CO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right"/>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检测限</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TCD:50ppm,FID:10ppm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right"/>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保留时间重现性</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&lt;0.008%或0.0008min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643" w:type="dxa"/>
            <w:vMerge w:val="continue"/>
            <w:vAlign w:val="center"/>
          </w:tcPr>
          <w:p>
            <w:pPr>
              <w:jc w:val="right"/>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峰面积重现性</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&lt;0.5% RSD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right"/>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面板</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不小于7英寸彩色液晶可触摸面板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right"/>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智能化</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自引导式故障排除，自引导式维护保养，内置智能性能评估功能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right"/>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气体识别</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自动识别载气类型，并且可以通过主机显示屏统计任意时间段载气消耗量。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restart"/>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3</w:t>
            </w:r>
          </w:p>
        </w:tc>
        <w:tc>
          <w:tcPr>
            <w:tcW w:w="850" w:type="dxa"/>
            <w:vMerge w:val="restart"/>
            <w:vAlign w:val="center"/>
          </w:tcPr>
          <w:p>
            <w:pPr>
              <w:keepNext w:val="0"/>
              <w:keepLines w:val="0"/>
              <w:widowControl/>
              <w:suppressLineNumbers w:val="0"/>
              <w:jc w:val="center"/>
              <w:textAlignment w:val="center"/>
              <w:rPr>
                <w:rFonts w:hint="eastAsia" w:eastAsia="宋体" w:cs="宋体"/>
                <w:b/>
                <w:sz w:val="24"/>
                <w:szCs w:val="24"/>
              </w:rPr>
            </w:pPr>
            <w:r>
              <w:rPr>
                <w:rFonts w:hint="eastAsia" w:eastAsia="宋体" w:cs="宋体"/>
                <w:b/>
                <w:sz w:val="24"/>
                <w:szCs w:val="24"/>
              </w:rPr>
              <w:t>★</w:t>
            </w:r>
          </w:p>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阀系统</w:t>
            </w: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阀箱可加热最高温度</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阀品牌</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VICI Valco同级及以上品牌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最多阀数量</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不少于10个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系统调试</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阀系统调试需要在制作厂家完成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restart"/>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4</w:t>
            </w:r>
          </w:p>
        </w:tc>
        <w:tc>
          <w:tcPr>
            <w:tcW w:w="850" w:type="dxa"/>
            <w:vMerge w:val="restart"/>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eastAsia="宋体" w:cs="宋体"/>
                <w:b/>
                <w:sz w:val="24"/>
                <w:szCs w:val="24"/>
              </w:rPr>
              <w:t>★</w:t>
            </w:r>
            <w:r>
              <w:rPr>
                <w:rFonts w:hint="eastAsia" w:ascii="宋体" w:hAnsi="宋体" w:eastAsia="宋体" w:cs="宋体"/>
                <w:i w:val="0"/>
                <w:iCs w:val="0"/>
                <w:color w:val="000000"/>
                <w:kern w:val="0"/>
                <w:sz w:val="24"/>
                <w:szCs w:val="24"/>
                <w:u w:val="none"/>
                <w:lang w:val="en-US" w:eastAsia="zh-CN" w:bidi="ar"/>
              </w:rPr>
              <w:t>柱温箱</w:t>
            </w: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温度范围</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室温以上4℃到450℃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温度设定精度</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最高升温速率</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≥110 ℃/min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程序升温阶数</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20阶／21平台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色谱柱</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所有色谱柱必须在主机柱温箱中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环境温度敏感度</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当环境温度变化1 ℃时，柱温箱温度变化&lt; 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restart"/>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5</w:t>
            </w:r>
          </w:p>
        </w:tc>
        <w:tc>
          <w:tcPr>
            <w:tcW w:w="850" w:type="dxa"/>
            <w:vMerge w:val="restart"/>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毛细柱分流/不分流进样口</w:t>
            </w: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最高使用温度</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压力设定范围</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0-100psi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压力控制精度</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0.001psi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eastAsia="宋体" w:cs="宋体"/>
                <w:b/>
                <w:sz w:val="24"/>
                <w:szCs w:val="24"/>
              </w:rPr>
              <w:t>★</w:t>
            </w:r>
            <w:r>
              <w:rPr>
                <w:rFonts w:hint="eastAsia" w:ascii="宋体" w:hAnsi="宋体" w:eastAsia="宋体" w:cs="宋体"/>
                <w:i w:val="0"/>
                <w:iCs w:val="0"/>
                <w:color w:val="000000"/>
                <w:kern w:val="0"/>
                <w:sz w:val="24"/>
                <w:szCs w:val="24"/>
                <w:u w:val="none"/>
                <w:lang w:val="en-US" w:eastAsia="zh-CN" w:bidi="ar"/>
              </w:rPr>
              <w:t>控制类型</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EPC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最大分流比</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1:12500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流量设定范围</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0 ～ 1250mL/min，He；0 ～ 600mL/min，N</w:t>
            </w:r>
            <w:r>
              <w:rPr>
                <w:rStyle w:val="167"/>
                <w:lang w:val="en-US" w:eastAsia="zh-CN" w:bidi="ar"/>
              </w:rPr>
              <w:t>2</w:t>
            </w:r>
            <w:r>
              <w:rPr>
                <w:rFonts w:hint="eastAsia" w:ascii="宋体" w:hAnsi="宋体" w:eastAsia="宋体" w:cs="宋体"/>
                <w:i w:val="0"/>
                <w:iCs w:val="0"/>
                <w:color w:val="000000"/>
                <w:kern w:val="0"/>
                <w:sz w:val="24"/>
                <w:szCs w:val="24"/>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扳转式进样口</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扳转式顶盖密封系统，有助于快速、简便地更换进样口衬管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载气、尾吹气设置(气体类型适配)</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氮气、氦气、氢气、氩气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安全措施</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自动检漏，断气保护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restart"/>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6</w:t>
            </w:r>
          </w:p>
        </w:tc>
        <w:tc>
          <w:tcPr>
            <w:tcW w:w="850" w:type="dxa"/>
            <w:vMerge w:val="restart"/>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工作站</w:t>
            </w:r>
          </w:p>
        </w:tc>
        <w:tc>
          <w:tcPr>
            <w:tcW w:w="2194" w:type="dxa"/>
            <w:vAlign w:val="center"/>
          </w:tcPr>
          <w:p>
            <w:pPr>
              <w:keepNext w:val="0"/>
              <w:keepLines w:val="0"/>
              <w:widowControl/>
              <w:suppressLineNumbers w:val="0"/>
              <w:jc w:val="center"/>
              <w:textAlignment w:val="center"/>
            </w:pPr>
            <w:r>
              <w:rPr>
                <w:rFonts w:hint="eastAsia" w:eastAsia="宋体" w:cs="宋体"/>
                <w:b/>
                <w:sz w:val="24"/>
                <w:szCs w:val="24"/>
              </w:rPr>
              <w:t>★</w:t>
            </w:r>
            <w:r>
              <w:rPr>
                <w:rFonts w:hint="eastAsia" w:ascii="宋体" w:hAnsi="宋体" w:eastAsia="宋体" w:cs="宋体"/>
                <w:i w:val="0"/>
                <w:iCs w:val="0"/>
                <w:color w:val="000000"/>
                <w:kern w:val="0"/>
                <w:sz w:val="24"/>
                <w:szCs w:val="24"/>
                <w:u w:val="none"/>
                <w:lang w:val="en-US" w:eastAsia="zh-CN" w:bidi="ar"/>
              </w:rPr>
              <w:t>导入与导出</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可将数据导出为通用色谱数据格式（AIA、TXT、CSV和GAML等）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eastAsia="宋体" w:cs="宋体"/>
                <w:b/>
                <w:sz w:val="24"/>
                <w:szCs w:val="24"/>
              </w:rPr>
              <w:t>★</w:t>
            </w:r>
            <w:r>
              <w:rPr>
                <w:rFonts w:hint="eastAsia" w:ascii="宋体" w:hAnsi="宋体" w:eastAsia="宋体" w:cs="宋体"/>
                <w:i w:val="0"/>
                <w:iCs w:val="0"/>
                <w:color w:val="000000"/>
                <w:kern w:val="0"/>
                <w:sz w:val="24"/>
                <w:szCs w:val="24"/>
                <w:u w:val="none"/>
                <w:lang w:val="en-US" w:eastAsia="zh-CN" w:bidi="ar"/>
              </w:rPr>
              <w:t>数据报告</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支持自建模板，支持多种格式（PDF、Excel等格式）的报告输出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远程访问及本地接口</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具有远程访问功能，允许直接通过智能手机或IPAD远程访问实验室GC主机。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主机可选择使用USB接口、LAN接口或RS-232C接口传输数据。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保留时间锁定</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可使得同一种化合物气相色谱的保留时间一致。此功能通过软件自动调整仪器工作参数，在五个不同条件下进样，分析锁定目标化合物而实现。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eastAsia="宋体" w:cs="宋体"/>
                <w:b/>
                <w:sz w:val="24"/>
                <w:szCs w:val="24"/>
              </w:rPr>
              <w:t>★</w:t>
            </w:r>
            <w:r>
              <w:rPr>
                <w:rFonts w:hint="eastAsia" w:ascii="宋体" w:hAnsi="宋体" w:eastAsia="宋体" w:cs="宋体"/>
                <w:i w:val="0"/>
                <w:iCs w:val="0"/>
                <w:color w:val="000000"/>
                <w:kern w:val="0"/>
                <w:sz w:val="24"/>
                <w:szCs w:val="24"/>
                <w:u w:val="none"/>
                <w:lang w:val="en-US" w:eastAsia="zh-CN" w:bidi="ar"/>
              </w:rPr>
              <w:t>数据自动上传</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检测结果数值自动上传信息化系统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restart"/>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7</w:t>
            </w:r>
          </w:p>
        </w:tc>
        <w:tc>
          <w:tcPr>
            <w:tcW w:w="850" w:type="dxa"/>
            <w:vMerge w:val="restart"/>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FID</w:t>
            </w: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最高操作温度</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最低检测限</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&lt;1.2 pg 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线性范围</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&gt;10</w:t>
            </w:r>
            <w:r>
              <w:rPr>
                <w:rFonts w:hint="eastAsia" w:ascii="宋体" w:hAnsi="宋体" w:eastAsia="宋体" w:cs="宋体"/>
                <w:i w:val="0"/>
                <w:iCs w:val="0"/>
                <w:color w:val="000000"/>
                <w:kern w:val="0"/>
                <w:sz w:val="24"/>
                <w:szCs w:val="24"/>
                <w:u w:val="none"/>
                <w:vertAlign w:val="superscript"/>
                <w:lang w:val="en-US" w:eastAsia="zh-CN" w:bidi="ar"/>
              </w:rPr>
              <w:t>7</w:t>
            </w:r>
            <w:r>
              <w:rPr>
                <w:rFonts w:hint="eastAsia" w:ascii="宋体" w:hAnsi="宋体" w:eastAsia="宋体" w:cs="宋体"/>
                <w:i w:val="0"/>
                <w:iCs w:val="0"/>
                <w:color w:val="000000"/>
                <w:kern w:val="0"/>
                <w:sz w:val="24"/>
                <w:szCs w:val="24"/>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数据采集速率</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1000Hz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熄火检测和自动重新点火</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restart"/>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8</w:t>
            </w:r>
          </w:p>
        </w:tc>
        <w:tc>
          <w:tcPr>
            <w:tcW w:w="850" w:type="dxa"/>
            <w:vMerge w:val="restart"/>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TCD</w:t>
            </w: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最低检测限</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400 pg /mL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线性动态范围</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＞10</w:t>
            </w:r>
            <w:r>
              <w:rPr>
                <w:rFonts w:hint="eastAsia" w:ascii="宋体" w:hAnsi="宋体" w:eastAsia="宋体" w:cs="宋体"/>
                <w:i w:val="0"/>
                <w:iCs w:val="0"/>
                <w:color w:val="000000"/>
                <w:kern w:val="0"/>
                <w:sz w:val="24"/>
                <w:szCs w:val="24"/>
                <w:u w:val="none"/>
                <w:vertAlign w:val="superscript"/>
                <w:lang w:val="en-US" w:eastAsia="zh-CN" w:bidi="ar"/>
              </w:rPr>
              <w:t>5</w:t>
            </w:r>
            <w:r>
              <w:rPr>
                <w:rFonts w:hint="eastAsia" w:ascii="宋体" w:hAnsi="宋体" w:eastAsia="宋体" w:cs="宋体"/>
                <w:i w:val="0"/>
                <w:iCs w:val="0"/>
                <w:color w:val="000000"/>
                <w:kern w:val="0"/>
                <w:sz w:val="24"/>
                <w:szCs w:val="24"/>
                <w:u w:val="none"/>
                <w:lang w:val="en-US" w:eastAsia="zh-CN" w:bidi="ar"/>
              </w:rPr>
              <w:t xml:space="preserve">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最高使用温度</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400°C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接口</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可以接毛细管柱和填充柱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数据采集速率</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1000Hz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restart"/>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9</w:t>
            </w:r>
          </w:p>
        </w:tc>
        <w:tc>
          <w:tcPr>
            <w:tcW w:w="850" w:type="dxa"/>
            <w:vMerge w:val="restart"/>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售后</w:t>
            </w: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操作手册</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免费提供操作手册（中/英文可选）壹套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4"/>
                <w:szCs w:val="24"/>
                <w:u w:val="none"/>
                <w:lang w:val="en-US" w:eastAsia="zh-CN" w:bidi="ar"/>
              </w:rPr>
              <w:t>保修期</w:t>
            </w:r>
          </w:p>
        </w:tc>
        <w:tc>
          <w:tcPr>
            <w:tcW w:w="5599" w:type="dxa"/>
            <w:vAlign w:val="center"/>
          </w:tcPr>
          <w:p>
            <w:pPr>
              <w:keepNext w:val="0"/>
              <w:keepLines w:val="0"/>
              <w:widowControl/>
              <w:suppressLineNumbers w:val="0"/>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从仪器安装调试用户验收合格之日起保修一年，终身维护，包括对零配件的供应。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Merge w:val="continue"/>
            <w:vAlign w:val="center"/>
          </w:tcPr>
          <w:p>
            <w:pPr>
              <w:jc w:val="center"/>
              <w:rPr>
                <w:rFonts w:hint="eastAsia" w:ascii="宋体" w:hAnsi="宋体" w:eastAsia="宋体" w:cs="宋体"/>
                <w:sz w:val="24"/>
                <w:szCs w:val="24"/>
                <w:vertAlign w:val="baseline"/>
                <w:lang w:val="en-US" w:eastAsia="zh-CN"/>
              </w:rPr>
            </w:pPr>
          </w:p>
        </w:tc>
        <w:tc>
          <w:tcPr>
            <w:tcW w:w="850" w:type="dxa"/>
            <w:vMerge w:val="continue"/>
            <w:vAlign w:val="center"/>
          </w:tcPr>
          <w:p>
            <w:pPr>
              <w:jc w:val="center"/>
              <w:rPr>
                <w:rFonts w:hint="eastAsia" w:ascii="宋体" w:hAnsi="宋体" w:eastAsia="宋体" w:cs="宋体"/>
                <w:sz w:val="24"/>
                <w:szCs w:val="24"/>
                <w:vertAlign w:val="baseline"/>
                <w:lang w:val="en-US" w:eastAsia="zh-CN"/>
              </w:rPr>
            </w:pPr>
          </w:p>
        </w:tc>
        <w:tc>
          <w:tcPr>
            <w:tcW w:w="2194" w:type="dxa"/>
            <w:vAlign w:val="center"/>
          </w:tcPr>
          <w:p>
            <w:pPr>
              <w:keepNext w:val="0"/>
              <w:keepLines w:val="0"/>
              <w:widowControl/>
              <w:suppressLineNumbers w:val="0"/>
              <w:jc w:val="center"/>
              <w:textAlignment w:val="center"/>
            </w:pPr>
            <w:r>
              <w:rPr>
                <w:rFonts w:hint="eastAsia" w:ascii="宋体" w:hAnsi="宋体" w:eastAsia="宋体" w:cs="宋体"/>
                <w:i w:val="0"/>
                <w:iCs w:val="0"/>
                <w:color w:val="auto"/>
                <w:kern w:val="0"/>
                <w:sz w:val="24"/>
                <w:szCs w:val="24"/>
                <w:highlight w:val="none"/>
                <w:u w:val="none"/>
                <w:lang w:val="en-US" w:eastAsia="zh-CN" w:bidi="ar"/>
              </w:rPr>
              <w:t>安装培训</w:t>
            </w:r>
          </w:p>
        </w:tc>
        <w:tc>
          <w:tcPr>
            <w:tcW w:w="5599" w:type="dxa"/>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用户现场免费安装</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调试</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培训（不限人数）</w:t>
            </w:r>
            <w:r>
              <w:rPr>
                <w:rFonts w:hint="eastAsia" w:ascii="宋体" w:hAnsi="宋体" w:cs="宋体"/>
                <w:i w:val="0"/>
                <w:iCs w:val="0"/>
                <w:color w:val="000000"/>
                <w:kern w:val="0"/>
                <w:sz w:val="24"/>
                <w:szCs w:val="24"/>
                <w:u w:val="none"/>
                <w:lang w:val="en-US" w:eastAsia="zh-CN" w:bidi="ar"/>
              </w:rPr>
              <w:t>；</w:t>
            </w:r>
          </w:p>
          <w:p>
            <w:pPr>
              <w:keepNext w:val="0"/>
              <w:keepLines w:val="0"/>
              <w:widowControl/>
              <w:suppressLineNumbers w:val="0"/>
              <w:jc w:val="center"/>
              <w:textAlignment w:val="center"/>
              <w:rPr>
                <w:rFonts w:hint="default" w:ascii="宋体" w:hAnsi="宋体" w:eastAsia="宋体" w:cs="宋体"/>
                <w:sz w:val="24"/>
                <w:szCs w:val="24"/>
                <w:vertAlign w:val="baseline"/>
                <w:lang w:val="en-US" w:eastAsia="zh-CN"/>
              </w:rPr>
            </w:pPr>
            <w:r>
              <w:rPr>
                <w:rFonts w:hint="eastAsia" w:ascii="宋体" w:hAnsi="宋体" w:cs="宋体"/>
                <w:i w:val="0"/>
                <w:iCs w:val="0"/>
                <w:color w:val="000000"/>
                <w:kern w:val="0"/>
                <w:sz w:val="24"/>
                <w:szCs w:val="24"/>
                <w:u w:val="none"/>
                <w:lang w:val="en-US" w:eastAsia="zh-CN" w:bidi="ar"/>
              </w:rPr>
              <w:t>前往培训中心5人次2天专业培训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643"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10</w:t>
            </w:r>
          </w:p>
        </w:tc>
        <w:tc>
          <w:tcPr>
            <w:tcW w:w="3044" w:type="dxa"/>
            <w:gridSpan w:val="2"/>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red"/>
                <w:u w:val="none"/>
                <w:lang w:val="en-US" w:eastAsia="zh-CN" w:bidi="ar"/>
              </w:rPr>
            </w:pPr>
            <w:r>
              <w:rPr>
                <w:rFonts w:hint="eastAsia" w:ascii="宋体" w:hAnsi="宋体" w:cs="宋体"/>
                <w:sz w:val="24"/>
                <w:szCs w:val="24"/>
                <w:vertAlign w:val="baseline"/>
                <w:lang w:val="en-US" w:eastAsia="zh-CN"/>
              </w:rPr>
              <w:t>样品测试</w:t>
            </w:r>
          </w:p>
        </w:tc>
        <w:tc>
          <w:tcPr>
            <w:tcW w:w="5599"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投标方投标前联系技术答疑人员对现场样品进行取样，使用拟投标产品对样品进行检测分析，投标时提供样品检测报告</w:t>
            </w:r>
          </w:p>
        </w:tc>
      </w:tr>
    </w:tbl>
    <w:p>
      <w:pPr>
        <w:spacing w:line="360" w:lineRule="auto"/>
        <w:ind w:firstLine="480" w:firstLineChars="200"/>
        <w:jc w:val="right"/>
        <w:rPr>
          <w:rFonts w:hint="eastAsia" w:ascii="宋体" w:hAnsi="宋体" w:eastAsia="宋体" w:cs="宋体"/>
          <w:sz w:val="24"/>
          <w:szCs w:val="24"/>
          <w:lang w:val="en-US" w:eastAsia="zh-CN"/>
        </w:rPr>
      </w:pPr>
      <w:r>
        <w:rPr>
          <w:rFonts w:hint="eastAsia" w:eastAsia="宋体" w:cs="宋体"/>
          <w:b/>
          <w:sz w:val="24"/>
          <w:szCs w:val="24"/>
        </w:rPr>
        <w:t>★</w:t>
      </w:r>
      <w:r>
        <w:rPr>
          <w:rFonts w:hint="eastAsia" w:ascii="宋体" w:hAnsi="宋体" w:eastAsia="宋体" w:cs="宋体"/>
          <w:sz w:val="24"/>
          <w:szCs w:val="24"/>
          <w:lang w:val="en-US" w:eastAsia="zh-CN"/>
        </w:rPr>
        <w:t>注：以上所有参数提供原厂证明文件</w:t>
      </w:r>
    </w:p>
    <w:p>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2.4 气体管路系统技术要求 </w:t>
      </w:r>
    </w:p>
    <w:p>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2.4.1 管路检测与布局 </w:t>
      </w:r>
    </w:p>
    <w:p>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乙方需依据章丘试验室现场实际</w:t>
      </w:r>
      <w:r>
        <w:rPr>
          <w:rFonts w:hint="eastAsia" w:ascii="宋体" w:hAnsi="宋体" w:cs="宋体"/>
          <w:sz w:val="24"/>
          <w:szCs w:val="24"/>
          <w:lang w:val="en-US" w:eastAsia="zh-CN"/>
        </w:rPr>
        <w:t>情况</w:t>
      </w:r>
      <w:r>
        <w:rPr>
          <w:rFonts w:hint="default" w:ascii="宋体" w:hAnsi="宋体" w:eastAsia="宋体" w:cs="宋体"/>
          <w:sz w:val="24"/>
          <w:szCs w:val="24"/>
          <w:lang w:val="en-US" w:eastAsia="zh-CN"/>
        </w:rPr>
        <w:t>，编制详细、合理的管路设计方案，方案需包含三维布置图、管路走向图、节点详图及终端点位图，确保管路布局科学规范、美观整洁且便于后期维护；章丘试验室改造要求为：对一处用气点新增2路气体管路，同时配套安装</w:t>
      </w:r>
      <w:r>
        <w:rPr>
          <w:rFonts w:hint="eastAsia" w:ascii="宋体" w:hAnsi="宋体" w:cs="宋体"/>
          <w:sz w:val="24"/>
          <w:szCs w:val="24"/>
          <w:lang w:val="en-US" w:eastAsia="zh-CN"/>
        </w:rPr>
        <w:t>2套</w:t>
      </w:r>
      <w:r>
        <w:rPr>
          <w:rFonts w:hint="default" w:ascii="宋体" w:hAnsi="宋体" w:eastAsia="宋体" w:cs="宋体"/>
          <w:sz w:val="24"/>
          <w:szCs w:val="24"/>
          <w:lang w:val="en-US" w:eastAsia="zh-CN"/>
        </w:rPr>
        <w:t>新的</w:t>
      </w:r>
      <w:r>
        <w:rPr>
          <w:rFonts w:hint="eastAsia" w:ascii="宋体" w:hAnsi="宋体" w:cs="宋体"/>
          <w:sz w:val="24"/>
          <w:szCs w:val="24"/>
          <w:lang w:val="en-US" w:eastAsia="zh-CN"/>
        </w:rPr>
        <w:t>一级减压阀（品牌：GCE）、</w:t>
      </w:r>
      <w:r>
        <w:rPr>
          <w:rFonts w:hint="default" w:ascii="宋体" w:hAnsi="宋体" w:eastAsia="宋体" w:cs="宋体"/>
          <w:sz w:val="24"/>
          <w:szCs w:val="24"/>
          <w:lang w:val="en-US" w:eastAsia="zh-CN"/>
        </w:rPr>
        <w:t>二级减压阀</w:t>
      </w:r>
      <w:r>
        <w:rPr>
          <w:rFonts w:hint="eastAsia" w:ascii="宋体" w:hAnsi="宋体" w:cs="宋体"/>
          <w:color w:val="auto"/>
          <w:sz w:val="24"/>
          <w:szCs w:val="24"/>
          <w:highlight w:val="none"/>
          <w:lang w:val="en-US" w:eastAsia="zh-CN"/>
        </w:rPr>
        <w:t>（品牌：GCE或swagelok）</w:t>
      </w:r>
      <w:r>
        <w:rPr>
          <w:rFonts w:hint="default" w:ascii="宋体" w:hAnsi="宋体" w:eastAsia="宋体" w:cs="宋体"/>
          <w:sz w:val="24"/>
          <w:szCs w:val="24"/>
          <w:lang w:val="en-US" w:eastAsia="zh-CN"/>
        </w:rPr>
        <w:t>，气瓶间内安装气体压力报警传感器</w:t>
      </w:r>
      <w:r>
        <w:rPr>
          <w:rFonts w:hint="eastAsia" w:ascii="宋体" w:hAnsi="宋体" w:cs="宋体"/>
          <w:sz w:val="24"/>
          <w:szCs w:val="24"/>
          <w:lang w:val="en-US" w:eastAsia="zh-CN"/>
        </w:rPr>
        <w:t>，</w:t>
      </w:r>
      <w:r>
        <w:rPr>
          <w:rFonts w:hint="eastAsia" w:ascii="宋体" w:hAnsi="宋体" w:cs="宋体"/>
          <w:sz w:val="24"/>
          <w:szCs w:val="24"/>
          <w:highlight w:val="none"/>
          <w:lang w:val="en-US" w:eastAsia="zh-CN"/>
        </w:rPr>
        <w:t>设备间内加装氢气、氦气泄露报警器</w:t>
      </w:r>
      <w:r>
        <w:rPr>
          <w:rFonts w:hint="default" w:ascii="宋体" w:hAnsi="宋体" w:eastAsia="宋体" w:cs="宋体"/>
          <w:sz w:val="24"/>
          <w:szCs w:val="24"/>
          <w:lang w:val="en-US" w:eastAsia="zh-CN"/>
        </w:rPr>
        <w:t>。</w:t>
      </w:r>
      <w:r>
        <w:rPr>
          <w:rFonts w:hint="eastAsia" w:ascii="宋体" w:hAnsi="宋体" w:cs="宋体"/>
          <w:sz w:val="24"/>
          <w:szCs w:val="24"/>
          <w:highlight w:val="yellow"/>
          <w:lang w:val="en-US" w:eastAsia="zh-CN"/>
        </w:rPr>
        <w:t>另外增加同型号一级减压阀、二级减压阀各两个作为备件</w:t>
      </w:r>
    </w:p>
    <w:p>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2.4.2 管路与接头要求 </w:t>
      </w:r>
    </w:p>
    <w:p>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a)所有高压金属管以及连接的卡套接头全部为全新产品；一次调压面板的出口接头（含主管路控制阀出口和排空管出口）全部为全新高压双卡套接头。 </w:t>
      </w:r>
    </w:p>
    <w:p>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b)一次调压面板的排空管路采用与主管路同材质的管道，引至箱顶处，排空方向不得朝向行人通道和建筑物，管口加装防雨帽和防回火装置。 </w:t>
      </w:r>
    </w:p>
    <w:p>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c)管道与阀件的连接全部采用高压双卡套接头，接头材质为不锈钢316L，确保连接牢固、密封可靠。 </w:t>
      </w:r>
    </w:p>
    <w:p>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2.4.3 管路安装 </w:t>
      </w:r>
    </w:p>
    <w:p>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a)管路需采用全新的不锈钢316LBA级产品，内表面粗糙度Ra＜0.4μm，外径/壁厚为6.35mm/0.89mm，品牌选用Valex、Dockweiler及以上级别品牌。</w:t>
      </w:r>
    </w:p>
    <w:p>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b)管道保持一致，确保气体流动顺畅，无局部阻力突变。 </w:t>
      </w:r>
    </w:p>
    <w:p>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c)管路需采用管道支架和卡具牢固固定，可根据现场实际情况沿墙布置或水平吊架布置，管路布置横平竖直，水平偏差不大于3mm/m，竖直偏差不大于2mm/m。 </w:t>
      </w:r>
    </w:p>
    <w:p>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2.4.4 支架安装 </w:t>
      </w:r>
    </w:p>
    <w:p>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a)管道支架采用槽钢结构，表面进行防腐处理（喷漆或热镀锌），支架与墙体固定牢固，间距满足以下要求：水平管道支架和竖直管道支架间确保管道走线直线度和间距均匀。 </w:t>
      </w:r>
    </w:p>
    <w:p>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b)管道穿过障碍物时需使用不锈钢管套，管套与管道之间的间隙采用不可燃材料（如防火泥）填充密实；管道穿墙时，穿墙孔需进行防火封堵，封堵材料符合GB23864-2009标准要求。 </w:t>
      </w:r>
    </w:p>
    <w:p>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c)管道与支架之间采用管道固定卡具连接，卡具材质为较管道硬度低的耐火材料（如铝合金），设计合理，能将管道牢固固定，同时避免管道变形。 </w:t>
      </w:r>
    </w:p>
    <w:p>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d)管道拐弯时需采用专用工具弯曲，弯曲半径不小于管道外径的5倍，弯曲部位无皱折、扭曲，应力集中区需设置加固支架。 </w:t>
      </w:r>
    </w:p>
    <w:p>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e)管路系统布线应尽量减少接缝，降低泄漏风险，管道的间距保持一致（不小于 20mm），便于维护和检修。 </w:t>
      </w:r>
    </w:p>
    <w:p>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2.4.5 管路材质与焊接 </w:t>
      </w:r>
    </w:p>
    <w:p>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a)管道材质为SS316LBA级，内表面粗糙度Ra＜0.4μm，符合相关行业标准要求。 </w:t>
      </w:r>
    </w:p>
    <w:p>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b)管道连接采用全自动定位焊，焊接设备为国外原装进口（如瑞士 Leister、德国 Lincoln），并提供设备合格证明和检验报告；焊接过程中管道内外表面均处于氩气保护之下，确保焊接处无氧化层、无焊渣，焊缝成型美观，无气孔、裂纹、未焊透等缺陷。 </w:t>
      </w:r>
    </w:p>
    <w:p>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c)焊接后的管路系统泄漏率（管道部分）不</w:t>
      </w:r>
      <w:r>
        <w:rPr>
          <w:rFonts w:hint="eastAsia" w:ascii="宋体" w:hAnsi="宋体" w:cs="宋体"/>
          <w:sz w:val="24"/>
          <w:szCs w:val="24"/>
          <w:lang w:val="en-US" w:eastAsia="zh-CN"/>
        </w:rPr>
        <w:t>高</w:t>
      </w:r>
      <w:r>
        <w:rPr>
          <w:rFonts w:hint="default" w:ascii="宋体" w:hAnsi="宋体" w:eastAsia="宋体" w:cs="宋体"/>
          <w:sz w:val="24"/>
          <w:szCs w:val="24"/>
          <w:lang w:val="en-US" w:eastAsia="zh-CN"/>
        </w:rPr>
        <w:t>于1×10</w:t>
      </w:r>
      <w:r>
        <w:rPr>
          <w:rFonts w:hint="default" w:ascii="宋体" w:hAnsi="宋体" w:eastAsia="宋体" w:cs="宋体"/>
          <w:sz w:val="24"/>
          <w:szCs w:val="24"/>
          <w:vertAlign w:val="superscript"/>
          <w:lang w:val="en-US" w:eastAsia="zh-CN"/>
        </w:rPr>
        <w:t>-10</w:t>
      </w:r>
      <w:r>
        <w:rPr>
          <w:rFonts w:hint="default" w:ascii="宋体" w:hAnsi="宋体" w:eastAsia="宋体" w:cs="宋体"/>
          <w:sz w:val="24"/>
          <w:szCs w:val="24"/>
          <w:lang w:val="en-US" w:eastAsia="zh-CN"/>
        </w:rPr>
        <w:t>s</w:t>
      </w:r>
      <w:r>
        <w:rPr>
          <w:rFonts w:hint="eastAsia" w:ascii="宋体" w:hAnsi="宋体" w:cs="宋体"/>
          <w:sz w:val="24"/>
          <w:szCs w:val="24"/>
          <w:lang w:val="en-US" w:eastAsia="zh-CN"/>
        </w:rPr>
        <w:t>·</w:t>
      </w:r>
      <w:r>
        <w:rPr>
          <w:rFonts w:hint="default" w:ascii="宋体" w:hAnsi="宋体" w:eastAsia="宋体" w:cs="宋体"/>
          <w:sz w:val="24"/>
          <w:szCs w:val="24"/>
          <w:lang w:val="en-US" w:eastAsia="zh-CN"/>
        </w:rPr>
        <w:t xml:space="preserve">c.c./sec.He，且不改变管道系统的通径和耐压强度。 </w:t>
      </w:r>
    </w:p>
    <w:p>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d)乙方进场时需提供施工队的焊接样品（长度不小于300mm），验收时以此样品作为焊接质量评定标准。 </w:t>
      </w:r>
    </w:p>
    <w:p>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e)气体管路的施工单位需为乙方所属或有长期合作关系的专业团队，施工人员需具备相应的焊接资质和特种作业操作证。</w:t>
      </w:r>
    </w:p>
    <w:p>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2.4.6 管路吹扫</w:t>
      </w:r>
    </w:p>
    <w:p>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a)接入前系统前每根管道、每个管件均需用5N（99.999%）高纯氮气进行吹扫，吹扫压力不低于0.6MPa，吹扫时间不少于3分钟，确保管道内无油污、杂质后再接入系统。 </w:t>
      </w:r>
    </w:p>
    <w:p>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b)整个系统安装完毕后，需用5N高纯氮气进行大流量气体吹扫，吹扫流量不小于20m³/h，吹扫时间不少于30分钟，以流出气体无油脂及明显固体颗粒物为合格，吹扫后需提供吹扫记录和检测报告。 </w:t>
      </w:r>
    </w:p>
    <w:p>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2.4.7 管路标识 </w:t>
      </w:r>
    </w:p>
    <w:p>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a)一次调压面板和二次调压终端上需粘贴清晰的标识，内容包括气路编号、气体种类、气体浓度、设计压力等，标识采用耐腐蚀、不易脱落的材质制作，面板两侧标识一一对应。 </w:t>
      </w:r>
    </w:p>
    <w:p>
      <w:p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b)气体管路上需在一次调压面板出口处及二次调压终端入口处粘贴气体流动方向箭头标识，箭头颜色与管道颜色有明显区分（建议采用红色或黄色），标识间距不大于3m，确保方向清晰可辨。</w:t>
      </w:r>
    </w:p>
    <w:p>
      <w:pPr>
        <w:spacing w:line="360" w:lineRule="auto"/>
        <w:ind w:firstLine="480" w:firstLineChars="20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2.5试验台及排风系统</w:t>
      </w:r>
    </w:p>
    <w:p>
      <w:pPr>
        <w:spacing w:line="360" w:lineRule="auto"/>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2.5.1试验台参数</w:t>
      </w:r>
    </w:p>
    <w:p>
      <w:pPr>
        <w:spacing w:line="360" w:lineRule="auto"/>
        <w:ind w:firstLine="480" w:firstLineChars="200"/>
        <w:rPr>
          <w:rFonts w:hint="default" w:ascii="宋体" w:hAnsi="宋体" w:cs="宋体"/>
          <w:sz w:val="24"/>
          <w:szCs w:val="24"/>
          <w:lang w:val="en-US" w:eastAsia="zh-CN"/>
        </w:rPr>
      </w:pPr>
      <w:r>
        <w:rPr>
          <w:rFonts w:hint="default" w:ascii="宋体" w:hAnsi="宋体" w:eastAsia="宋体" w:cs="宋体"/>
          <w:sz w:val="24"/>
          <w:szCs w:val="24"/>
          <w:lang w:val="en-US" w:eastAsia="zh-CN"/>
        </w:rPr>
        <w:t>a)</w:t>
      </w:r>
      <w:r>
        <w:rPr>
          <w:rFonts w:hint="eastAsia" w:ascii="宋体" w:hAnsi="宋体" w:cs="宋体"/>
          <w:sz w:val="24"/>
          <w:szCs w:val="24"/>
          <w:lang w:val="en-US" w:eastAsia="zh-CN"/>
        </w:rPr>
        <w:t>长×宽×高：2200×750×800（mm）</w:t>
      </w:r>
    </w:p>
    <w:p>
      <w:p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b</w:t>
      </w:r>
      <w:r>
        <w:rPr>
          <w:rFonts w:hint="default" w:ascii="宋体" w:hAnsi="宋体" w:eastAsia="宋体" w:cs="宋体"/>
          <w:sz w:val="24"/>
          <w:szCs w:val="24"/>
          <w:lang w:val="en-US" w:eastAsia="zh-CN"/>
        </w:rPr>
        <w:t>)</w:t>
      </w:r>
      <w:r>
        <w:rPr>
          <w:rFonts w:hint="eastAsia" w:ascii="宋体" w:hAnsi="宋体" w:cs="宋体"/>
          <w:sz w:val="24"/>
          <w:szCs w:val="24"/>
          <w:lang w:val="en-US" w:eastAsia="zh-CN"/>
        </w:rPr>
        <w:t>材质：全钢活动柜体</w:t>
      </w:r>
    </w:p>
    <w:p>
      <w:pPr>
        <w:spacing w:line="360" w:lineRule="auto"/>
        <w:ind w:firstLine="480" w:firstLineChars="200"/>
        <w:rPr>
          <w:rFonts w:hint="eastAsia" w:ascii="宋体" w:hAnsi="宋体" w:cs="宋体"/>
          <w:sz w:val="24"/>
          <w:szCs w:val="24"/>
          <w:lang w:val="en-US" w:eastAsia="zh-CN"/>
        </w:rPr>
      </w:pPr>
      <w:r>
        <w:rPr>
          <w:rFonts w:hint="default" w:ascii="宋体" w:hAnsi="宋体" w:eastAsia="宋体" w:cs="宋体"/>
          <w:sz w:val="24"/>
          <w:szCs w:val="24"/>
          <w:lang w:val="en-US" w:eastAsia="zh-CN"/>
        </w:rPr>
        <w:t>c)</w:t>
      </w:r>
      <w:r>
        <w:rPr>
          <w:rFonts w:hint="eastAsia" w:ascii="宋体" w:hAnsi="宋体" w:cs="宋体"/>
          <w:sz w:val="24"/>
          <w:szCs w:val="24"/>
          <w:lang w:val="en-US" w:eastAsia="zh-CN"/>
        </w:rPr>
        <w:t>电源接口数量：满足标书中所有设备的供电</w:t>
      </w:r>
    </w:p>
    <w:p>
      <w:p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2.5.2排风系统</w:t>
      </w:r>
    </w:p>
    <w:p>
      <w:pPr>
        <w:spacing w:line="360" w:lineRule="auto"/>
        <w:ind w:firstLine="480" w:firstLineChars="200"/>
        <w:rPr>
          <w:rFonts w:hint="default" w:ascii="宋体" w:hAnsi="宋体" w:cs="宋体"/>
          <w:sz w:val="24"/>
          <w:szCs w:val="24"/>
          <w:lang w:val="en-US" w:eastAsia="zh-CN"/>
        </w:rPr>
      </w:pPr>
      <w:r>
        <w:rPr>
          <w:rFonts w:hint="default" w:ascii="宋体" w:hAnsi="宋体" w:eastAsia="宋体" w:cs="宋体"/>
          <w:sz w:val="24"/>
          <w:szCs w:val="24"/>
          <w:lang w:val="en-US" w:eastAsia="zh-CN"/>
        </w:rPr>
        <w:t>a)</w:t>
      </w:r>
      <w:r>
        <w:rPr>
          <w:rFonts w:hint="eastAsia" w:ascii="宋体" w:hAnsi="宋体" w:cs="宋体"/>
          <w:sz w:val="24"/>
          <w:szCs w:val="24"/>
          <w:lang w:val="en-US" w:eastAsia="zh-CN"/>
        </w:rPr>
        <w:t>风机类型：斜流风机</w:t>
      </w:r>
    </w:p>
    <w:p>
      <w:p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b</w:t>
      </w:r>
      <w:r>
        <w:rPr>
          <w:rFonts w:hint="default" w:ascii="宋体" w:hAnsi="宋体" w:eastAsia="宋体" w:cs="宋体"/>
          <w:sz w:val="24"/>
          <w:szCs w:val="24"/>
          <w:lang w:val="en-US" w:eastAsia="zh-CN"/>
        </w:rPr>
        <w:t>)</w:t>
      </w:r>
      <w:r>
        <w:rPr>
          <w:rFonts w:hint="eastAsia" w:ascii="宋体" w:hAnsi="宋体" w:cs="宋体"/>
          <w:sz w:val="24"/>
          <w:szCs w:val="24"/>
          <w:lang w:val="en-US" w:eastAsia="zh-CN"/>
        </w:rPr>
        <w:t>噪音：≤50dB</w:t>
      </w:r>
    </w:p>
    <w:p>
      <w:pPr>
        <w:spacing w:line="360" w:lineRule="auto"/>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c</w:t>
      </w:r>
      <w:r>
        <w:rPr>
          <w:rFonts w:hint="default" w:ascii="宋体" w:hAnsi="宋体" w:eastAsia="宋体" w:cs="宋体"/>
          <w:sz w:val="24"/>
          <w:szCs w:val="24"/>
          <w:lang w:val="en-US" w:eastAsia="zh-CN"/>
        </w:rPr>
        <w:t>)</w:t>
      </w:r>
      <w:r>
        <w:rPr>
          <w:rFonts w:hint="eastAsia" w:ascii="宋体" w:hAnsi="宋体" w:cs="宋体"/>
          <w:sz w:val="24"/>
          <w:szCs w:val="24"/>
          <w:lang w:val="en-US" w:eastAsia="zh-CN"/>
        </w:rPr>
        <w:t>废气引至室外</w:t>
      </w:r>
    </w:p>
    <w:p>
      <w:pPr>
        <w:pStyle w:val="84"/>
        <w:spacing w:line="360" w:lineRule="auto"/>
        <w:outlineLvl w:val="2"/>
        <w:rPr>
          <w:rFonts w:hint="eastAsia" w:ascii="宋体" w:hAnsi="宋体" w:cs="宋体"/>
          <w:color w:val="auto"/>
        </w:rPr>
      </w:pPr>
      <w:r>
        <w:rPr>
          <w:rFonts w:hint="eastAsia" w:ascii="宋体" w:hAnsi="宋体" w:cs="宋体"/>
          <w:color w:val="auto"/>
        </w:rPr>
        <w:t>四、执行标准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.招标人</w:t>
      </w:r>
      <w:r>
        <w:rPr>
          <w:rFonts w:hint="eastAsia" w:ascii="宋体" w:hAnsi="宋体" w:eastAsia="宋体" w:cs="宋体"/>
          <w:sz w:val="24"/>
          <w:szCs w:val="24"/>
        </w:rPr>
        <w:t>此处所列标准仅为涉及的主要标准，而且不保证其为最新版执行标准；</w:t>
      </w:r>
      <w:r>
        <w:rPr>
          <w:rFonts w:hint="eastAsia" w:ascii="宋体" w:hAnsi="宋体" w:eastAsia="宋体" w:cs="宋体"/>
          <w:sz w:val="24"/>
          <w:szCs w:val="24"/>
          <w:lang w:eastAsia="zh-CN"/>
        </w:rPr>
        <w:t>投标人</w:t>
      </w:r>
      <w:r>
        <w:rPr>
          <w:rFonts w:hint="eastAsia" w:ascii="宋体" w:hAnsi="宋体" w:eastAsia="宋体" w:cs="宋体"/>
          <w:sz w:val="24"/>
          <w:szCs w:val="24"/>
        </w:rPr>
        <w:t>应当在投标文件中认真予以填写、补充和修改完善。</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.投标人</w:t>
      </w:r>
      <w:r>
        <w:rPr>
          <w:rFonts w:hint="eastAsia" w:ascii="宋体" w:hAnsi="宋体" w:eastAsia="宋体" w:cs="宋体"/>
          <w:sz w:val="24"/>
          <w:szCs w:val="24"/>
        </w:rPr>
        <w:t>需要执行的标准，应当采用所供货物通过买方组织的最终验收之日已经开始执行的最新标准。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采购货物没有国家或专业（部）标准的，按企业标准执行时，</w:t>
      </w:r>
      <w:r>
        <w:rPr>
          <w:rFonts w:hint="eastAsia" w:ascii="宋体" w:hAnsi="宋体" w:eastAsia="宋体" w:cs="宋体"/>
          <w:sz w:val="24"/>
          <w:szCs w:val="24"/>
          <w:lang w:eastAsia="zh-CN"/>
        </w:rPr>
        <w:t>投标方</w:t>
      </w:r>
      <w:r>
        <w:rPr>
          <w:rFonts w:hint="eastAsia" w:ascii="宋体" w:hAnsi="宋体" w:eastAsia="宋体" w:cs="宋体"/>
          <w:sz w:val="24"/>
          <w:szCs w:val="24"/>
        </w:rPr>
        <w:t>应在合同签署之前，将所涉及的企业标准提供给买方确认。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采购货物如果采用国际标准，其执行标准由</w:t>
      </w:r>
      <w:r>
        <w:rPr>
          <w:rFonts w:hint="eastAsia" w:ascii="宋体" w:hAnsi="宋体" w:eastAsia="宋体" w:cs="宋体"/>
          <w:sz w:val="24"/>
          <w:szCs w:val="24"/>
          <w:lang w:eastAsia="zh-CN"/>
        </w:rPr>
        <w:t>投标人</w:t>
      </w:r>
      <w:r>
        <w:rPr>
          <w:rFonts w:hint="eastAsia" w:ascii="宋体" w:hAnsi="宋体" w:eastAsia="宋体" w:cs="宋体"/>
          <w:sz w:val="24"/>
          <w:szCs w:val="24"/>
        </w:rPr>
        <w:t>提供、</w:t>
      </w:r>
      <w:r>
        <w:rPr>
          <w:rFonts w:hint="eastAsia" w:ascii="宋体" w:hAnsi="宋体" w:eastAsia="宋体" w:cs="宋体"/>
          <w:sz w:val="24"/>
          <w:szCs w:val="24"/>
          <w:lang w:eastAsia="zh-CN"/>
        </w:rPr>
        <w:t>招标人</w:t>
      </w:r>
      <w:r>
        <w:rPr>
          <w:rFonts w:hint="eastAsia" w:ascii="宋体" w:hAnsi="宋体" w:eastAsia="宋体" w:cs="宋体"/>
          <w:sz w:val="24"/>
          <w:szCs w:val="24"/>
        </w:rPr>
        <w:t>确认。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eastAsia="zh-CN"/>
        </w:rPr>
        <w:t>.</w:t>
      </w:r>
      <w:r>
        <w:rPr>
          <w:rFonts w:hint="eastAsia" w:ascii="宋体" w:hAnsi="宋体" w:eastAsia="宋体" w:cs="宋体"/>
          <w:sz w:val="24"/>
          <w:szCs w:val="24"/>
        </w:rPr>
        <w:t>采购货物所涉及的标准不统一时，原则上按照最严格标准执行。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w:t>
      </w:r>
      <w:r>
        <w:rPr>
          <w:rFonts w:hint="eastAsia" w:ascii="宋体" w:hAnsi="宋体" w:eastAsia="宋体" w:cs="宋体"/>
          <w:sz w:val="24"/>
          <w:szCs w:val="24"/>
          <w:lang w:eastAsia="zh-CN"/>
        </w:rPr>
        <w:t>.</w:t>
      </w:r>
      <w:r>
        <w:rPr>
          <w:rFonts w:hint="eastAsia" w:ascii="宋体" w:hAnsi="宋体" w:eastAsia="宋体" w:cs="宋体"/>
          <w:sz w:val="24"/>
          <w:szCs w:val="24"/>
        </w:rPr>
        <w:t>涉及的主要标准表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4219"/>
        <w:gridCol w:w="2291"/>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序号</w:t>
            </w:r>
          </w:p>
        </w:tc>
        <w:tc>
          <w:tcPr>
            <w:tcW w:w="42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标准名称</w:t>
            </w:r>
          </w:p>
        </w:tc>
        <w:tc>
          <w:tcPr>
            <w:tcW w:w="229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标准编号</w:t>
            </w:r>
          </w:p>
        </w:tc>
        <w:tc>
          <w:tcPr>
            <w:tcW w:w="16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42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《实验室气相色谱仪》</w:t>
            </w:r>
          </w:p>
        </w:tc>
        <w:tc>
          <w:tcPr>
            <w:tcW w:w="229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sz w:val="24"/>
                <w:szCs w:val="24"/>
                <w:lang w:val="en-US" w:eastAsia="zh-CN"/>
              </w:rPr>
            </w:pPr>
            <w:r>
              <w:rPr>
                <w:rFonts w:ascii="宋体" w:hAnsi="宋体" w:cs="宋体"/>
                <w:color w:val="000000" w:themeColor="text1"/>
                <w:kern w:val="0"/>
                <w:sz w:val="24"/>
                <w:szCs w:val="24"/>
                <w:lang w:bidi="ar"/>
                <w14:textFill>
                  <w14:solidFill>
                    <w14:schemeClr w14:val="tx1"/>
                  </w14:solidFill>
                </w14:textFill>
              </w:rPr>
              <w:t>GB/T</w:t>
            </w:r>
            <w:r>
              <w:rPr>
                <w:rFonts w:hint="eastAsia" w:ascii="宋体" w:hAnsi="宋体" w:cs="宋体"/>
                <w:color w:val="000000" w:themeColor="text1"/>
                <w:kern w:val="0"/>
                <w:sz w:val="24"/>
                <w:szCs w:val="24"/>
                <w:lang w:val="en-US" w:eastAsia="zh-CN" w:bidi="ar"/>
                <w14:textFill>
                  <w14:solidFill>
                    <w14:schemeClr w14:val="tx1"/>
                  </w14:solidFill>
                </w14:textFill>
              </w:rPr>
              <w:t xml:space="preserve"> </w:t>
            </w:r>
            <w:r>
              <w:rPr>
                <w:rFonts w:ascii="宋体" w:hAnsi="宋体" w:cs="宋体"/>
                <w:color w:val="000000" w:themeColor="text1"/>
                <w:kern w:val="0"/>
                <w:sz w:val="24"/>
                <w:szCs w:val="24"/>
                <w:lang w:bidi="ar"/>
                <w14:textFill>
                  <w14:solidFill>
                    <w14:schemeClr w14:val="tx1"/>
                  </w14:solidFill>
                </w14:textFill>
              </w:rPr>
              <w:t>30431-2020</w:t>
            </w:r>
          </w:p>
        </w:tc>
        <w:tc>
          <w:tcPr>
            <w:tcW w:w="16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bCs/>
                <w:color w:val="000000"/>
                <w:sz w:val="24"/>
                <w:szCs w:val="24"/>
                <w:lang w:val="en-US" w:eastAsia="zh-CN"/>
              </w:rPr>
              <w:t>招标人</w:t>
            </w:r>
            <w:r>
              <w:rPr>
                <w:rFonts w:hint="eastAsia" w:ascii="宋体" w:hAnsi="宋体" w:eastAsia="宋体" w:cs="宋体"/>
                <w:bCs/>
                <w:color w:val="000000"/>
                <w:sz w:val="24"/>
                <w:szCs w:val="24"/>
              </w:rPr>
              <w:t>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p>
        </w:tc>
        <w:tc>
          <w:tcPr>
            <w:tcW w:w="421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《分析仪环境实验方法》</w:t>
            </w:r>
          </w:p>
        </w:tc>
        <w:tc>
          <w:tcPr>
            <w:tcW w:w="2291"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000000" w:themeColor="text1"/>
                <w:kern w:val="0"/>
                <w:sz w:val="24"/>
                <w:szCs w:val="24"/>
                <w:lang w:val="en-US" w:eastAsia="zh-CN" w:bidi="ar"/>
                <w14:textFill>
                  <w14:solidFill>
                    <w14:schemeClr w14:val="tx1"/>
                  </w14:solidFill>
                </w14:textFill>
              </w:rPr>
            </w:pPr>
            <w:r>
              <w:rPr>
                <w:rFonts w:hint="eastAsia" w:ascii="宋体" w:hAnsi="宋体" w:cs="宋体"/>
                <w:color w:val="000000" w:themeColor="text1"/>
                <w:kern w:val="0"/>
                <w:sz w:val="24"/>
                <w:szCs w:val="24"/>
                <w:lang w:bidi="ar"/>
                <w14:textFill>
                  <w14:solidFill>
                    <w14:schemeClr w14:val="tx1"/>
                  </w14:solidFill>
                </w14:textFill>
              </w:rPr>
              <w:t>CB/T</w:t>
            </w:r>
            <w:r>
              <w:rPr>
                <w:rFonts w:hint="eastAsia" w:ascii="宋体" w:hAnsi="宋体" w:cs="宋体"/>
                <w:color w:val="000000" w:themeColor="text1"/>
                <w:kern w:val="0"/>
                <w:sz w:val="24"/>
                <w:szCs w:val="24"/>
                <w:lang w:val="en-US" w:eastAsia="zh-CN" w:bidi="ar"/>
                <w14:textFill>
                  <w14:solidFill>
                    <w14:schemeClr w14:val="tx1"/>
                  </w14:solidFill>
                </w14:textFill>
              </w:rPr>
              <w:t xml:space="preserve"> </w:t>
            </w:r>
            <w:r>
              <w:rPr>
                <w:rFonts w:ascii="宋体" w:hAnsi="宋体" w:cs="宋体"/>
                <w:color w:val="000000" w:themeColor="text1"/>
                <w:kern w:val="0"/>
                <w:sz w:val="24"/>
                <w:szCs w:val="24"/>
                <w:lang w:bidi="ar"/>
                <w14:textFill>
                  <w14:solidFill>
                    <w14:schemeClr w14:val="tx1"/>
                  </w14:solidFill>
                </w14:textFill>
              </w:rPr>
              <w:t>11606-2007</w:t>
            </w:r>
          </w:p>
        </w:tc>
        <w:tc>
          <w:tcPr>
            <w:tcW w:w="16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000000"/>
                <w:sz w:val="24"/>
                <w:szCs w:val="24"/>
                <w:lang w:val="en-US" w:eastAsia="zh-CN"/>
              </w:rPr>
            </w:pPr>
            <w:r>
              <w:rPr>
                <w:rFonts w:hint="eastAsia" w:ascii="宋体" w:hAnsi="宋体" w:eastAsia="宋体" w:cs="宋体"/>
                <w:bCs/>
                <w:color w:val="000000"/>
                <w:sz w:val="24"/>
                <w:szCs w:val="24"/>
                <w:lang w:val="en-US" w:eastAsia="zh-CN"/>
              </w:rPr>
              <w:t>招标人</w:t>
            </w:r>
            <w:r>
              <w:rPr>
                <w:rFonts w:hint="eastAsia" w:ascii="宋体" w:hAnsi="宋体" w:eastAsia="宋体" w:cs="宋体"/>
                <w:bCs/>
                <w:color w:val="000000"/>
                <w:sz w:val="24"/>
                <w:szCs w:val="24"/>
              </w:rPr>
              <w:t>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p>
        </w:tc>
        <w:tc>
          <w:tcPr>
            <w:tcW w:w="421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《检测和校准实验室能力的通用要求》</w:t>
            </w:r>
          </w:p>
        </w:tc>
        <w:tc>
          <w:tcPr>
            <w:tcW w:w="2291"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000000" w:themeColor="text1"/>
                <w:kern w:val="0"/>
                <w:sz w:val="24"/>
                <w:szCs w:val="24"/>
                <w:lang w:val="en-US" w:eastAsia="zh-CN" w:bidi="ar"/>
                <w14:textFill>
                  <w14:solidFill>
                    <w14:schemeClr w14:val="tx1"/>
                  </w14:solidFill>
                </w14:textFill>
              </w:rPr>
            </w:pPr>
            <w:r>
              <w:rPr>
                <w:rFonts w:hint="default" w:ascii="宋体" w:hAnsi="宋体" w:cs="宋体"/>
                <w:color w:val="000000" w:themeColor="text1"/>
                <w:kern w:val="0"/>
                <w:sz w:val="24"/>
                <w:szCs w:val="24"/>
                <w:lang w:val="en-US" w:eastAsia="zh-CN" w:bidi="ar"/>
                <w14:textFill>
                  <w14:solidFill>
                    <w14:schemeClr w14:val="tx1"/>
                  </w14:solidFill>
                </w14:textFill>
              </w:rPr>
              <w:t>GB/T 27025-2008</w:t>
            </w:r>
          </w:p>
        </w:tc>
        <w:tc>
          <w:tcPr>
            <w:tcW w:w="16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000000"/>
                <w:sz w:val="24"/>
                <w:szCs w:val="24"/>
                <w:lang w:val="en-US" w:eastAsia="zh-CN"/>
              </w:rPr>
            </w:pPr>
            <w:r>
              <w:rPr>
                <w:rFonts w:hint="eastAsia" w:ascii="宋体" w:hAnsi="宋体" w:eastAsia="宋体" w:cs="宋体"/>
                <w:bCs/>
                <w:color w:val="000000"/>
                <w:sz w:val="24"/>
                <w:szCs w:val="24"/>
                <w:lang w:val="en-US" w:eastAsia="zh-CN"/>
              </w:rPr>
              <w:t>招标人</w:t>
            </w:r>
            <w:r>
              <w:rPr>
                <w:rFonts w:hint="eastAsia" w:ascii="宋体" w:hAnsi="宋体" w:eastAsia="宋体" w:cs="宋体"/>
                <w:bCs/>
                <w:color w:val="000000"/>
                <w:sz w:val="24"/>
                <w:szCs w:val="24"/>
              </w:rPr>
              <w:t>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p>
        </w:tc>
        <w:tc>
          <w:tcPr>
            <w:tcW w:w="421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《周期检验计数抽样程序及表》</w:t>
            </w:r>
          </w:p>
        </w:tc>
        <w:tc>
          <w:tcPr>
            <w:tcW w:w="2291"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000000" w:themeColor="text1"/>
                <w:kern w:val="0"/>
                <w:sz w:val="24"/>
                <w:szCs w:val="24"/>
                <w:lang w:val="en-US" w:eastAsia="zh-CN" w:bidi="ar"/>
                <w14:textFill>
                  <w14:solidFill>
                    <w14:schemeClr w14:val="tx1"/>
                  </w14:solidFill>
                </w14:textFill>
              </w:rPr>
            </w:pPr>
            <w:r>
              <w:rPr>
                <w:rFonts w:hint="default" w:ascii="宋体" w:hAnsi="宋体" w:cs="宋体"/>
                <w:color w:val="000000" w:themeColor="text1"/>
                <w:kern w:val="0"/>
                <w:sz w:val="24"/>
                <w:szCs w:val="24"/>
                <w:lang w:val="en-US" w:eastAsia="zh-CN" w:bidi="ar"/>
                <w14:textFill>
                  <w14:solidFill>
                    <w14:schemeClr w14:val="tx1"/>
                  </w14:solidFill>
                </w14:textFill>
              </w:rPr>
              <w:t>GB/T 2829-2025</w:t>
            </w:r>
          </w:p>
        </w:tc>
        <w:tc>
          <w:tcPr>
            <w:tcW w:w="16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000000"/>
                <w:sz w:val="24"/>
                <w:szCs w:val="24"/>
                <w:lang w:val="en-US" w:eastAsia="zh-CN"/>
              </w:rPr>
            </w:pPr>
            <w:r>
              <w:rPr>
                <w:rFonts w:hint="eastAsia" w:ascii="宋体" w:hAnsi="宋体" w:eastAsia="宋体" w:cs="宋体"/>
                <w:bCs/>
                <w:color w:val="000000"/>
                <w:sz w:val="24"/>
                <w:szCs w:val="24"/>
                <w:lang w:val="en-US" w:eastAsia="zh-CN"/>
              </w:rPr>
              <w:t>招标人</w:t>
            </w:r>
            <w:r>
              <w:rPr>
                <w:rFonts w:hint="eastAsia" w:ascii="宋体" w:hAnsi="宋体" w:eastAsia="宋体" w:cs="宋体"/>
                <w:bCs/>
                <w:color w:val="000000"/>
                <w:sz w:val="24"/>
                <w:szCs w:val="24"/>
              </w:rPr>
              <w:t>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p>
        </w:tc>
        <w:tc>
          <w:tcPr>
            <w:tcW w:w="421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天然气</w:t>
            </w:r>
            <w:r>
              <w:rPr>
                <w:rFonts w:hint="eastAsia" w:ascii="宋体" w:hAnsi="宋体" w:eastAsia="宋体" w:cs="宋体"/>
                <w:color w:val="000000"/>
                <w:sz w:val="24"/>
                <w:szCs w:val="24"/>
                <w:lang w:val="en-US" w:eastAsia="zh-CN"/>
              </w:rPr>
              <w:t>发热量、密度</w:t>
            </w:r>
            <w:r>
              <w:rPr>
                <w:rFonts w:hint="eastAsia" w:ascii="宋体" w:hAnsi="宋体" w:eastAsia="宋体" w:cs="宋体"/>
                <w:color w:val="000000"/>
                <w:sz w:val="24"/>
                <w:szCs w:val="24"/>
              </w:rPr>
              <w:t>、相对密度和沃泊指数的计算方法</w:t>
            </w:r>
            <w:r>
              <w:rPr>
                <w:rFonts w:hint="eastAsia" w:ascii="宋体" w:hAnsi="宋体" w:cs="宋体"/>
                <w:color w:val="000000"/>
                <w:sz w:val="24"/>
                <w:szCs w:val="24"/>
                <w:lang w:eastAsia="zh-CN"/>
              </w:rPr>
              <w:t>》</w:t>
            </w:r>
          </w:p>
        </w:tc>
        <w:tc>
          <w:tcPr>
            <w:tcW w:w="2291"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cs="宋体"/>
                <w:color w:val="000000" w:themeColor="text1"/>
                <w:kern w:val="0"/>
                <w:sz w:val="24"/>
                <w:szCs w:val="24"/>
                <w:lang w:bidi="ar"/>
                <w14:textFill>
                  <w14:solidFill>
                    <w14:schemeClr w14:val="tx1"/>
                  </w14:solidFill>
                </w14:textFill>
              </w:rPr>
              <w:t>GB/T</w:t>
            </w:r>
            <w:r>
              <w:rPr>
                <w:rFonts w:hint="eastAsia" w:ascii="宋体" w:hAnsi="宋体" w:cs="宋体"/>
                <w:color w:val="000000" w:themeColor="text1"/>
                <w:kern w:val="0"/>
                <w:sz w:val="24"/>
                <w:szCs w:val="24"/>
                <w:lang w:val="en-US" w:eastAsia="zh-CN" w:bidi="ar"/>
                <w14:textFill>
                  <w14:solidFill>
                    <w14:schemeClr w14:val="tx1"/>
                  </w14:solidFill>
                </w14:textFill>
              </w:rPr>
              <w:t xml:space="preserve"> </w:t>
            </w:r>
            <w:r>
              <w:rPr>
                <w:rFonts w:hint="eastAsia" w:ascii="宋体" w:hAnsi="宋体" w:cs="宋体"/>
                <w:color w:val="000000" w:themeColor="text1"/>
                <w:kern w:val="0"/>
                <w:sz w:val="24"/>
                <w:szCs w:val="24"/>
                <w:lang w:bidi="ar"/>
                <w14:textFill>
                  <w14:solidFill>
                    <w14:schemeClr w14:val="tx1"/>
                  </w14:solidFill>
                </w14:textFill>
              </w:rPr>
              <w:t>11062—</w:t>
            </w:r>
            <w:r>
              <w:rPr>
                <w:rFonts w:hint="eastAsia" w:ascii="宋体" w:hAnsi="宋体" w:cs="宋体"/>
                <w:color w:val="000000" w:themeColor="text1"/>
                <w:kern w:val="0"/>
                <w:sz w:val="24"/>
                <w:szCs w:val="24"/>
                <w:lang w:val="en-US" w:eastAsia="zh-CN" w:bidi="ar"/>
                <w14:textFill>
                  <w14:solidFill>
                    <w14:schemeClr w14:val="tx1"/>
                  </w14:solidFill>
                </w14:textFill>
              </w:rPr>
              <w:t>2020</w:t>
            </w:r>
          </w:p>
        </w:tc>
        <w:tc>
          <w:tcPr>
            <w:tcW w:w="16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000000"/>
                <w:sz w:val="24"/>
                <w:szCs w:val="24"/>
                <w:lang w:val="en-US" w:eastAsia="zh-CN"/>
              </w:rPr>
            </w:pPr>
            <w:r>
              <w:rPr>
                <w:rFonts w:hint="eastAsia" w:ascii="宋体" w:hAnsi="宋体" w:eastAsia="宋体" w:cs="宋体"/>
                <w:bCs/>
                <w:color w:val="000000"/>
                <w:sz w:val="24"/>
                <w:szCs w:val="24"/>
                <w:lang w:val="en-US" w:eastAsia="zh-CN"/>
              </w:rPr>
              <w:t>招标人</w:t>
            </w:r>
            <w:r>
              <w:rPr>
                <w:rFonts w:hint="eastAsia" w:ascii="宋体" w:hAnsi="宋体" w:eastAsia="宋体" w:cs="宋体"/>
                <w:bCs/>
                <w:color w:val="000000"/>
                <w:sz w:val="24"/>
                <w:szCs w:val="24"/>
              </w:rPr>
              <w:t>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p>
        </w:tc>
        <w:tc>
          <w:tcPr>
            <w:tcW w:w="421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000000"/>
                <w:sz w:val="24"/>
                <w:szCs w:val="24"/>
                <w:lang w:val="en-US" w:eastAsia="zh-CN"/>
              </w:rPr>
            </w:pPr>
            <w:r>
              <w:rPr>
                <w:rFonts w:hint="eastAsia" w:ascii="宋体" w:hAnsi="宋体" w:cs="宋体"/>
                <w:color w:val="000000"/>
                <w:sz w:val="24"/>
                <w:szCs w:val="24"/>
                <w:lang w:val="en-US" w:eastAsia="zh-CN"/>
              </w:rPr>
              <w:t>《天然气的组成分析 气相色谱法》</w:t>
            </w:r>
          </w:p>
        </w:tc>
        <w:tc>
          <w:tcPr>
            <w:tcW w:w="2291"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kern w:val="0"/>
                <w:sz w:val="24"/>
                <w:szCs w:val="24"/>
                <w:lang w:bidi="ar"/>
                <w14:textFill>
                  <w14:solidFill>
                    <w14:schemeClr w14:val="tx1"/>
                  </w14:solidFill>
                </w14:textFill>
              </w:rPr>
            </w:pPr>
            <w:r>
              <w:rPr>
                <w:rFonts w:hint="eastAsia" w:ascii="宋体" w:hAnsi="宋体" w:cs="宋体"/>
                <w:color w:val="000000" w:themeColor="text1"/>
                <w:kern w:val="0"/>
                <w:sz w:val="24"/>
                <w:szCs w:val="24"/>
                <w:lang w:bidi="ar"/>
                <w14:textFill>
                  <w14:solidFill>
                    <w14:schemeClr w14:val="tx1"/>
                  </w14:solidFill>
                </w14:textFill>
              </w:rPr>
              <w:t>GB</w:t>
            </w:r>
            <w:r>
              <w:rPr>
                <w:rFonts w:hint="eastAsia" w:ascii="宋体" w:hAnsi="宋体" w:cs="宋体"/>
                <w:color w:val="000000" w:themeColor="text1"/>
                <w:kern w:val="0"/>
                <w:sz w:val="24"/>
                <w:szCs w:val="24"/>
                <w:lang w:val="en-US" w:eastAsia="zh-CN" w:bidi="ar"/>
                <w14:textFill>
                  <w14:solidFill>
                    <w14:schemeClr w14:val="tx1"/>
                  </w14:solidFill>
                </w14:textFill>
              </w:rPr>
              <w:t>/</w:t>
            </w:r>
            <w:r>
              <w:rPr>
                <w:rFonts w:hint="eastAsia" w:ascii="宋体" w:hAnsi="宋体" w:cs="宋体"/>
                <w:color w:val="000000" w:themeColor="text1"/>
                <w:kern w:val="0"/>
                <w:sz w:val="24"/>
                <w:szCs w:val="24"/>
                <w:lang w:bidi="ar"/>
                <w14:textFill>
                  <w14:solidFill>
                    <w14:schemeClr w14:val="tx1"/>
                  </w14:solidFill>
                </w14:textFill>
              </w:rPr>
              <w:t>T</w:t>
            </w:r>
            <w:r>
              <w:rPr>
                <w:rFonts w:hint="eastAsia" w:ascii="宋体" w:hAnsi="宋体" w:cs="宋体"/>
                <w:color w:val="000000" w:themeColor="text1"/>
                <w:kern w:val="0"/>
                <w:sz w:val="24"/>
                <w:szCs w:val="24"/>
                <w:lang w:val="en-US" w:eastAsia="zh-CN" w:bidi="ar"/>
                <w14:textFill>
                  <w14:solidFill>
                    <w14:schemeClr w14:val="tx1"/>
                  </w14:solidFill>
                </w14:textFill>
              </w:rPr>
              <w:t xml:space="preserve"> </w:t>
            </w:r>
            <w:r>
              <w:rPr>
                <w:rFonts w:hint="eastAsia" w:ascii="宋体" w:hAnsi="宋体" w:cs="宋体"/>
                <w:color w:val="000000" w:themeColor="text1"/>
                <w:kern w:val="0"/>
                <w:sz w:val="24"/>
                <w:szCs w:val="24"/>
                <w:lang w:bidi="ar"/>
                <w14:textFill>
                  <w14:solidFill>
                    <w14:schemeClr w14:val="tx1"/>
                  </w14:solidFill>
                </w14:textFill>
              </w:rPr>
              <w:t>13610-2020</w:t>
            </w:r>
          </w:p>
        </w:tc>
        <w:tc>
          <w:tcPr>
            <w:tcW w:w="16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000000"/>
                <w:sz w:val="24"/>
                <w:szCs w:val="24"/>
                <w:lang w:val="en-US" w:eastAsia="zh-CN"/>
              </w:rPr>
            </w:pPr>
            <w:r>
              <w:rPr>
                <w:rFonts w:hint="eastAsia" w:ascii="宋体" w:hAnsi="宋体" w:eastAsia="宋体" w:cs="宋体"/>
                <w:bCs/>
                <w:color w:val="000000"/>
                <w:sz w:val="24"/>
                <w:szCs w:val="24"/>
                <w:lang w:val="en-US" w:eastAsia="zh-CN"/>
              </w:rPr>
              <w:t>招标人</w:t>
            </w:r>
            <w:r>
              <w:rPr>
                <w:rFonts w:hint="eastAsia" w:ascii="宋体" w:hAnsi="宋体" w:eastAsia="宋体" w:cs="宋体"/>
                <w:bCs/>
                <w:color w:val="000000"/>
                <w:sz w:val="24"/>
                <w:szCs w:val="24"/>
              </w:rPr>
              <w:t>确认</w:t>
            </w:r>
          </w:p>
        </w:tc>
      </w:tr>
    </w:tbl>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p>
    <w:p>
      <w:pPr>
        <w:widowControl/>
        <w:spacing w:line="360" w:lineRule="auto"/>
        <w:jc w:val="left"/>
        <w:rPr>
          <w:rFonts w:ascii="宋体" w:hAnsi="Calibri" w:eastAsia="宋体" w:cs="Times New Roman"/>
          <w:szCs w:val="20"/>
        </w:rPr>
      </w:pPr>
      <w:r>
        <w:rPr>
          <w:rFonts w:ascii="宋体" w:hAnsi="Calibri" w:eastAsia="宋体" w:cs="Times New Roman"/>
          <w:szCs w:val="20"/>
        </w:rPr>
        <w:br w:type="page"/>
      </w:r>
    </w:p>
    <w:p>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25"/>
    </w:p>
    <w:p/>
    <w:p>
      <w:pPr>
        <w:keepNext/>
        <w:keepLines/>
        <w:spacing w:line="360" w:lineRule="auto"/>
        <w:jc w:val="center"/>
        <w:outlineLvl w:val="2"/>
        <w:rPr>
          <w:rFonts w:ascii="宋体" w:hAnsi="宋体" w:eastAsia="宋体" w:cs="宋体"/>
          <w:b/>
          <w:bCs/>
          <w:sz w:val="24"/>
          <w:szCs w:val="32"/>
        </w:rPr>
      </w:pPr>
      <w:bookmarkStart w:id="26" w:name="_Toc169605882"/>
      <w:r>
        <w:rPr>
          <w:rFonts w:hint="eastAsia" w:ascii="宋体" w:hAnsi="宋体" w:eastAsia="宋体" w:cs="宋体"/>
          <w:b/>
          <w:bCs/>
          <w:sz w:val="24"/>
          <w:szCs w:val="32"/>
        </w:rPr>
        <w:t>第一节  供货范围</w:t>
      </w:r>
      <w:bookmarkEnd w:id="26"/>
    </w:p>
    <w:p>
      <w:pPr>
        <w:spacing w:line="420" w:lineRule="exact"/>
        <w:ind w:firstLine="480" w:firstLineChars="200"/>
        <w:outlineLvl w:val="3"/>
        <w:rPr>
          <w:rFonts w:ascii="宋体" w:hAnsi="宋体" w:eastAsia="宋体" w:cs="宋体"/>
          <w:sz w:val="24"/>
          <w:szCs w:val="24"/>
          <w:highlight w:val="none"/>
        </w:rPr>
      </w:pPr>
      <w:r>
        <w:rPr>
          <w:rFonts w:hint="eastAsia" w:ascii="宋体" w:hAnsi="宋体" w:eastAsia="宋体" w:cs="宋体"/>
          <w:b/>
          <w:bCs/>
          <w:sz w:val="24"/>
          <w:szCs w:val="24"/>
          <w:highlight w:val="none"/>
        </w:rPr>
        <w:t>一、</w:t>
      </w:r>
      <w:r>
        <w:rPr>
          <w:rFonts w:hint="eastAsia" w:ascii="宋体" w:hAnsi="宋体" w:eastAsia="宋体" w:cs="宋体"/>
          <w:b/>
          <w:bCs/>
          <w:sz w:val="24"/>
          <w:szCs w:val="24"/>
          <w:highlight w:val="yellow"/>
        </w:rPr>
        <w:t>供货范围（</w:t>
      </w:r>
      <w:r>
        <w:rPr>
          <w:rFonts w:hint="eastAsia" w:ascii="宋体" w:hAnsi="宋体" w:eastAsia="宋体" w:cs="宋体"/>
          <w:b/>
          <w:bCs/>
          <w:sz w:val="24"/>
          <w:szCs w:val="24"/>
          <w:highlight w:val="yellow"/>
          <w:lang w:val="en-US" w:eastAsia="zh-CN"/>
        </w:rPr>
        <w:t>按照组成项目主要构成一览表的所有最小单元逐一列示，要涵盖培训等内容</w:t>
      </w:r>
      <w:r>
        <w:rPr>
          <w:rFonts w:hint="eastAsia" w:ascii="宋体" w:hAnsi="宋体" w:eastAsia="宋体" w:cs="宋体"/>
          <w:b/>
          <w:bCs/>
          <w:sz w:val="24"/>
          <w:szCs w:val="24"/>
          <w:highlight w:val="yellow"/>
        </w:rPr>
        <w:t>）</w:t>
      </w:r>
    </w:p>
    <w:tbl>
      <w:tblPr>
        <w:tblStyle w:val="32"/>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序号</w:t>
            </w:r>
          </w:p>
        </w:tc>
        <w:tc>
          <w:tcPr>
            <w:tcW w:w="2977" w:type="dxa"/>
            <w:vAlign w:val="center"/>
          </w:tcPr>
          <w:p>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名称</w:t>
            </w:r>
          </w:p>
        </w:tc>
        <w:tc>
          <w:tcPr>
            <w:tcW w:w="992" w:type="dxa"/>
            <w:vAlign w:val="center"/>
          </w:tcPr>
          <w:p>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单位</w:t>
            </w:r>
          </w:p>
        </w:tc>
        <w:tc>
          <w:tcPr>
            <w:tcW w:w="1134" w:type="dxa"/>
            <w:vAlign w:val="center"/>
          </w:tcPr>
          <w:p>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数量</w:t>
            </w:r>
          </w:p>
        </w:tc>
        <w:tc>
          <w:tcPr>
            <w:tcW w:w="2835" w:type="dxa"/>
            <w:vAlign w:val="center"/>
          </w:tcPr>
          <w:p>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66"/>
              <w:spacing w:before="78" w:after="78"/>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1</w:t>
            </w:r>
          </w:p>
        </w:tc>
        <w:tc>
          <w:tcPr>
            <w:tcW w:w="2977" w:type="dxa"/>
            <w:shd w:val="clear" w:color="auto" w:fill="auto"/>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气相色谱仪</w:t>
            </w:r>
          </w:p>
        </w:tc>
        <w:tc>
          <w:tcPr>
            <w:tcW w:w="992" w:type="dxa"/>
            <w:shd w:val="clear" w:color="auto" w:fill="auto"/>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套</w:t>
            </w:r>
          </w:p>
        </w:tc>
        <w:tc>
          <w:tcPr>
            <w:tcW w:w="1134" w:type="dxa"/>
            <w:shd w:val="clear" w:color="auto" w:fill="auto"/>
            <w:vAlign w:val="center"/>
          </w:tcPr>
          <w:p>
            <w:pPr>
              <w:pStyle w:val="15"/>
              <w:jc w:val="center"/>
              <w:rPr>
                <w:rFonts w:hint="eastAsia" w:ascii="宋体" w:hAnsi="Courier New" w:eastAsia="等线" w:cs="宋体"/>
                <w:kern w:val="2"/>
                <w:sz w:val="21"/>
                <w:szCs w:val="22"/>
                <w:lang w:val="en-US" w:eastAsia="zh-CN" w:bidi="ar-SA"/>
              </w:rPr>
            </w:pPr>
            <w:r>
              <w:rPr>
                <w:rFonts w:hint="eastAsia"/>
                <w:lang w:val="en-US" w:eastAsia="zh-CN"/>
              </w:rPr>
              <w:t>1</w:t>
            </w:r>
          </w:p>
        </w:tc>
        <w:tc>
          <w:tcPr>
            <w:tcW w:w="2835" w:type="dxa"/>
            <w:vAlign w:val="center"/>
          </w:tcPr>
          <w:p>
            <w:pPr>
              <w:spacing w:line="360" w:lineRule="auto"/>
              <w:jc w:val="center"/>
              <w:textAlignment w:val="center"/>
              <w:rPr>
                <w:rFonts w:hint="eastAsia" w:ascii="宋体" w:hAnsi="宋体" w:eastAsia="宋体" w:cs="宋体"/>
                <w:sz w:val="24"/>
                <w:szCs w:val="24"/>
                <w:highlight w:val="yellow"/>
                <w:lang w:val="en-US" w:eastAsia="zh-CN"/>
              </w:rPr>
            </w:pPr>
            <w:r>
              <w:rPr>
                <w:rFonts w:hint="eastAsia" w:ascii="宋体" w:hAnsi="宋体" w:cs="宋体"/>
                <w:sz w:val="24"/>
                <w:szCs w:val="24"/>
                <w:highlight w:val="yellow"/>
                <w:lang w:val="en-US" w:eastAsia="zh-CN"/>
              </w:rPr>
              <w:t>国外品牌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shd w:val="clear" w:color="auto" w:fill="auto"/>
            <w:vAlign w:val="center"/>
          </w:tcPr>
          <w:p>
            <w:pPr>
              <w:pStyle w:val="166"/>
              <w:spacing w:before="78" w:after="78"/>
              <w:rPr>
                <w:rFonts w:hint="eastAsia"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2</w:t>
            </w:r>
          </w:p>
        </w:tc>
        <w:tc>
          <w:tcPr>
            <w:tcW w:w="2977" w:type="dxa"/>
            <w:shd w:val="clear" w:color="auto" w:fill="auto"/>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lang w:val="en-US" w:eastAsia="zh-CN"/>
              </w:rPr>
              <w:t>控制电脑及仪器操作软件</w:t>
            </w:r>
          </w:p>
        </w:tc>
        <w:tc>
          <w:tcPr>
            <w:tcW w:w="992" w:type="dxa"/>
            <w:shd w:val="clear" w:color="auto" w:fill="auto"/>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套</w:t>
            </w:r>
          </w:p>
        </w:tc>
        <w:tc>
          <w:tcPr>
            <w:tcW w:w="1134" w:type="dxa"/>
            <w:shd w:val="clear" w:color="auto" w:fill="auto"/>
            <w:vAlign w:val="center"/>
          </w:tcPr>
          <w:p>
            <w:pPr>
              <w:pStyle w:val="15"/>
              <w:jc w:val="center"/>
              <w:rPr>
                <w:rFonts w:hint="eastAsia" w:ascii="宋体" w:hAnsi="Courier New" w:eastAsia="宋体" w:cstheme="minorBidi"/>
                <w:kern w:val="2"/>
                <w:sz w:val="21"/>
                <w:szCs w:val="22"/>
                <w:lang w:val="en-US" w:eastAsia="zh-CN" w:bidi="ar-SA"/>
              </w:rPr>
            </w:pPr>
            <w:r>
              <w:rPr>
                <w:rFonts w:hint="eastAsia"/>
                <w:lang w:val="en-US" w:eastAsia="zh-CN"/>
              </w:rPr>
              <w:t>1</w:t>
            </w:r>
          </w:p>
        </w:tc>
        <w:tc>
          <w:tcPr>
            <w:tcW w:w="2835" w:type="dxa"/>
            <w:vAlign w:val="center"/>
          </w:tcPr>
          <w:p>
            <w:pPr>
              <w:spacing w:line="360" w:lineRule="auto"/>
              <w:jc w:val="center"/>
              <w:textAlignment w:val="center"/>
              <w:rPr>
                <w:rFonts w:hint="eastAsia" w:ascii="宋体" w:hAnsi="宋体" w:cs="宋体"/>
                <w:sz w:val="24"/>
                <w:szCs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shd w:val="clear" w:color="auto" w:fill="auto"/>
            <w:vAlign w:val="center"/>
          </w:tcPr>
          <w:p>
            <w:pPr>
              <w:pStyle w:val="166"/>
              <w:spacing w:before="78" w:after="78"/>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3</w:t>
            </w:r>
          </w:p>
        </w:tc>
        <w:tc>
          <w:tcPr>
            <w:tcW w:w="2977" w:type="dxa"/>
            <w:shd w:val="clear" w:color="auto" w:fill="auto"/>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标气、工作气管路</w:t>
            </w:r>
          </w:p>
        </w:tc>
        <w:tc>
          <w:tcPr>
            <w:tcW w:w="992" w:type="dxa"/>
            <w:shd w:val="clear" w:color="auto" w:fill="auto"/>
            <w:vAlign w:val="top"/>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路</w:t>
            </w:r>
          </w:p>
        </w:tc>
        <w:tc>
          <w:tcPr>
            <w:tcW w:w="1134" w:type="dxa"/>
            <w:shd w:val="clear" w:color="auto" w:fill="auto"/>
            <w:vAlign w:val="center"/>
          </w:tcPr>
          <w:p>
            <w:pPr>
              <w:pStyle w:val="15"/>
              <w:jc w:val="center"/>
              <w:rPr>
                <w:rFonts w:hint="eastAsia" w:ascii="宋体" w:hAnsi="Courier New" w:eastAsia="等线" w:cs="宋体"/>
                <w:kern w:val="2"/>
                <w:sz w:val="21"/>
                <w:szCs w:val="22"/>
                <w:lang w:val="en-US" w:eastAsia="zh-CN" w:bidi="ar-SA"/>
              </w:rPr>
            </w:pPr>
            <w:r>
              <w:rPr>
                <w:rFonts w:hint="eastAsia"/>
                <w:lang w:val="en-US" w:eastAsia="zh-CN"/>
              </w:rPr>
              <w:t>2</w:t>
            </w:r>
          </w:p>
        </w:tc>
        <w:tc>
          <w:tcPr>
            <w:tcW w:w="2835" w:type="dxa"/>
            <w:vAlign w:val="center"/>
          </w:tcPr>
          <w:p>
            <w:pPr>
              <w:spacing w:line="360" w:lineRule="auto"/>
              <w:jc w:val="center"/>
              <w:textAlignment w:val="center"/>
              <w:rPr>
                <w:rFonts w:ascii="宋体" w:hAnsi="宋体" w:eastAsia="宋体" w:cs="宋体"/>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shd w:val="clear" w:color="auto" w:fill="auto"/>
            <w:vAlign w:val="center"/>
          </w:tcPr>
          <w:p>
            <w:pPr>
              <w:pStyle w:val="166"/>
              <w:spacing w:before="78" w:after="78"/>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4</w:t>
            </w:r>
          </w:p>
        </w:tc>
        <w:tc>
          <w:tcPr>
            <w:tcW w:w="2977" w:type="dxa"/>
            <w:shd w:val="clear" w:color="auto" w:fill="auto"/>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试验台及排风系统</w:t>
            </w:r>
          </w:p>
        </w:tc>
        <w:tc>
          <w:tcPr>
            <w:tcW w:w="992" w:type="dxa"/>
            <w:shd w:val="clear" w:color="auto" w:fill="auto"/>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套</w:t>
            </w:r>
          </w:p>
        </w:tc>
        <w:tc>
          <w:tcPr>
            <w:tcW w:w="1134" w:type="dxa"/>
            <w:shd w:val="clear" w:color="auto" w:fill="auto"/>
            <w:vAlign w:val="center"/>
          </w:tcPr>
          <w:p>
            <w:pPr>
              <w:pStyle w:val="15"/>
              <w:jc w:val="center"/>
              <w:rPr>
                <w:rFonts w:hint="eastAsia" w:ascii="宋体" w:hAnsi="Courier New" w:eastAsia="等线" w:cs="宋体"/>
                <w:kern w:val="2"/>
                <w:sz w:val="21"/>
                <w:szCs w:val="22"/>
                <w:lang w:val="en-US" w:eastAsia="zh-CN" w:bidi="ar-SA"/>
              </w:rPr>
            </w:pPr>
            <w:r>
              <w:rPr>
                <w:rFonts w:hint="eastAsia"/>
                <w:lang w:val="en-US" w:eastAsia="zh-CN"/>
              </w:rPr>
              <w:t>1</w:t>
            </w:r>
          </w:p>
        </w:tc>
        <w:tc>
          <w:tcPr>
            <w:tcW w:w="2835" w:type="dxa"/>
            <w:vAlign w:val="center"/>
          </w:tcPr>
          <w:p>
            <w:pPr>
              <w:spacing w:line="360" w:lineRule="auto"/>
              <w:jc w:val="center"/>
              <w:textAlignment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shd w:val="clear" w:color="auto" w:fill="auto"/>
            <w:vAlign w:val="center"/>
          </w:tcPr>
          <w:p>
            <w:pPr>
              <w:pStyle w:val="166"/>
              <w:spacing w:before="78" w:after="78"/>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5</w:t>
            </w:r>
          </w:p>
        </w:tc>
        <w:tc>
          <w:tcPr>
            <w:tcW w:w="2977"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安装调试培训</w:t>
            </w:r>
          </w:p>
        </w:tc>
        <w:tc>
          <w:tcPr>
            <w:tcW w:w="992"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人/次</w:t>
            </w:r>
          </w:p>
        </w:tc>
        <w:tc>
          <w:tcPr>
            <w:tcW w:w="1134" w:type="dxa"/>
            <w:vAlign w:val="center"/>
          </w:tcPr>
          <w:p>
            <w:pPr>
              <w:spacing w:line="360" w:lineRule="exact"/>
              <w:jc w:val="center"/>
              <w:rPr>
                <w:rFonts w:hint="eastAsia" w:ascii="宋体" w:hAnsi="Courier New" w:eastAsia="等线" w:cs="宋体"/>
                <w:kern w:val="2"/>
                <w:sz w:val="21"/>
                <w:szCs w:val="22"/>
                <w:lang w:val="en-US" w:eastAsia="zh-CN" w:bidi="ar-SA"/>
              </w:rPr>
            </w:pPr>
            <w:r>
              <w:rPr>
                <w:rFonts w:hint="eastAsia" w:ascii="宋体" w:hAnsi="宋体" w:cs="宋体"/>
                <w:sz w:val="21"/>
                <w:szCs w:val="21"/>
                <w:highlight w:val="none"/>
                <w:lang w:val="en-US" w:eastAsia="zh-CN"/>
              </w:rPr>
              <w:t>5</w:t>
            </w:r>
          </w:p>
        </w:tc>
        <w:tc>
          <w:tcPr>
            <w:tcW w:w="2835" w:type="dxa"/>
            <w:vAlign w:val="center"/>
          </w:tcPr>
          <w:p>
            <w:pPr>
              <w:spacing w:line="360" w:lineRule="exact"/>
              <w:jc w:val="center"/>
              <w:rPr>
                <w:rFonts w:ascii="宋体" w:hAnsi="宋体" w:eastAsia="宋体" w:cs="宋体"/>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shd w:val="clear" w:color="auto" w:fill="auto"/>
            <w:vAlign w:val="center"/>
          </w:tcPr>
          <w:p>
            <w:pPr>
              <w:pStyle w:val="166"/>
              <w:spacing w:before="78" w:after="78"/>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6</w:t>
            </w:r>
          </w:p>
        </w:tc>
        <w:tc>
          <w:tcPr>
            <w:tcW w:w="2977" w:type="dxa"/>
            <w:vAlign w:val="center"/>
          </w:tcPr>
          <w:p>
            <w:pPr>
              <w:pStyle w:val="166"/>
              <w:spacing w:before="78" w:after="78"/>
              <w:rPr>
                <w:rFonts w:hint="default" w:ascii="宋体" w:hAnsi="宋体" w:eastAsia="宋体" w:cs="宋体"/>
                <w:sz w:val="21"/>
                <w:szCs w:val="21"/>
                <w:highlight w:val="none"/>
                <w:lang w:val="en-US" w:eastAsia="zh-CN"/>
              </w:rPr>
            </w:pPr>
          </w:p>
        </w:tc>
        <w:tc>
          <w:tcPr>
            <w:tcW w:w="992" w:type="dxa"/>
            <w:vAlign w:val="center"/>
          </w:tcPr>
          <w:p>
            <w:pPr>
              <w:spacing w:line="360" w:lineRule="auto"/>
              <w:jc w:val="center"/>
              <w:textAlignment w:val="center"/>
              <w:rPr>
                <w:rFonts w:hint="default" w:ascii="宋体" w:hAnsi="宋体" w:eastAsia="宋体" w:cs="宋体"/>
                <w:sz w:val="21"/>
                <w:szCs w:val="21"/>
                <w:highlight w:val="none"/>
                <w:lang w:val="en-US" w:eastAsia="zh-CN"/>
              </w:rPr>
            </w:pPr>
          </w:p>
        </w:tc>
        <w:tc>
          <w:tcPr>
            <w:tcW w:w="1134" w:type="dxa"/>
            <w:vAlign w:val="center"/>
          </w:tcPr>
          <w:p>
            <w:pPr>
              <w:spacing w:line="360" w:lineRule="auto"/>
              <w:jc w:val="center"/>
              <w:textAlignment w:val="center"/>
              <w:rPr>
                <w:rFonts w:hint="default" w:ascii="宋体" w:hAnsi="宋体" w:eastAsia="宋体" w:cs="宋体"/>
                <w:sz w:val="21"/>
                <w:szCs w:val="21"/>
                <w:highlight w:val="none"/>
                <w:lang w:val="en-US" w:eastAsia="zh-CN"/>
              </w:rPr>
            </w:pPr>
          </w:p>
        </w:tc>
        <w:tc>
          <w:tcPr>
            <w:tcW w:w="2835" w:type="dxa"/>
            <w:vAlign w:val="center"/>
          </w:tcPr>
          <w:p>
            <w:pPr>
              <w:spacing w:line="360" w:lineRule="auto"/>
              <w:jc w:val="center"/>
              <w:textAlignment w:val="center"/>
              <w:rPr>
                <w:rFonts w:hint="eastAsia" w:ascii="宋体" w:hAnsi="宋体" w:eastAsia="宋体" w:cs="宋体"/>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shd w:val="clear" w:color="auto" w:fill="auto"/>
            <w:vAlign w:val="center"/>
          </w:tcPr>
          <w:p>
            <w:pPr>
              <w:pStyle w:val="166"/>
              <w:spacing w:before="78" w:after="78"/>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7</w:t>
            </w:r>
          </w:p>
        </w:tc>
        <w:tc>
          <w:tcPr>
            <w:tcW w:w="2977" w:type="dxa"/>
            <w:vAlign w:val="center"/>
          </w:tcPr>
          <w:p>
            <w:pPr>
              <w:pStyle w:val="166"/>
              <w:spacing w:before="78" w:after="78"/>
              <w:rPr>
                <w:rFonts w:hint="default" w:ascii="宋体" w:hAnsi="宋体" w:eastAsia="宋体" w:cstheme="minorBidi"/>
                <w:kern w:val="2"/>
                <w:sz w:val="21"/>
                <w:szCs w:val="21"/>
                <w:lang w:val="en-US" w:eastAsia="zh-CN" w:bidi="ar-SA"/>
              </w:rPr>
            </w:pPr>
          </w:p>
        </w:tc>
        <w:tc>
          <w:tcPr>
            <w:tcW w:w="992" w:type="dxa"/>
            <w:vAlign w:val="center"/>
          </w:tcPr>
          <w:p>
            <w:pPr>
              <w:spacing w:line="360" w:lineRule="auto"/>
              <w:jc w:val="center"/>
              <w:textAlignment w:val="center"/>
              <w:rPr>
                <w:rFonts w:hint="eastAsia" w:ascii="宋体" w:hAnsi="宋体" w:eastAsia="宋体" w:cs="宋体"/>
                <w:sz w:val="24"/>
                <w:szCs w:val="24"/>
                <w:highlight w:val="yellow"/>
                <w:lang w:val="en-US" w:eastAsia="zh-CN"/>
              </w:rPr>
            </w:pPr>
          </w:p>
        </w:tc>
        <w:tc>
          <w:tcPr>
            <w:tcW w:w="1134" w:type="dxa"/>
            <w:vAlign w:val="center"/>
          </w:tcPr>
          <w:p>
            <w:pPr>
              <w:spacing w:line="360" w:lineRule="auto"/>
              <w:jc w:val="center"/>
              <w:textAlignment w:val="center"/>
              <w:rPr>
                <w:rFonts w:hint="eastAsia" w:ascii="宋体" w:hAnsi="宋体" w:eastAsia="宋体" w:cs="宋体"/>
                <w:sz w:val="24"/>
                <w:szCs w:val="24"/>
                <w:highlight w:val="yellow"/>
                <w:lang w:val="en-US" w:eastAsia="zh-CN"/>
              </w:rPr>
            </w:pPr>
          </w:p>
        </w:tc>
        <w:tc>
          <w:tcPr>
            <w:tcW w:w="2835" w:type="dxa"/>
            <w:vAlign w:val="center"/>
          </w:tcPr>
          <w:p>
            <w:pPr>
              <w:spacing w:line="360" w:lineRule="auto"/>
              <w:jc w:val="center"/>
              <w:textAlignment w:val="center"/>
              <w:rPr>
                <w:rFonts w:ascii="宋体" w:hAnsi="宋体" w:eastAsia="宋体" w:cs="宋体"/>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shd w:val="clear" w:color="auto" w:fill="auto"/>
            <w:vAlign w:val="center"/>
          </w:tcPr>
          <w:p>
            <w:pPr>
              <w:pStyle w:val="166"/>
              <w:spacing w:before="78" w:after="78"/>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8</w:t>
            </w:r>
          </w:p>
        </w:tc>
        <w:tc>
          <w:tcPr>
            <w:tcW w:w="2977" w:type="dxa"/>
            <w:vAlign w:val="center"/>
          </w:tcPr>
          <w:p>
            <w:pPr>
              <w:pStyle w:val="166"/>
              <w:spacing w:before="78" w:after="78"/>
              <w:rPr>
                <w:rFonts w:hint="default" w:ascii="宋体" w:hAnsi="宋体" w:eastAsia="宋体" w:cstheme="minorBidi"/>
                <w:kern w:val="2"/>
                <w:sz w:val="21"/>
                <w:szCs w:val="21"/>
                <w:lang w:val="en-US" w:eastAsia="zh-CN" w:bidi="ar-SA"/>
              </w:rPr>
            </w:pPr>
          </w:p>
        </w:tc>
        <w:tc>
          <w:tcPr>
            <w:tcW w:w="992" w:type="dxa"/>
            <w:vAlign w:val="center"/>
          </w:tcPr>
          <w:p>
            <w:pPr>
              <w:spacing w:line="360" w:lineRule="auto"/>
              <w:jc w:val="center"/>
              <w:textAlignment w:val="center"/>
              <w:rPr>
                <w:rFonts w:hint="eastAsia" w:ascii="宋体" w:hAnsi="宋体" w:eastAsia="宋体" w:cs="宋体"/>
                <w:sz w:val="24"/>
                <w:szCs w:val="24"/>
                <w:highlight w:val="yellow"/>
                <w:lang w:val="en-US" w:eastAsia="zh-CN"/>
              </w:rPr>
            </w:pPr>
          </w:p>
        </w:tc>
        <w:tc>
          <w:tcPr>
            <w:tcW w:w="1134" w:type="dxa"/>
            <w:vAlign w:val="center"/>
          </w:tcPr>
          <w:p>
            <w:pPr>
              <w:spacing w:line="360" w:lineRule="auto"/>
              <w:jc w:val="center"/>
              <w:textAlignment w:val="center"/>
              <w:rPr>
                <w:rFonts w:hint="eastAsia" w:ascii="宋体" w:hAnsi="宋体" w:eastAsia="宋体" w:cs="宋体"/>
                <w:sz w:val="24"/>
                <w:szCs w:val="24"/>
                <w:highlight w:val="yellow"/>
                <w:lang w:val="en-US" w:eastAsia="zh-CN"/>
              </w:rPr>
            </w:pPr>
          </w:p>
        </w:tc>
        <w:tc>
          <w:tcPr>
            <w:tcW w:w="2835" w:type="dxa"/>
            <w:vAlign w:val="center"/>
          </w:tcPr>
          <w:p>
            <w:pPr>
              <w:spacing w:line="360" w:lineRule="auto"/>
              <w:jc w:val="center"/>
              <w:textAlignment w:val="center"/>
              <w:rPr>
                <w:rFonts w:ascii="宋体" w:hAnsi="宋体" w:eastAsia="宋体" w:cs="宋体"/>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shd w:val="clear" w:color="auto" w:fill="auto"/>
            <w:vAlign w:val="center"/>
          </w:tcPr>
          <w:p>
            <w:pPr>
              <w:pStyle w:val="166"/>
              <w:spacing w:before="78" w:after="78"/>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9</w:t>
            </w:r>
          </w:p>
        </w:tc>
        <w:tc>
          <w:tcPr>
            <w:tcW w:w="2977" w:type="dxa"/>
            <w:vAlign w:val="center"/>
          </w:tcPr>
          <w:p>
            <w:pPr>
              <w:pStyle w:val="166"/>
              <w:spacing w:before="78" w:after="78"/>
              <w:rPr>
                <w:rFonts w:hint="eastAsia" w:ascii="宋体" w:hAnsi="宋体" w:eastAsia="宋体" w:cstheme="minorBidi"/>
                <w:kern w:val="2"/>
                <w:sz w:val="21"/>
                <w:szCs w:val="21"/>
                <w:lang w:val="en-US" w:eastAsia="zh-CN" w:bidi="ar-SA"/>
              </w:rPr>
            </w:pPr>
          </w:p>
        </w:tc>
        <w:tc>
          <w:tcPr>
            <w:tcW w:w="992" w:type="dxa"/>
            <w:vAlign w:val="center"/>
          </w:tcPr>
          <w:p>
            <w:pPr>
              <w:spacing w:line="360" w:lineRule="auto"/>
              <w:jc w:val="center"/>
              <w:textAlignment w:val="center"/>
              <w:rPr>
                <w:rFonts w:hint="eastAsia" w:ascii="宋体" w:hAnsi="宋体" w:eastAsia="宋体" w:cs="宋体"/>
                <w:sz w:val="24"/>
                <w:szCs w:val="24"/>
                <w:highlight w:val="yellow"/>
                <w:lang w:val="en-US" w:eastAsia="zh-CN"/>
              </w:rPr>
            </w:pPr>
          </w:p>
        </w:tc>
        <w:tc>
          <w:tcPr>
            <w:tcW w:w="1134" w:type="dxa"/>
            <w:vAlign w:val="center"/>
          </w:tcPr>
          <w:p>
            <w:pPr>
              <w:spacing w:line="360" w:lineRule="auto"/>
              <w:jc w:val="center"/>
              <w:textAlignment w:val="center"/>
              <w:rPr>
                <w:rFonts w:hint="eastAsia" w:ascii="宋体" w:hAnsi="宋体" w:eastAsia="宋体" w:cs="宋体"/>
                <w:sz w:val="24"/>
                <w:szCs w:val="24"/>
                <w:highlight w:val="yellow"/>
                <w:lang w:val="en-US" w:eastAsia="zh-CN"/>
              </w:rPr>
            </w:pPr>
          </w:p>
        </w:tc>
        <w:tc>
          <w:tcPr>
            <w:tcW w:w="2835" w:type="dxa"/>
            <w:vAlign w:val="center"/>
          </w:tcPr>
          <w:p>
            <w:pPr>
              <w:spacing w:line="360" w:lineRule="auto"/>
              <w:jc w:val="center"/>
              <w:textAlignment w:val="center"/>
              <w:rPr>
                <w:rFonts w:ascii="宋体" w:hAnsi="宋体" w:eastAsia="宋体" w:cs="宋体"/>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shd w:val="clear" w:color="auto" w:fill="auto"/>
            <w:vAlign w:val="center"/>
          </w:tcPr>
          <w:p>
            <w:pPr>
              <w:pStyle w:val="166"/>
              <w:spacing w:before="78" w:after="78"/>
              <w:rPr>
                <w:rFonts w:hint="default" w:ascii="宋体" w:hAnsi="宋体" w:eastAsia="宋体" w:cstheme="minorBidi"/>
                <w:b w:val="0"/>
                <w:bCs/>
                <w:kern w:val="2"/>
                <w:sz w:val="21"/>
                <w:szCs w:val="21"/>
                <w:lang w:val="en-US" w:eastAsia="zh-CN" w:bidi="ar-SA"/>
              </w:rPr>
            </w:pPr>
            <w:r>
              <w:rPr>
                <w:rFonts w:hint="eastAsia" w:ascii="宋体" w:hAnsi="宋体" w:eastAsia="宋体" w:cstheme="minorBidi"/>
                <w:b w:val="0"/>
                <w:bCs/>
                <w:kern w:val="2"/>
                <w:sz w:val="21"/>
                <w:szCs w:val="21"/>
                <w:lang w:val="en-US" w:eastAsia="zh-CN" w:bidi="ar-SA"/>
              </w:rPr>
              <w:t>10</w:t>
            </w:r>
          </w:p>
        </w:tc>
        <w:tc>
          <w:tcPr>
            <w:tcW w:w="2977" w:type="dxa"/>
            <w:vAlign w:val="center"/>
          </w:tcPr>
          <w:p>
            <w:pPr>
              <w:pStyle w:val="166"/>
              <w:spacing w:before="78" w:after="78"/>
              <w:rPr>
                <w:rFonts w:hint="default" w:ascii="宋体" w:hAnsi="宋体" w:eastAsia="宋体" w:cstheme="minorBidi"/>
                <w:kern w:val="2"/>
                <w:sz w:val="21"/>
                <w:szCs w:val="21"/>
                <w:lang w:val="en-US" w:eastAsia="zh-CN" w:bidi="ar-SA"/>
              </w:rPr>
            </w:pPr>
          </w:p>
        </w:tc>
        <w:tc>
          <w:tcPr>
            <w:tcW w:w="992" w:type="dxa"/>
            <w:vAlign w:val="center"/>
          </w:tcPr>
          <w:p>
            <w:pPr>
              <w:spacing w:line="360" w:lineRule="auto"/>
              <w:jc w:val="center"/>
              <w:textAlignment w:val="center"/>
              <w:rPr>
                <w:rFonts w:hint="eastAsia" w:ascii="宋体" w:hAnsi="宋体" w:eastAsia="宋体" w:cs="宋体"/>
                <w:sz w:val="24"/>
                <w:szCs w:val="24"/>
                <w:highlight w:val="yellow"/>
                <w:lang w:val="en-US" w:eastAsia="zh-CN"/>
              </w:rPr>
            </w:pPr>
          </w:p>
        </w:tc>
        <w:tc>
          <w:tcPr>
            <w:tcW w:w="1134" w:type="dxa"/>
            <w:vAlign w:val="center"/>
          </w:tcPr>
          <w:p>
            <w:pPr>
              <w:spacing w:line="360" w:lineRule="auto"/>
              <w:jc w:val="center"/>
              <w:textAlignment w:val="center"/>
              <w:rPr>
                <w:rFonts w:hint="eastAsia" w:ascii="宋体" w:hAnsi="宋体" w:eastAsia="宋体" w:cs="宋体"/>
                <w:sz w:val="24"/>
                <w:szCs w:val="24"/>
                <w:highlight w:val="yellow"/>
                <w:lang w:val="en-US" w:eastAsia="zh-CN"/>
              </w:rPr>
            </w:pPr>
          </w:p>
        </w:tc>
        <w:tc>
          <w:tcPr>
            <w:tcW w:w="2835" w:type="dxa"/>
            <w:vAlign w:val="center"/>
          </w:tcPr>
          <w:p>
            <w:pPr>
              <w:spacing w:line="360" w:lineRule="auto"/>
              <w:jc w:val="center"/>
              <w:textAlignment w:val="center"/>
              <w:rPr>
                <w:rFonts w:ascii="宋体" w:hAnsi="宋体" w:eastAsia="宋体" w:cs="宋体"/>
                <w:sz w:val="24"/>
                <w:szCs w:val="24"/>
                <w:highlight w:val="yellow"/>
              </w:rPr>
            </w:pPr>
          </w:p>
        </w:tc>
      </w:tr>
    </w:tbl>
    <w:p>
      <w:pPr>
        <w:spacing w:line="360" w:lineRule="auto"/>
        <w:ind w:firstLine="480" w:firstLineChars="200"/>
        <w:rPr>
          <w:rFonts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0" w:firstLineChars="200"/>
        <w:rPr>
          <w:rFonts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pPr>
        <w:spacing w:line="360" w:lineRule="auto"/>
        <w:ind w:firstLine="480"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w:t>
      </w:r>
      <w:r>
        <w:rPr>
          <w:rFonts w:hint="eastAsia" w:ascii="宋体" w:hAnsi="宋体" w:eastAsia="宋体" w:cs="宋体"/>
          <w:sz w:val="24"/>
          <w:szCs w:val="24"/>
          <w:highlight w:val="yellow"/>
        </w:rPr>
        <w:t>一年</w:t>
      </w:r>
      <w:r>
        <w:rPr>
          <w:rFonts w:hint="eastAsia" w:ascii="宋体" w:hAnsi="宋体" w:eastAsia="宋体" w:cs="宋体"/>
          <w:sz w:val="24"/>
          <w:szCs w:val="24"/>
        </w:rPr>
        <w:t>所自备自用的备品备件、易损件和专用耗材。</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0"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highlight w:val="yellow"/>
          <w:u w:val="single"/>
          <w:shd w:val="pct10" w:color="auto" w:fill="FFFFFF"/>
        </w:rPr>
        <w:t xml:space="preserve"> </w:t>
      </w:r>
      <w:r>
        <w:rPr>
          <w:rFonts w:hint="eastAsia" w:ascii="宋体" w:hAnsi="宋体" w:eastAsia="宋体" w:cs="宋体"/>
          <w:bCs/>
          <w:sz w:val="24"/>
          <w:szCs w:val="24"/>
          <w:highlight w:val="yellow"/>
          <w:u w:val="single"/>
          <w:shd w:val="pct10" w:color="auto" w:fill="FFFFFF"/>
          <w:lang w:val="en-US" w:eastAsia="zh-CN"/>
        </w:rPr>
        <w:t>30</w:t>
      </w:r>
      <w:r>
        <w:rPr>
          <w:rFonts w:hint="eastAsia" w:ascii="宋体" w:hAnsi="宋体" w:eastAsia="宋体" w:cs="宋体"/>
          <w:bCs/>
          <w:sz w:val="24"/>
          <w:szCs w:val="24"/>
          <w:highlight w:val="yellow"/>
          <w:u w:val="single"/>
          <w:shd w:val="pct10" w:color="auto" w:fill="FFFFFF"/>
        </w:rPr>
        <w:t xml:space="preserve">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w:t>
      </w:r>
      <w:r>
        <w:rPr>
          <w:rFonts w:hint="eastAsia" w:ascii="宋体" w:hAnsi="宋体" w:eastAsia="宋体" w:cs="宋体"/>
          <w:bCs w:val="0"/>
          <w:sz w:val="24"/>
          <w:szCs w:val="24"/>
        </w:rPr>
        <w:t>提供货物各部分的功能描述文件、图片、影像等资料（进口、设备应有中外文对照）。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.在终验收前，提供确定的维修所需要且买方可以自行采购的外购件、外协件、电气元件及主要原材料的供货厂家明细表。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.在终验收后的第一笔货款支付日之前，提供包括货物的备品备件、易损件和专用耗材的图纸及技术参数、技术要求等资料。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.本条款所列的技术资料、图片、影像等，投标人应各提供5套，其中2套为</w:t>
      </w:r>
      <w:r>
        <w:rPr>
          <w:rFonts w:hint="eastAsia" w:ascii="宋体" w:hAnsi="宋体" w:eastAsia="宋体" w:cs="宋体"/>
          <w:sz w:val="24"/>
          <w:szCs w:val="24"/>
          <w:highlight w:val="yellow"/>
        </w:rPr>
        <w:t>电子版光盘</w:t>
      </w:r>
      <w:r>
        <w:rPr>
          <w:rFonts w:hint="eastAsia" w:ascii="宋体" w:hAnsi="宋体" w:eastAsia="宋体" w:cs="宋体"/>
          <w:sz w:val="24"/>
          <w:szCs w:val="24"/>
        </w:rPr>
        <w:t>；每份技术文件应装有目录清单。</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.本条款所列要求，如招标人认为投标人提供的资料不能满足要求时，有权要求投标人免费补充或增加。</w:t>
      </w:r>
    </w:p>
    <w:p>
      <w:pPr>
        <w:spacing w:line="360" w:lineRule="auto"/>
        <w:ind w:firstLine="480"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27" w:name="_Toc169605883"/>
    </w:p>
    <w:p>
      <w:pPr>
        <w:pStyle w:val="15"/>
        <w:spacing w:line="360" w:lineRule="auto"/>
      </w:pP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27"/>
    </w:p>
    <w:p>
      <w:pPr>
        <w:spacing w:line="360" w:lineRule="auto"/>
        <w:ind w:firstLine="480"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0"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sz w:val="24"/>
          <w:szCs w:val="24"/>
          <w:highlight w:val="none"/>
        </w:rPr>
        <w:t>济南市章丘区世纪大道7777号园区内</w:t>
      </w:r>
      <w:r>
        <w:rPr>
          <w:rFonts w:hint="eastAsia" w:ascii="宋体" w:hAnsi="宋体" w:eastAsia="宋体" w:cs="宋体"/>
          <w:sz w:val="24"/>
          <w:szCs w:val="24"/>
        </w:rPr>
        <w:t>。</w:t>
      </w:r>
    </w:p>
    <w:p>
      <w:pPr>
        <w:spacing w:line="360" w:lineRule="auto"/>
        <w:ind w:firstLine="480" w:firstLineChars="200"/>
        <w:jc w:val="left"/>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三、供货时间</w:t>
      </w:r>
    </w:p>
    <w:p>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1.自合同签定生效之日起，</w:t>
      </w:r>
      <w:r>
        <w:rPr>
          <w:rFonts w:hint="eastAsia" w:ascii="宋体" w:hAnsi="宋体" w:eastAsia="宋体" w:cs="宋体"/>
          <w:sz w:val="24"/>
          <w:szCs w:val="24"/>
          <w:highlight w:val="yellow"/>
          <w:lang w:val="en-US" w:eastAsia="zh-CN"/>
        </w:rPr>
        <w:t>90</w:t>
      </w:r>
      <w:r>
        <w:rPr>
          <w:rFonts w:hint="eastAsia" w:ascii="宋体" w:hAnsi="宋体" w:eastAsia="宋体" w:cs="宋体"/>
          <w:sz w:val="24"/>
          <w:szCs w:val="24"/>
          <w:highlight w:val="yellow"/>
        </w:rPr>
        <w:t>个日历日之内交货至供货地点</w:t>
      </w:r>
      <w:r>
        <w:rPr>
          <w:rFonts w:ascii="宋体" w:hAnsi="宋体" w:eastAsia="宋体" w:cs="宋体"/>
          <w:sz w:val="24"/>
          <w:szCs w:val="24"/>
          <w:highlight w:val="yellow"/>
        </w:rPr>
        <w:t>。</w:t>
      </w:r>
    </w:p>
    <w:p>
      <w:pPr>
        <w:spacing w:line="360" w:lineRule="auto"/>
        <w:ind w:firstLine="480" w:firstLineChars="200"/>
        <w:jc w:val="left"/>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接续</w:t>
      </w:r>
      <w:r>
        <w:rPr>
          <w:rFonts w:hint="eastAsia" w:ascii="宋体" w:hAnsi="宋体" w:eastAsia="宋体" w:cs="宋体"/>
          <w:sz w:val="24"/>
          <w:szCs w:val="24"/>
          <w:highlight w:val="yellow"/>
          <w:u w:val="single"/>
          <w:lang w:val="en-US" w:eastAsia="zh-CN"/>
        </w:rPr>
        <w:t>15</w:t>
      </w:r>
      <w:r>
        <w:rPr>
          <w:rFonts w:hint="eastAsia" w:ascii="宋体" w:hAnsi="宋体" w:eastAsia="宋体" w:cs="宋体"/>
          <w:sz w:val="24"/>
          <w:szCs w:val="24"/>
          <w:highlight w:val="yellow"/>
        </w:rPr>
        <w:t>个日历日之内安装调试完毕</w:t>
      </w:r>
      <w:r>
        <w:rPr>
          <w:rFonts w:hint="eastAsia" w:ascii="宋体" w:hAnsi="宋体" w:eastAsia="宋体" w:cs="宋体"/>
          <w:sz w:val="24"/>
          <w:szCs w:val="24"/>
          <w:highlight w:val="yellow"/>
          <w:lang w:val="en-US" w:eastAsia="zh-CN"/>
        </w:rPr>
        <w:t>。</w:t>
      </w:r>
    </w:p>
    <w:p>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lang w:val="en-US" w:eastAsia="zh-CN"/>
        </w:rPr>
        <w:t>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接续</w:t>
      </w:r>
      <w:r>
        <w:rPr>
          <w:rFonts w:hint="eastAsia" w:ascii="宋体" w:hAnsi="宋体" w:eastAsia="宋体" w:cs="宋体"/>
          <w:sz w:val="24"/>
          <w:szCs w:val="24"/>
          <w:highlight w:val="yellow"/>
          <w:u w:val="single"/>
          <w:lang w:val="en-US" w:eastAsia="zh-CN"/>
        </w:rPr>
        <w:t>3</w:t>
      </w:r>
      <w:r>
        <w:rPr>
          <w:rFonts w:hint="eastAsia" w:ascii="宋体" w:hAnsi="宋体" w:cs="宋体"/>
          <w:sz w:val="24"/>
          <w:szCs w:val="24"/>
          <w:highlight w:val="yellow"/>
          <w:u w:val="single"/>
          <w:lang w:val="en-US" w:eastAsia="zh-CN"/>
        </w:rPr>
        <w:t>0</w:t>
      </w:r>
      <w:r>
        <w:rPr>
          <w:rFonts w:hint="eastAsia" w:ascii="宋体" w:hAnsi="宋体" w:eastAsia="宋体" w:cs="宋体"/>
          <w:sz w:val="24"/>
          <w:szCs w:val="24"/>
          <w:highlight w:val="yellow"/>
        </w:rPr>
        <w:t>个日历日之内完成终验收。</w:t>
      </w:r>
    </w:p>
    <w:p>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安装调试时间或终验收时间超过规定时间的，投标人应当随标书提供详细的工期计划。</w:t>
      </w:r>
    </w:p>
    <w:p>
      <w:pPr>
        <w:spacing w:line="360" w:lineRule="auto"/>
        <w:ind w:firstLine="480"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0"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adjustRightInd w:val="0"/>
        <w:snapToGrid w:val="0"/>
        <w:spacing w:line="420" w:lineRule="exact"/>
        <w:rPr>
          <w:rFonts w:ascii="宋体" w:hAnsi="Calibri" w:eastAsia="宋体" w:cs="Times New Roman"/>
          <w:szCs w:val="20"/>
        </w:rPr>
      </w:pPr>
    </w:p>
    <w:p>
      <w:pPr>
        <w:widowControl/>
        <w:jc w:val="left"/>
        <w:rPr>
          <w:rFonts w:ascii="宋体" w:hAnsi="Calibri" w:eastAsia="宋体" w:cs="Times New Roman"/>
          <w:szCs w:val="20"/>
        </w:rPr>
      </w:pPr>
      <w:r>
        <w:rPr>
          <w:rFonts w:ascii="宋体" w:hAnsi="Calibri" w:eastAsia="宋体" w:cs="Times New Roman"/>
          <w:szCs w:val="20"/>
        </w:rPr>
        <w:br w:type="page"/>
      </w:r>
    </w:p>
    <w:p>
      <w:pPr>
        <w:keepNext/>
        <w:keepLines/>
        <w:spacing w:line="360" w:lineRule="auto"/>
        <w:jc w:val="center"/>
        <w:outlineLvl w:val="1"/>
        <w:rPr>
          <w:rFonts w:ascii="Calibri" w:hAnsi="Calibri" w:eastAsia="宋体" w:cs="Times New Roman"/>
          <w:b/>
          <w:bCs/>
          <w:kern w:val="44"/>
          <w:sz w:val="28"/>
          <w:szCs w:val="28"/>
        </w:rPr>
      </w:pPr>
      <w:bookmarkStart w:id="28"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28"/>
    </w:p>
    <w:p>
      <w:pPr>
        <w:pStyle w:val="84"/>
        <w:spacing w:line="360" w:lineRule="auto"/>
      </w:pPr>
      <w:r>
        <w:rPr>
          <w:rFonts w:hint="eastAsia"/>
        </w:rPr>
        <w:t>一、质保期及质保要求</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u w:val="single"/>
        </w:rPr>
        <w:t xml:space="preserve"> </w:t>
      </w:r>
      <w:r>
        <w:rPr>
          <w:rFonts w:hint="eastAsia" w:ascii="宋体" w:hAnsi="宋体" w:eastAsia="宋体" w:cs="宋体"/>
          <w:sz w:val="24"/>
          <w:szCs w:val="24"/>
          <w:highlight w:val="yellow"/>
          <w:u w:val="single"/>
          <w:lang w:val="en-US" w:eastAsia="zh-CN"/>
        </w:rPr>
        <w:t>12</w:t>
      </w:r>
      <w:r>
        <w:rPr>
          <w:rFonts w:ascii="宋体" w:hAnsi="宋体" w:eastAsia="宋体" w:cs="宋体"/>
          <w:sz w:val="24"/>
          <w:szCs w:val="24"/>
          <w:highlight w:val="yellow"/>
          <w:u w:val="single"/>
        </w:rPr>
        <w:t xml:space="preserve"> </w:t>
      </w:r>
      <w:r>
        <w:rPr>
          <w:rFonts w:hint="eastAsia" w:ascii="宋体" w:hAnsi="宋体" w:eastAsia="宋体" w:cs="宋体"/>
          <w:sz w:val="24"/>
          <w:szCs w:val="24"/>
        </w:rPr>
        <w:t>个月。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w:t>
      </w:r>
      <w:r>
        <w:rPr>
          <w:rFonts w:hint="eastAsia" w:ascii="宋体" w:hAnsi="宋体" w:eastAsia="宋体" w:cs="宋体"/>
          <w:sz w:val="24"/>
          <w:szCs w:val="24"/>
          <w:lang w:eastAsia="zh-CN"/>
        </w:rPr>
        <w:t>投标人</w:t>
      </w:r>
      <w:r>
        <w:rPr>
          <w:rFonts w:hint="eastAsia" w:ascii="宋体" w:hAnsi="宋体" w:eastAsia="宋体" w:cs="宋体"/>
          <w:sz w:val="24"/>
          <w:szCs w:val="24"/>
        </w:rPr>
        <w:t>。</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w:t>
      </w:r>
      <w:r>
        <w:rPr>
          <w:rFonts w:hint="eastAsia" w:ascii="宋体" w:hAnsi="宋体" w:eastAsia="宋体" w:cs="宋体"/>
          <w:sz w:val="24"/>
          <w:szCs w:val="24"/>
          <w:lang w:eastAsia="zh-CN"/>
        </w:rPr>
        <w:t>投标方</w:t>
      </w:r>
      <w:r>
        <w:rPr>
          <w:rFonts w:hint="eastAsia" w:ascii="宋体" w:hAnsi="宋体" w:eastAsia="宋体" w:cs="宋体"/>
          <w:sz w:val="24"/>
          <w:szCs w:val="24"/>
        </w:rPr>
        <w:t>应负责免费维修和服务。</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pPr>
        <w:pStyle w:val="84"/>
        <w:spacing w:line="360" w:lineRule="auto"/>
        <w:rPr>
          <w:rFonts w:ascii="宋体" w:hAnsi="宋体" w:cs="宋体"/>
        </w:rPr>
      </w:pPr>
      <w:r>
        <w:rPr>
          <w:rFonts w:hint="eastAsia" w:ascii="宋体" w:hAnsi="宋体" w:cs="宋体"/>
        </w:rPr>
        <w:t>二、技术及培训服务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highlight w:val="yellow"/>
          <w:u w:val="single"/>
          <w:shd w:val="pct10" w:color="auto" w:fill="FFFFFF"/>
          <w:lang w:val="en-US" w:eastAsia="zh-CN"/>
        </w:rPr>
        <w:t>2</w:t>
      </w:r>
      <w:r>
        <w:rPr>
          <w:rFonts w:hint="eastAsia" w:ascii="宋体" w:hAnsi="宋体" w:eastAsia="宋体" w:cs="宋体"/>
          <w:color w:val="000000"/>
          <w:sz w:val="24"/>
          <w:szCs w:val="24"/>
        </w:rPr>
        <w:t>个日历日。</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提供货物涉及到外购外协货物、而且该货物的技术质量等较为关键时，</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应能保证得到配套厂家的技术支持，并免费为买方提供技术服务。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84"/>
        <w:spacing w:line="360" w:lineRule="auto"/>
        <w:rPr>
          <w:rFonts w:ascii="宋体" w:hAnsi="宋体" w:cs="宋体"/>
        </w:rPr>
      </w:pPr>
      <w:r>
        <w:rPr>
          <w:rFonts w:hint="eastAsia" w:ascii="宋体" w:hAnsi="宋体" w:cs="宋体"/>
        </w:rPr>
        <w:t>三、安装调试及验收服务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均应在投标文件中明确其收费额或免费约定，否则视同免费；安装调试及验收服务均应按照合同约定或协议、通知及时组织并完成。因</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原因造成的延期，所发生的费用全部由</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承担。</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达到货物的各项技术指标和性能要求。</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在买方现场进行的货物的安装、调试和试运行，买方有权参与，</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应无条件向买方提供现场记录和试运行数据及报告。</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所提供货物需要得到买方建设项目所在地政府或行业主管部门的查验、试验、验收时，</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应当免费完成或协助</w:t>
      </w:r>
      <w:r>
        <w:rPr>
          <w:rFonts w:hint="eastAsia" w:ascii="宋体" w:hAnsi="宋体" w:eastAsia="宋体" w:cs="宋体"/>
          <w:color w:val="000000"/>
          <w:sz w:val="24"/>
          <w:szCs w:val="24"/>
          <w:lang w:eastAsia="zh-CN"/>
        </w:rPr>
        <w:t>招标人</w:t>
      </w:r>
      <w:r>
        <w:rPr>
          <w:rFonts w:hint="eastAsia" w:ascii="宋体" w:hAnsi="宋体" w:eastAsia="宋体" w:cs="宋体"/>
          <w:color w:val="000000"/>
          <w:sz w:val="24"/>
          <w:szCs w:val="24"/>
        </w:rPr>
        <w:t>完成所需要的工作、材料和服务等。协助完成的，应当在投标文件报价内容中予以说明，否则视同免费。</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应当向买方提供货物试验、验收的有关标准、规范和方法，同时提供货物涉及并使用的软件合法性证明。</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pPr>
        <w:pStyle w:val="84"/>
        <w:spacing w:line="360" w:lineRule="auto"/>
        <w:rPr>
          <w:rFonts w:ascii="宋体" w:hAnsi="宋体" w:cs="宋体"/>
        </w:rPr>
      </w:pPr>
      <w:r>
        <w:rPr>
          <w:rFonts w:hint="eastAsia" w:ascii="宋体" w:hAnsi="宋体" w:cs="宋体"/>
        </w:rPr>
        <w:t>四、售后服务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提供的货物涉及的所有售后服务均由</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负责。如果发生问题并且收到通知，</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应当在2小时内予以答复。</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派往买方使用现场的人员，应具有较高的业务素质；现场解决问题时，不得无故拖延或推迟，应为买方提供最佳的服务。</w:t>
      </w:r>
    </w:p>
    <w:p>
      <w:pPr>
        <w:pStyle w:val="84"/>
        <w:spacing w:line="360" w:lineRule="auto"/>
        <w:rPr>
          <w:rFonts w:ascii="宋体" w:hAnsi="宋体" w:cs="宋体"/>
        </w:rPr>
      </w:pPr>
      <w:r>
        <w:rPr>
          <w:rFonts w:hint="eastAsia" w:ascii="宋体" w:hAnsi="宋体" w:cs="宋体"/>
        </w:rPr>
        <w:t>五、其它服务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所提供货物有需要进口的，</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一般应自行、自费办理；必要时，买卖双方共同办理。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应免费负责必要的或强制性的货物的检验、试验、化验等直接费用。</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不可另行收取的费用。</w:t>
      </w:r>
    </w:p>
    <w:p>
      <w:pPr>
        <w:pStyle w:val="15"/>
        <w:rPr>
          <w:rFonts w:eastAsia="宋体"/>
        </w:rPr>
      </w:pPr>
      <w:r>
        <w:rPr>
          <w:rFonts w:eastAsia="宋体"/>
        </w:rPr>
        <w:br w:type="page"/>
      </w:r>
    </w:p>
    <w:p>
      <w:pPr>
        <w:keepNext/>
        <w:keepLines/>
        <w:spacing w:line="360" w:lineRule="auto"/>
        <w:jc w:val="center"/>
        <w:outlineLvl w:val="1"/>
        <w:rPr>
          <w:rFonts w:ascii="Calibri" w:hAnsi="Calibri" w:eastAsia="宋体" w:cs="Times New Roman"/>
          <w:b/>
          <w:bCs/>
          <w:kern w:val="44"/>
          <w:sz w:val="28"/>
          <w:szCs w:val="28"/>
        </w:rPr>
      </w:pPr>
      <w:bookmarkStart w:id="29" w:name="_Toc465187646"/>
      <w:r>
        <w:rPr>
          <w:rFonts w:hint="eastAsia" w:ascii="Calibri" w:hAnsi="Calibri" w:eastAsia="宋体" w:cs="Times New Roman"/>
          <w:b/>
          <w:bCs/>
          <w:kern w:val="44"/>
          <w:sz w:val="28"/>
          <w:szCs w:val="28"/>
        </w:rPr>
        <w:t>第五章  预验收和终验收</w:t>
      </w:r>
      <w:bookmarkEnd w:id="29"/>
    </w:p>
    <w:p>
      <w:pPr>
        <w:pStyle w:val="84"/>
        <w:spacing w:line="360" w:lineRule="auto"/>
        <w:rPr>
          <w:rFonts w:ascii="宋体" w:hAnsi="宋体" w:cs="宋体"/>
        </w:rPr>
      </w:pPr>
      <w:r>
        <w:rPr>
          <w:rFonts w:hint="eastAsia" w:ascii="宋体" w:hAnsi="宋体" w:cs="宋体"/>
        </w:rPr>
        <w:t>一、验收依据和验收标准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pPr>
        <w:pStyle w:val="84"/>
        <w:spacing w:line="360" w:lineRule="auto"/>
        <w:rPr>
          <w:rFonts w:ascii="宋体" w:hAnsi="宋体" w:cs="宋体"/>
        </w:rPr>
      </w:pPr>
      <w:r>
        <w:rPr>
          <w:rFonts w:hint="eastAsia" w:ascii="宋体" w:hAnsi="宋体" w:cs="宋体"/>
        </w:rPr>
        <w:t>二、检验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需要按照下述要求进行：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提出索赔，因索赔所发生的一切费用(包括检验检疫费等)均由</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承担。</w:t>
      </w:r>
    </w:p>
    <w:p>
      <w:pPr>
        <w:pStyle w:val="84"/>
        <w:spacing w:line="360" w:lineRule="auto"/>
        <w:rPr>
          <w:rFonts w:ascii="宋体" w:hAnsi="宋体" w:cs="宋体"/>
        </w:rPr>
      </w:pPr>
      <w:r>
        <w:rPr>
          <w:rFonts w:hint="eastAsia" w:ascii="宋体" w:hAnsi="宋体" w:cs="宋体"/>
        </w:rPr>
        <w:t>三、验收基本条件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1.预验收一般条件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 xml:space="preserve">1.1 </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已经按照“供货范围”要求提供了预验收资料，并且资料齐全、完整和有效。</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 xml:space="preserve"> 货物的油漆质量应饱满、有光泽，无掉漆、无色差、无“桔皮”等不良现象（特殊标志除外）。</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 xml:space="preserve"> 货物标牌完整、清晰、明确。</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 xml:space="preserve"> 货物的安全要求符合中国最新的相关法律、法规、标准和规范以及合同要求。</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2.终验收一般条件</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2.1 经过预验收而且没有出现新的质量问题，或者满足预验收条款。</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2.2 货物安装调试完毕，并至少经过了验收要求的负荷试运行。</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2.3 货物正常运行时，噪声等环境影响因素满足国家和当地环保主管部门规定，安全措施落实、有效。</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2.4 计量仪器、仪表配套合理，采用中国的法定计量单位，计量准确、灵敏可靠。保证设计指标和仪器说明书的参数的实现</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提供合格证或第三方鉴定文件</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rPr>
        <w:t>。</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2.5 试运行期间或之后无维修、调整等行为（特殊情况除外）。</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2.6 货物质量、技术性能等，达到签定的技术标书和合同规定的终验收标准。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3.终验收基本要求</w:t>
      </w:r>
    </w:p>
    <w:p>
      <w:pPr>
        <w:adjustRightInd w:val="0"/>
        <w:snapToGrid w:val="0"/>
        <w:spacing w:line="360" w:lineRule="auto"/>
        <w:ind w:firstLine="480" w:firstLineChars="200"/>
        <w:rPr>
          <w:rFonts w:hint="eastAsia" w:ascii="宋体" w:hAnsi="宋体" w:eastAsia="宋体" w:cs="宋体"/>
          <w:color w:val="000000"/>
          <w:sz w:val="24"/>
          <w:szCs w:val="24"/>
          <w:highlight w:val="yellow"/>
          <w:lang w:val="en-US" w:eastAsia="zh-CN"/>
        </w:rPr>
      </w:pPr>
      <w:r>
        <w:rPr>
          <w:rFonts w:hint="eastAsia" w:ascii="宋体" w:hAnsi="宋体" w:eastAsia="宋体" w:cs="宋体"/>
          <w:color w:val="auto"/>
          <w:sz w:val="24"/>
          <w:szCs w:val="24"/>
        </w:rPr>
        <w:t>3.1</w:t>
      </w:r>
      <w:r>
        <w:rPr>
          <w:rFonts w:hint="eastAsia" w:ascii="宋体" w:hAnsi="宋体" w:eastAsia="宋体" w:cs="宋体"/>
          <w:color w:val="FF0000"/>
          <w:sz w:val="24"/>
          <w:szCs w:val="24"/>
        </w:rPr>
        <w:t xml:space="preserve"> </w:t>
      </w:r>
      <w:r>
        <w:rPr>
          <w:rFonts w:hint="eastAsia" w:ascii="宋体" w:hAnsi="宋体" w:eastAsia="宋体" w:cs="宋体"/>
          <w:color w:val="FF0000"/>
          <w:sz w:val="24"/>
          <w:szCs w:val="24"/>
          <w:highlight w:val="yellow"/>
        </w:rPr>
        <w:t>（</w:t>
      </w:r>
      <w:r>
        <w:rPr>
          <w:rFonts w:hint="eastAsia" w:ascii="宋体" w:hAnsi="宋体" w:eastAsia="宋体" w:cs="宋体"/>
          <w:color w:val="FF0000"/>
          <w:sz w:val="24"/>
          <w:szCs w:val="24"/>
          <w:highlight w:val="yellow"/>
          <w:lang w:val="en-US" w:eastAsia="zh-CN"/>
        </w:rPr>
        <w:t>按照第二章技术要求第三条内容，</w:t>
      </w:r>
      <w:r>
        <w:rPr>
          <w:rFonts w:hint="eastAsia" w:ascii="宋体" w:hAnsi="宋体" w:eastAsia="宋体" w:cs="宋体"/>
          <w:color w:val="FF0000"/>
          <w:sz w:val="24"/>
          <w:szCs w:val="24"/>
          <w:highlight w:val="yellow"/>
        </w:rPr>
        <w:t>明确到具体条款</w:t>
      </w:r>
      <w:r>
        <w:rPr>
          <w:rFonts w:hint="eastAsia" w:ascii="宋体" w:hAnsi="宋体" w:eastAsia="宋体" w:cs="宋体"/>
          <w:color w:val="FF0000"/>
          <w:sz w:val="24"/>
          <w:szCs w:val="24"/>
          <w:highlight w:val="yellow"/>
          <w:lang w:eastAsia="zh-CN"/>
        </w:rPr>
        <w:t>；</w:t>
      </w:r>
      <w:r>
        <w:rPr>
          <w:rFonts w:hint="eastAsia" w:ascii="宋体" w:hAnsi="宋体" w:eastAsia="宋体" w:cs="宋体"/>
          <w:color w:val="FF0000"/>
          <w:sz w:val="24"/>
          <w:szCs w:val="24"/>
          <w:highlight w:val="yellow"/>
          <w:lang w:val="en-US" w:eastAsia="zh-CN"/>
        </w:rPr>
        <w:t>试验结果要量化、稳定性高、精度高等）</w:t>
      </w:r>
      <w:r>
        <w:rPr>
          <w:rFonts w:hint="eastAsia" w:ascii="宋体" w:hAnsi="宋体" w:eastAsia="宋体" w:cs="宋体"/>
          <w:color w:val="000000"/>
          <w:sz w:val="24"/>
          <w:szCs w:val="24"/>
          <w:lang w:val="en-US" w:eastAsia="zh-CN"/>
        </w:rPr>
        <w:t>。</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 出现下列问题之一，视作验收失败：</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 xml:space="preserve">3.2.1 </w:t>
      </w:r>
      <w:r>
        <w:rPr>
          <w:rFonts w:hint="eastAsia" w:ascii="宋体" w:hAnsi="宋体" w:eastAsia="宋体" w:cs="宋体"/>
          <w:color w:val="000000"/>
          <w:sz w:val="24"/>
          <w:szCs w:val="24"/>
          <w:highlight w:val="yellow"/>
          <w:lang w:val="en-US" w:eastAsia="zh-CN"/>
        </w:rPr>
        <w:t>终</w:t>
      </w:r>
      <w:r>
        <w:rPr>
          <w:rFonts w:hint="eastAsia" w:ascii="宋体" w:hAnsi="宋体" w:eastAsia="宋体" w:cs="宋体"/>
          <w:color w:val="000000"/>
          <w:sz w:val="24"/>
          <w:szCs w:val="24"/>
          <w:highlight w:val="yellow"/>
        </w:rPr>
        <w:t>验收时，其参数无法满足招标书中的技术要求。</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3.2.2 在整个验收过程中发生关键零部件损坏或重大故障；</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3.2.3 一般性故障超过</w:t>
      </w:r>
      <w:r>
        <w:rPr>
          <w:rFonts w:hint="eastAsia" w:ascii="宋体" w:hAnsi="宋体" w:eastAsia="宋体" w:cs="宋体"/>
          <w:color w:val="000000"/>
          <w:sz w:val="24"/>
          <w:szCs w:val="24"/>
          <w:highlight w:val="yellow"/>
          <w:u w:val="single"/>
          <w:shd w:val="pct10" w:color="auto" w:fill="FFFFFF"/>
        </w:rPr>
        <w:t>2</w:t>
      </w:r>
      <w:r>
        <w:rPr>
          <w:rFonts w:hint="eastAsia" w:ascii="宋体" w:hAnsi="宋体" w:eastAsia="宋体" w:cs="宋体"/>
          <w:color w:val="000000"/>
          <w:sz w:val="24"/>
          <w:szCs w:val="24"/>
          <w:highlight w:val="yellow"/>
        </w:rPr>
        <w:t>次；</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3.2.4 更换的零部件货值超过总货值的</w:t>
      </w:r>
      <w:r>
        <w:rPr>
          <w:rFonts w:hint="eastAsia" w:ascii="宋体" w:hAnsi="宋体" w:eastAsia="宋体" w:cs="宋体"/>
          <w:color w:val="000000"/>
          <w:sz w:val="24"/>
          <w:szCs w:val="24"/>
          <w:highlight w:val="yellow"/>
          <w:u w:val="single"/>
          <w:shd w:val="pct10" w:color="auto" w:fill="FFFFFF"/>
        </w:rPr>
        <w:t>1</w:t>
      </w:r>
      <w:r>
        <w:rPr>
          <w:rFonts w:hint="eastAsia" w:ascii="宋体" w:hAnsi="宋体" w:eastAsia="宋体" w:cs="宋体"/>
          <w:color w:val="000000"/>
          <w:sz w:val="24"/>
          <w:szCs w:val="24"/>
          <w:highlight w:val="yellow"/>
        </w:rPr>
        <w:t>%。</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3.3 累计负载运行实际性能（或生产率）达不到合同规定；</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3.4 终验收原则上要求一次完成。若一次验收不成功，最多允许两次；如果出现第三次验收失败，退货并赔偿招标方全部损失；</w:t>
      </w:r>
    </w:p>
    <w:p>
      <w:pPr>
        <w:adjustRightInd w:val="0"/>
        <w:snapToGrid w:val="0"/>
        <w:spacing w:line="360" w:lineRule="auto"/>
        <w:ind w:firstLine="480" w:firstLineChars="200"/>
        <w:rPr>
          <w:rFonts w:ascii="宋体" w:hAnsi="宋体" w:eastAsia="宋体"/>
          <w:sz w:val="24"/>
          <w:szCs w:val="24"/>
          <w:highlight w:val="yellow"/>
        </w:rPr>
      </w:pPr>
      <w:r>
        <w:rPr>
          <w:rFonts w:hint="eastAsia" w:ascii="宋体" w:hAnsi="宋体" w:eastAsia="宋体" w:cs="宋体"/>
          <w:color w:val="000000"/>
          <w:sz w:val="24"/>
          <w:szCs w:val="24"/>
        </w:rPr>
        <w:t>3.5 终验收通过后买卖双方共同签署终验收报告，并移交、核对全部供货范围内物品。</w:t>
      </w:r>
    </w:p>
    <w:p>
      <w:pPr>
        <w:pStyle w:val="15"/>
        <w:spacing w:line="360" w:lineRule="auto"/>
      </w:pPr>
    </w:p>
    <w:p>
      <w:pPr>
        <w:pStyle w:val="58"/>
        <w:spacing w:line="360" w:lineRule="auto"/>
        <w:outlineLvl w:val="1"/>
        <w:rPr>
          <w:rFonts w:eastAsia="宋体"/>
          <w:b/>
          <w:bCs w:val="0"/>
          <w:i w:val="0"/>
          <w:iCs/>
          <w:color w:val="auto"/>
          <w:sz w:val="28"/>
        </w:rPr>
      </w:pPr>
      <w:bookmarkStart w:id="30" w:name="_Toc465187647"/>
      <w:r>
        <w:rPr>
          <w:rFonts w:eastAsia="宋体"/>
          <w:b/>
          <w:bCs w:val="0"/>
          <w:i w:val="0"/>
          <w:iCs/>
          <w:color w:val="auto"/>
          <w:sz w:val="28"/>
        </w:rPr>
        <w:t>第六章  投标技术文件一般要求</w:t>
      </w:r>
      <w:bookmarkEnd w:id="30"/>
    </w:p>
    <w:p>
      <w:pPr>
        <w:pStyle w:val="84"/>
        <w:spacing w:line="360" w:lineRule="auto"/>
        <w:rPr>
          <w:color w:val="auto"/>
        </w:rPr>
      </w:pPr>
      <w:r>
        <w:rPr>
          <w:color w:val="auto"/>
        </w:rPr>
        <w:t>一、技术文件一般内容要求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投标人</w:t>
      </w:r>
      <w:r>
        <w:rPr>
          <w:rFonts w:hint="eastAsia" w:ascii="宋体" w:hAnsi="宋体" w:eastAsia="宋体" w:cs="宋体"/>
          <w:sz w:val="24"/>
          <w:szCs w:val="24"/>
        </w:rPr>
        <w:t>应认真阅读招标文件和本技术标书，并按要求编写投标技术文件。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投标技术文件至少应对投标货物的功能用途、技术性能、质量标准、技术参数等作出详细说明。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投标技术文件至少应根据投标货物的关键设备、总成、零部件或系统作出满足或优于招标文件要求的详细说明。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投标技术文件至少应按照招标文件要求（或</w:t>
      </w:r>
      <w:r>
        <w:rPr>
          <w:rFonts w:hint="eastAsia" w:ascii="宋体" w:hAnsi="宋体" w:eastAsia="宋体" w:cs="宋体"/>
          <w:sz w:val="24"/>
          <w:szCs w:val="24"/>
          <w:lang w:eastAsia="zh-CN"/>
        </w:rPr>
        <w:t>投标人</w:t>
      </w:r>
      <w:r>
        <w:rPr>
          <w:rFonts w:hint="eastAsia" w:ascii="宋体" w:hAnsi="宋体" w:eastAsia="宋体" w:cs="宋体"/>
          <w:sz w:val="24"/>
          <w:szCs w:val="24"/>
        </w:rPr>
        <w:t>建议）列明备品备件、易损件和专用耗材明细。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投标人</w:t>
      </w:r>
      <w:r>
        <w:rPr>
          <w:rFonts w:hint="eastAsia" w:ascii="宋体" w:hAnsi="宋体" w:eastAsia="宋体" w:cs="宋体"/>
          <w:sz w:val="24"/>
          <w:szCs w:val="24"/>
        </w:rPr>
        <w:t>应当而且必须分别说明所列备品备件、易损件和专用耗材的使用寿命（以有效工作小时数说明）。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val="en-US" w:eastAsia="zh-CN"/>
        </w:rPr>
        <w:t>.</w:t>
      </w:r>
      <w:r>
        <w:rPr>
          <w:rFonts w:hint="eastAsia" w:ascii="宋体" w:hAnsi="宋体" w:eastAsia="宋体" w:cs="宋体"/>
          <w:sz w:val="24"/>
          <w:szCs w:val="24"/>
        </w:rPr>
        <w:t>投标的货物，应当根据其配置和备品备件、易损件、专用耗材情况，尽可能详细且分类填入下表：</w:t>
      </w:r>
    </w:p>
    <w:p>
      <w:pPr>
        <w:adjustRightInd w:val="0"/>
        <w:snapToGrid w:val="0"/>
        <w:spacing w:line="360" w:lineRule="auto"/>
        <w:ind w:firstLine="480"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w:t>
      </w:r>
      <w:r>
        <w:rPr>
          <w:rFonts w:hint="eastAsia" w:ascii="宋体" w:hAnsi="宋体" w:eastAsia="宋体" w:cs="宋体"/>
          <w:b/>
          <w:bCs/>
          <w:sz w:val="24"/>
          <w:szCs w:val="24"/>
        </w:rPr>
        <w:t>6.1备品备件、易损件和专用耗材明细表：</w:t>
      </w:r>
    </w:p>
    <w:p>
      <w:pPr>
        <w:adjustRightInd w:val="0"/>
        <w:snapToGrid w:val="0"/>
        <w:spacing w:line="360" w:lineRule="auto"/>
        <w:ind w:firstLine="480" w:firstLineChars="200"/>
        <w:rPr>
          <w:rFonts w:hint="default" w:ascii="宋体" w:hAnsi="宋体" w:eastAsia="宋体" w:cs="宋体"/>
          <w:b/>
          <w:bCs/>
          <w:sz w:val="24"/>
          <w:szCs w:val="24"/>
          <w:highlight w:val="yellow"/>
          <w:lang w:val="en-US" w:eastAsia="zh-CN"/>
        </w:rPr>
      </w:pPr>
      <w:r>
        <w:rPr>
          <w:rFonts w:hint="eastAsia" w:ascii="宋体" w:hAnsi="宋体" w:eastAsia="宋体" w:cs="宋体"/>
          <w:b/>
          <w:bCs/>
          <w:sz w:val="24"/>
          <w:szCs w:val="24"/>
          <w:highlight w:val="yellow"/>
          <w:lang w:val="en-US" w:eastAsia="zh-CN"/>
        </w:rPr>
        <w:t>必须提供本项目所涉及到所有备品备件、易损件和专用耗材明细表，以便于质保期外，招标人能够根据清单快速找到同规格产品。</w:t>
      </w:r>
    </w:p>
    <w:p>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32"/>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2119"/>
        <w:gridCol w:w="1361"/>
        <w:gridCol w:w="793"/>
        <w:gridCol w:w="793"/>
        <w:gridCol w:w="793"/>
        <w:gridCol w:w="2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2119"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361"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93"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793"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数量</w:t>
            </w:r>
          </w:p>
        </w:tc>
        <w:tc>
          <w:tcPr>
            <w:tcW w:w="793"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lang w:val="en-US" w:eastAsia="zh-CN"/>
              </w:rPr>
              <w:t>单</w:t>
            </w:r>
            <w:r>
              <w:rPr>
                <w:rFonts w:hint="eastAsia" w:ascii="宋体" w:hAnsi="宋体" w:eastAsia="宋体" w:cs="宋体"/>
              </w:rPr>
              <w:t>价</w:t>
            </w:r>
          </w:p>
        </w:tc>
        <w:tc>
          <w:tcPr>
            <w:tcW w:w="2461"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hint="eastAsia" w:ascii="宋体" w:hAnsi="宋体" w:eastAsia="宋体" w:cs="宋体"/>
              </w:rPr>
            </w:pPr>
          </w:p>
        </w:tc>
        <w:tc>
          <w:tcPr>
            <w:tcW w:w="2119" w:type="dxa"/>
          </w:tcPr>
          <w:p>
            <w:pPr>
              <w:adjustRightInd w:val="0"/>
              <w:snapToGrid w:val="0"/>
              <w:spacing w:line="360" w:lineRule="exact"/>
              <w:rPr>
                <w:rFonts w:hint="eastAsia" w:ascii="宋体" w:hAnsi="宋体" w:eastAsia="宋体" w:cs="宋体"/>
              </w:rPr>
            </w:pPr>
          </w:p>
        </w:tc>
        <w:tc>
          <w:tcPr>
            <w:tcW w:w="1361" w:type="dxa"/>
          </w:tcPr>
          <w:p>
            <w:pPr>
              <w:adjustRightInd w:val="0"/>
              <w:snapToGrid w:val="0"/>
              <w:spacing w:line="360" w:lineRule="exact"/>
              <w:rPr>
                <w:rFonts w:hint="eastAsia" w:ascii="宋体" w:hAnsi="宋体" w:eastAsia="宋体" w:cs="宋体"/>
              </w:rPr>
            </w:pPr>
          </w:p>
        </w:tc>
        <w:tc>
          <w:tcPr>
            <w:tcW w:w="793" w:type="dxa"/>
          </w:tcPr>
          <w:p>
            <w:pPr>
              <w:adjustRightInd w:val="0"/>
              <w:snapToGrid w:val="0"/>
              <w:spacing w:line="360" w:lineRule="exact"/>
              <w:jc w:val="center"/>
              <w:rPr>
                <w:rFonts w:hint="eastAsia" w:ascii="宋体" w:hAnsi="宋体" w:eastAsia="宋体" w:cs="宋体"/>
              </w:rPr>
            </w:pPr>
          </w:p>
        </w:tc>
        <w:tc>
          <w:tcPr>
            <w:tcW w:w="793" w:type="dxa"/>
          </w:tcPr>
          <w:p>
            <w:pPr>
              <w:adjustRightInd w:val="0"/>
              <w:snapToGrid w:val="0"/>
              <w:spacing w:line="360" w:lineRule="exact"/>
              <w:jc w:val="center"/>
              <w:rPr>
                <w:rFonts w:hint="eastAsia" w:ascii="宋体" w:hAnsi="宋体" w:eastAsia="宋体" w:cs="宋体"/>
              </w:rPr>
            </w:pPr>
          </w:p>
        </w:tc>
        <w:tc>
          <w:tcPr>
            <w:tcW w:w="793" w:type="dxa"/>
          </w:tcPr>
          <w:p>
            <w:pPr>
              <w:adjustRightInd w:val="0"/>
              <w:snapToGrid w:val="0"/>
              <w:spacing w:line="360" w:lineRule="exact"/>
              <w:jc w:val="center"/>
              <w:rPr>
                <w:rFonts w:hint="eastAsia" w:ascii="宋体" w:hAnsi="宋体" w:eastAsia="宋体" w:cs="宋体"/>
              </w:rPr>
            </w:pPr>
          </w:p>
        </w:tc>
        <w:tc>
          <w:tcPr>
            <w:tcW w:w="2461"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hint="eastAsia" w:ascii="宋体" w:hAnsi="宋体" w:eastAsia="宋体" w:cs="宋体"/>
              </w:rPr>
            </w:pPr>
          </w:p>
        </w:tc>
        <w:tc>
          <w:tcPr>
            <w:tcW w:w="2119" w:type="dxa"/>
          </w:tcPr>
          <w:p>
            <w:pPr>
              <w:adjustRightInd w:val="0"/>
              <w:snapToGrid w:val="0"/>
              <w:spacing w:line="360" w:lineRule="exact"/>
              <w:rPr>
                <w:rFonts w:hint="eastAsia" w:ascii="宋体" w:hAnsi="宋体" w:eastAsia="宋体" w:cs="宋体"/>
              </w:rPr>
            </w:pPr>
          </w:p>
        </w:tc>
        <w:tc>
          <w:tcPr>
            <w:tcW w:w="1361" w:type="dxa"/>
          </w:tcPr>
          <w:p>
            <w:pPr>
              <w:adjustRightInd w:val="0"/>
              <w:snapToGrid w:val="0"/>
              <w:spacing w:line="360" w:lineRule="exact"/>
              <w:rPr>
                <w:rFonts w:hint="eastAsia" w:ascii="宋体" w:hAnsi="宋体" w:eastAsia="宋体" w:cs="宋体"/>
              </w:rPr>
            </w:pPr>
          </w:p>
        </w:tc>
        <w:tc>
          <w:tcPr>
            <w:tcW w:w="793" w:type="dxa"/>
          </w:tcPr>
          <w:p>
            <w:pPr>
              <w:adjustRightInd w:val="0"/>
              <w:snapToGrid w:val="0"/>
              <w:spacing w:line="360" w:lineRule="exact"/>
              <w:jc w:val="center"/>
              <w:rPr>
                <w:rFonts w:hint="eastAsia" w:ascii="宋体" w:hAnsi="宋体" w:eastAsia="宋体" w:cs="宋体"/>
              </w:rPr>
            </w:pPr>
          </w:p>
        </w:tc>
        <w:tc>
          <w:tcPr>
            <w:tcW w:w="793" w:type="dxa"/>
          </w:tcPr>
          <w:p>
            <w:pPr>
              <w:adjustRightInd w:val="0"/>
              <w:snapToGrid w:val="0"/>
              <w:spacing w:line="360" w:lineRule="exact"/>
              <w:jc w:val="center"/>
              <w:rPr>
                <w:rFonts w:hint="eastAsia" w:ascii="宋体" w:hAnsi="宋体" w:eastAsia="宋体" w:cs="宋体"/>
              </w:rPr>
            </w:pPr>
          </w:p>
        </w:tc>
        <w:tc>
          <w:tcPr>
            <w:tcW w:w="793" w:type="dxa"/>
          </w:tcPr>
          <w:p>
            <w:pPr>
              <w:adjustRightInd w:val="0"/>
              <w:snapToGrid w:val="0"/>
              <w:spacing w:line="360" w:lineRule="exact"/>
              <w:jc w:val="center"/>
              <w:rPr>
                <w:rFonts w:hint="eastAsia" w:ascii="宋体" w:hAnsi="宋体" w:eastAsia="宋体" w:cs="宋体"/>
              </w:rPr>
            </w:pPr>
          </w:p>
        </w:tc>
        <w:tc>
          <w:tcPr>
            <w:tcW w:w="2461"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hint="eastAsia" w:ascii="宋体" w:hAnsi="宋体" w:eastAsia="宋体" w:cs="宋体"/>
              </w:rPr>
            </w:pPr>
          </w:p>
        </w:tc>
        <w:tc>
          <w:tcPr>
            <w:tcW w:w="2119" w:type="dxa"/>
          </w:tcPr>
          <w:p>
            <w:pPr>
              <w:adjustRightInd w:val="0"/>
              <w:snapToGrid w:val="0"/>
              <w:spacing w:line="360" w:lineRule="exact"/>
              <w:rPr>
                <w:rFonts w:hint="eastAsia" w:ascii="宋体" w:hAnsi="宋体" w:eastAsia="宋体" w:cs="宋体"/>
              </w:rPr>
            </w:pPr>
          </w:p>
        </w:tc>
        <w:tc>
          <w:tcPr>
            <w:tcW w:w="1361" w:type="dxa"/>
          </w:tcPr>
          <w:p>
            <w:pPr>
              <w:adjustRightInd w:val="0"/>
              <w:snapToGrid w:val="0"/>
              <w:spacing w:line="360" w:lineRule="exact"/>
              <w:rPr>
                <w:rFonts w:hint="eastAsia" w:ascii="宋体" w:hAnsi="宋体" w:eastAsia="宋体" w:cs="宋体"/>
              </w:rPr>
            </w:pPr>
          </w:p>
        </w:tc>
        <w:tc>
          <w:tcPr>
            <w:tcW w:w="793" w:type="dxa"/>
          </w:tcPr>
          <w:p>
            <w:pPr>
              <w:adjustRightInd w:val="0"/>
              <w:snapToGrid w:val="0"/>
              <w:spacing w:line="360" w:lineRule="exact"/>
              <w:jc w:val="center"/>
              <w:rPr>
                <w:rFonts w:hint="eastAsia" w:ascii="宋体" w:hAnsi="宋体" w:eastAsia="宋体" w:cs="宋体"/>
              </w:rPr>
            </w:pPr>
          </w:p>
        </w:tc>
        <w:tc>
          <w:tcPr>
            <w:tcW w:w="793" w:type="dxa"/>
          </w:tcPr>
          <w:p>
            <w:pPr>
              <w:adjustRightInd w:val="0"/>
              <w:snapToGrid w:val="0"/>
              <w:spacing w:line="360" w:lineRule="exact"/>
              <w:jc w:val="center"/>
              <w:rPr>
                <w:rFonts w:hint="eastAsia" w:ascii="宋体" w:hAnsi="宋体" w:eastAsia="宋体" w:cs="宋体"/>
              </w:rPr>
            </w:pPr>
          </w:p>
        </w:tc>
        <w:tc>
          <w:tcPr>
            <w:tcW w:w="793" w:type="dxa"/>
          </w:tcPr>
          <w:p>
            <w:pPr>
              <w:adjustRightInd w:val="0"/>
              <w:snapToGrid w:val="0"/>
              <w:spacing w:line="360" w:lineRule="exact"/>
              <w:jc w:val="center"/>
              <w:rPr>
                <w:rFonts w:hint="eastAsia" w:ascii="宋体" w:hAnsi="宋体" w:eastAsia="宋体" w:cs="宋体"/>
              </w:rPr>
            </w:pPr>
          </w:p>
        </w:tc>
        <w:tc>
          <w:tcPr>
            <w:tcW w:w="2461"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hint="eastAsia" w:ascii="宋体" w:hAnsi="宋体" w:eastAsia="宋体" w:cs="宋体"/>
              </w:rPr>
            </w:pPr>
          </w:p>
        </w:tc>
        <w:tc>
          <w:tcPr>
            <w:tcW w:w="2119" w:type="dxa"/>
          </w:tcPr>
          <w:p>
            <w:pPr>
              <w:adjustRightInd w:val="0"/>
              <w:snapToGrid w:val="0"/>
              <w:spacing w:line="360" w:lineRule="exact"/>
              <w:rPr>
                <w:rFonts w:hint="eastAsia" w:ascii="宋体" w:hAnsi="宋体" w:eastAsia="宋体" w:cs="宋体"/>
              </w:rPr>
            </w:pPr>
          </w:p>
        </w:tc>
        <w:tc>
          <w:tcPr>
            <w:tcW w:w="1361" w:type="dxa"/>
          </w:tcPr>
          <w:p>
            <w:pPr>
              <w:adjustRightInd w:val="0"/>
              <w:snapToGrid w:val="0"/>
              <w:spacing w:line="360" w:lineRule="exact"/>
              <w:rPr>
                <w:rFonts w:hint="eastAsia" w:ascii="宋体" w:hAnsi="宋体" w:eastAsia="宋体" w:cs="宋体"/>
              </w:rPr>
            </w:pPr>
          </w:p>
        </w:tc>
        <w:tc>
          <w:tcPr>
            <w:tcW w:w="793" w:type="dxa"/>
          </w:tcPr>
          <w:p>
            <w:pPr>
              <w:adjustRightInd w:val="0"/>
              <w:snapToGrid w:val="0"/>
              <w:spacing w:line="360" w:lineRule="exact"/>
              <w:jc w:val="center"/>
              <w:rPr>
                <w:rFonts w:hint="eastAsia" w:ascii="宋体" w:hAnsi="宋体" w:eastAsia="宋体" w:cs="宋体"/>
              </w:rPr>
            </w:pPr>
          </w:p>
        </w:tc>
        <w:tc>
          <w:tcPr>
            <w:tcW w:w="793" w:type="dxa"/>
          </w:tcPr>
          <w:p>
            <w:pPr>
              <w:adjustRightInd w:val="0"/>
              <w:snapToGrid w:val="0"/>
              <w:spacing w:line="360" w:lineRule="exact"/>
              <w:jc w:val="center"/>
              <w:rPr>
                <w:rFonts w:hint="eastAsia" w:ascii="宋体" w:hAnsi="宋体" w:eastAsia="宋体" w:cs="宋体"/>
              </w:rPr>
            </w:pPr>
          </w:p>
        </w:tc>
        <w:tc>
          <w:tcPr>
            <w:tcW w:w="793" w:type="dxa"/>
          </w:tcPr>
          <w:p>
            <w:pPr>
              <w:adjustRightInd w:val="0"/>
              <w:snapToGrid w:val="0"/>
              <w:spacing w:line="360" w:lineRule="exact"/>
              <w:jc w:val="center"/>
              <w:rPr>
                <w:rFonts w:hint="eastAsia" w:ascii="宋体" w:hAnsi="宋体" w:eastAsia="宋体" w:cs="宋体"/>
              </w:rPr>
            </w:pPr>
          </w:p>
        </w:tc>
        <w:tc>
          <w:tcPr>
            <w:tcW w:w="2461"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hint="eastAsia" w:ascii="宋体" w:hAnsi="宋体" w:eastAsia="宋体" w:cs="宋体"/>
              </w:rPr>
            </w:pPr>
          </w:p>
        </w:tc>
        <w:tc>
          <w:tcPr>
            <w:tcW w:w="2119" w:type="dxa"/>
          </w:tcPr>
          <w:p>
            <w:pPr>
              <w:adjustRightInd w:val="0"/>
              <w:snapToGrid w:val="0"/>
              <w:spacing w:line="360" w:lineRule="exact"/>
              <w:rPr>
                <w:rFonts w:hint="eastAsia" w:ascii="宋体" w:hAnsi="宋体" w:eastAsia="宋体" w:cs="宋体"/>
              </w:rPr>
            </w:pPr>
          </w:p>
        </w:tc>
        <w:tc>
          <w:tcPr>
            <w:tcW w:w="1361" w:type="dxa"/>
          </w:tcPr>
          <w:p>
            <w:pPr>
              <w:adjustRightInd w:val="0"/>
              <w:snapToGrid w:val="0"/>
              <w:spacing w:line="360" w:lineRule="exact"/>
              <w:rPr>
                <w:rFonts w:hint="eastAsia" w:ascii="宋体" w:hAnsi="宋体" w:eastAsia="宋体" w:cs="宋体"/>
              </w:rPr>
            </w:pPr>
          </w:p>
        </w:tc>
        <w:tc>
          <w:tcPr>
            <w:tcW w:w="793" w:type="dxa"/>
          </w:tcPr>
          <w:p>
            <w:pPr>
              <w:adjustRightInd w:val="0"/>
              <w:snapToGrid w:val="0"/>
              <w:spacing w:line="360" w:lineRule="exact"/>
              <w:jc w:val="center"/>
              <w:rPr>
                <w:rFonts w:hint="eastAsia" w:ascii="宋体" w:hAnsi="宋体" w:eastAsia="宋体" w:cs="宋体"/>
              </w:rPr>
            </w:pPr>
          </w:p>
        </w:tc>
        <w:tc>
          <w:tcPr>
            <w:tcW w:w="793" w:type="dxa"/>
          </w:tcPr>
          <w:p>
            <w:pPr>
              <w:adjustRightInd w:val="0"/>
              <w:snapToGrid w:val="0"/>
              <w:spacing w:line="360" w:lineRule="exact"/>
              <w:jc w:val="center"/>
              <w:rPr>
                <w:rFonts w:hint="eastAsia" w:ascii="宋体" w:hAnsi="宋体" w:eastAsia="宋体" w:cs="宋体"/>
              </w:rPr>
            </w:pPr>
          </w:p>
        </w:tc>
        <w:tc>
          <w:tcPr>
            <w:tcW w:w="793" w:type="dxa"/>
          </w:tcPr>
          <w:p>
            <w:pPr>
              <w:adjustRightInd w:val="0"/>
              <w:snapToGrid w:val="0"/>
              <w:spacing w:line="360" w:lineRule="exact"/>
              <w:jc w:val="center"/>
              <w:rPr>
                <w:rFonts w:hint="eastAsia" w:ascii="宋体" w:hAnsi="宋体" w:eastAsia="宋体" w:cs="宋体"/>
              </w:rPr>
            </w:pPr>
          </w:p>
        </w:tc>
        <w:tc>
          <w:tcPr>
            <w:tcW w:w="2461"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98" w:type="dxa"/>
          </w:tcPr>
          <w:p>
            <w:pPr>
              <w:adjustRightInd w:val="0"/>
              <w:snapToGrid w:val="0"/>
              <w:spacing w:line="360" w:lineRule="exact"/>
              <w:jc w:val="center"/>
              <w:rPr>
                <w:rFonts w:hint="eastAsia" w:ascii="宋体" w:hAnsi="宋体" w:eastAsia="宋体" w:cs="宋体"/>
              </w:rPr>
            </w:pPr>
          </w:p>
        </w:tc>
        <w:tc>
          <w:tcPr>
            <w:tcW w:w="2119" w:type="dxa"/>
          </w:tcPr>
          <w:p>
            <w:pPr>
              <w:adjustRightInd w:val="0"/>
              <w:snapToGrid w:val="0"/>
              <w:spacing w:line="360" w:lineRule="exact"/>
              <w:rPr>
                <w:rFonts w:hint="eastAsia" w:ascii="宋体" w:hAnsi="宋体" w:eastAsia="宋体" w:cs="宋体"/>
              </w:rPr>
            </w:pPr>
          </w:p>
        </w:tc>
        <w:tc>
          <w:tcPr>
            <w:tcW w:w="1361" w:type="dxa"/>
          </w:tcPr>
          <w:p>
            <w:pPr>
              <w:adjustRightInd w:val="0"/>
              <w:snapToGrid w:val="0"/>
              <w:spacing w:line="360" w:lineRule="exact"/>
              <w:rPr>
                <w:rFonts w:hint="eastAsia" w:ascii="宋体" w:hAnsi="宋体" w:eastAsia="宋体" w:cs="宋体"/>
              </w:rPr>
            </w:pPr>
          </w:p>
        </w:tc>
        <w:tc>
          <w:tcPr>
            <w:tcW w:w="793" w:type="dxa"/>
          </w:tcPr>
          <w:p>
            <w:pPr>
              <w:adjustRightInd w:val="0"/>
              <w:snapToGrid w:val="0"/>
              <w:spacing w:line="360" w:lineRule="exact"/>
              <w:jc w:val="center"/>
              <w:rPr>
                <w:rFonts w:hint="eastAsia" w:ascii="宋体" w:hAnsi="宋体" w:eastAsia="宋体" w:cs="宋体"/>
              </w:rPr>
            </w:pPr>
          </w:p>
        </w:tc>
        <w:tc>
          <w:tcPr>
            <w:tcW w:w="793" w:type="dxa"/>
          </w:tcPr>
          <w:p>
            <w:pPr>
              <w:adjustRightInd w:val="0"/>
              <w:snapToGrid w:val="0"/>
              <w:spacing w:line="360" w:lineRule="exact"/>
              <w:jc w:val="center"/>
              <w:rPr>
                <w:rFonts w:hint="eastAsia" w:ascii="宋体" w:hAnsi="宋体" w:eastAsia="宋体" w:cs="宋体"/>
              </w:rPr>
            </w:pPr>
          </w:p>
        </w:tc>
        <w:tc>
          <w:tcPr>
            <w:tcW w:w="793" w:type="dxa"/>
          </w:tcPr>
          <w:p>
            <w:pPr>
              <w:adjustRightInd w:val="0"/>
              <w:snapToGrid w:val="0"/>
              <w:spacing w:line="360" w:lineRule="exact"/>
              <w:jc w:val="center"/>
              <w:rPr>
                <w:rFonts w:hint="eastAsia" w:ascii="宋体" w:hAnsi="宋体" w:eastAsia="宋体" w:cs="宋体"/>
              </w:rPr>
            </w:pPr>
          </w:p>
        </w:tc>
        <w:tc>
          <w:tcPr>
            <w:tcW w:w="2461" w:type="dxa"/>
          </w:tcPr>
          <w:p>
            <w:pPr>
              <w:adjustRightInd w:val="0"/>
              <w:snapToGrid w:val="0"/>
              <w:spacing w:line="360" w:lineRule="exact"/>
              <w:rPr>
                <w:rFonts w:hint="eastAsia" w:ascii="宋体" w:hAnsi="宋体" w:eastAsia="宋体" w:cs="宋体"/>
              </w:rPr>
            </w:pPr>
          </w:p>
        </w:tc>
      </w:tr>
    </w:tbl>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6.2“开标一览表”和“明细表”仅作为</w:t>
      </w:r>
      <w:r>
        <w:rPr>
          <w:rFonts w:hint="eastAsia" w:ascii="宋体" w:hAnsi="宋体" w:eastAsia="宋体" w:cs="宋体"/>
          <w:sz w:val="24"/>
          <w:szCs w:val="24"/>
          <w:lang w:eastAsia="zh-CN"/>
        </w:rPr>
        <w:t>投标人</w:t>
      </w:r>
      <w:r>
        <w:rPr>
          <w:rFonts w:hint="eastAsia" w:ascii="宋体" w:hAnsi="宋体" w:eastAsia="宋体" w:cs="宋体"/>
          <w:sz w:val="24"/>
          <w:szCs w:val="24"/>
        </w:rPr>
        <w:t>编制投标技术文件的一般格式。其中序号编写应当便于</w:t>
      </w:r>
      <w:r>
        <w:rPr>
          <w:rFonts w:hint="eastAsia" w:ascii="宋体" w:hAnsi="宋体" w:eastAsia="宋体" w:cs="宋体"/>
          <w:sz w:val="24"/>
          <w:szCs w:val="24"/>
          <w:lang w:eastAsia="zh-CN"/>
        </w:rPr>
        <w:t>招标人</w:t>
      </w:r>
      <w:r>
        <w:rPr>
          <w:rFonts w:hint="eastAsia" w:ascii="宋体" w:hAnsi="宋体" w:eastAsia="宋体" w:cs="宋体"/>
          <w:sz w:val="24"/>
          <w:szCs w:val="24"/>
        </w:rPr>
        <w:t>了解分类或分项货物之间的所属关系，如1、1.1、1.2</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w:t>
      </w:r>
      <w:r>
        <w:rPr>
          <w:rFonts w:hint="eastAsia" w:ascii="宋体" w:hAnsi="宋体" w:eastAsia="宋体" w:cs="宋体"/>
          <w:sz w:val="24"/>
          <w:szCs w:val="24"/>
          <w:lang w:eastAsia="zh-CN"/>
        </w:rPr>
        <w:t>投标人</w:t>
      </w:r>
      <w:r>
        <w:rPr>
          <w:rFonts w:hint="eastAsia" w:ascii="宋体" w:hAnsi="宋体" w:eastAsia="宋体" w:cs="宋体"/>
          <w:sz w:val="24"/>
          <w:szCs w:val="24"/>
        </w:rPr>
        <w:t>胜出</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84"/>
        <w:spacing w:line="360" w:lineRule="auto"/>
        <w:rPr>
          <w:rFonts w:hint="eastAsia"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投标技术文件中，如未按照要求编写、或者存在漏项和缺项，将有可能造成对</w:t>
      </w:r>
      <w:r>
        <w:rPr>
          <w:rFonts w:hint="eastAsia" w:ascii="宋体" w:hAnsi="宋体" w:eastAsia="宋体" w:cs="宋体"/>
          <w:sz w:val="24"/>
          <w:szCs w:val="24"/>
          <w:lang w:eastAsia="zh-CN"/>
        </w:rPr>
        <w:t>投标人</w:t>
      </w:r>
      <w:r>
        <w:rPr>
          <w:rFonts w:hint="eastAsia" w:ascii="宋体" w:hAnsi="宋体" w:eastAsia="宋体" w:cs="宋体"/>
          <w:sz w:val="24"/>
          <w:szCs w:val="24"/>
        </w:rPr>
        <w:t>不必要的误解；必要时，漏项和缺项涉及的费用，将有可能以其它</w:t>
      </w:r>
      <w:r>
        <w:rPr>
          <w:rFonts w:hint="eastAsia" w:ascii="宋体" w:hAnsi="宋体" w:eastAsia="宋体" w:cs="宋体"/>
          <w:sz w:val="24"/>
          <w:szCs w:val="24"/>
          <w:lang w:eastAsia="zh-CN"/>
        </w:rPr>
        <w:t>投标人</w:t>
      </w:r>
      <w:r>
        <w:rPr>
          <w:rFonts w:hint="eastAsia" w:ascii="宋体" w:hAnsi="宋体" w:eastAsia="宋体" w:cs="宋体"/>
          <w:sz w:val="24"/>
          <w:szCs w:val="24"/>
        </w:rPr>
        <w:t>中，相同或相似项目的最高价，计入</w:t>
      </w:r>
      <w:r>
        <w:rPr>
          <w:rFonts w:hint="eastAsia" w:ascii="宋体" w:hAnsi="宋体" w:eastAsia="宋体" w:cs="宋体"/>
          <w:sz w:val="24"/>
          <w:szCs w:val="24"/>
          <w:lang w:eastAsia="zh-CN"/>
        </w:rPr>
        <w:t>投标人</w:t>
      </w:r>
      <w:r>
        <w:rPr>
          <w:rFonts w:hint="eastAsia" w:ascii="宋体" w:hAnsi="宋体" w:eastAsia="宋体" w:cs="宋体"/>
          <w:sz w:val="24"/>
          <w:szCs w:val="24"/>
        </w:rPr>
        <w:t>的投标总报价之内，作为评标的依据之一。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如果投标总报价与其它价格出现错误或不一致，将有可能导致废标。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投标总报价为自合同签定生效至合同无异议执行完毕涉及的买方需要支付的全部费用。如</w:t>
      </w:r>
      <w:r>
        <w:rPr>
          <w:rFonts w:hint="eastAsia" w:ascii="宋体" w:hAnsi="宋体" w:eastAsia="宋体" w:cs="宋体"/>
          <w:sz w:val="24"/>
          <w:szCs w:val="24"/>
          <w:lang w:eastAsia="zh-CN"/>
        </w:rPr>
        <w:t>投标人</w:t>
      </w:r>
      <w:r>
        <w:rPr>
          <w:rFonts w:hint="eastAsia" w:ascii="宋体" w:hAnsi="宋体" w:eastAsia="宋体" w:cs="宋体"/>
          <w:sz w:val="24"/>
          <w:szCs w:val="24"/>
        </w:rPr>
        <w:t>认为本招标及投标货物涉及特需或专门的设计，应当单独列明设计费。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备品备件、易损件和专用耗材，</w:t>
      </w:r>
      <w:r>
        <w:rPr>
          <w:rFonts w:hint="eastAsia" w:ascii="宋体" w:hAnsi="宋体" w:eastAsia="宋体" w:cs="宋体"/>
          <w:sz w:val="24"/>
          <w:szCs w:val="24"/>
          <w:lang w:eastAsia="zh-CN"/>
        </w:rPr>
        <w:t>招标人</w:t>
      </w:r>
      <w:r>
        <w:rPr>
          <w:rFonts w:hint="eastAsia" w:ascii="宋体" w:hAnsi="宋体" w:eastAsia="宋体" w:cs="宋体"/>
          <w:sz w:val="24"/>
          <w:szCs w:val="24"/>
        </w:rPr>
        <w:t>将可能与</w:t>
      </w:r>
      <w:r>
        <w:rPr>
          <w:rFonts w:hint="eastAsia" w:ascii="宋体" w:hAnsi="宋体" w:eastAsia="宋体" w:cs="宋体"/>
          <w:sz w:val="24"/>
          <w:szCs w:val="24"/>
          <w:lang w:eastAsia="zh-CN"/>
        </w:rPr>
        <w:t>投标人</w:t>
      </w:r>
      <w:r>
        <w:rPr>
          <w:rFonts w:hint="eastAsia" w:ascii="宋体" w:hAnsi="宋体" w:eastAsia="宋体" w:cs="宋体"/>
          <w:sz w:val="24"/>
          <w:szCs w:val="24"/>
        </w:rPr>
        <w:t>按照投标价格另行签署供货合同。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要求投标总报价、分项报价、明细报价之间应当具有相互间对应关系以及填报分项和明细报价，仅为便于评标而不妨碍投标人以最合适的形式签署合同。</w:t>
      </w:r>
    </w:p>
    <w:p>
      <w:pPr>
        <w:pStyle w:val="84"/>
        <w:spacing w:line="360" w:lineRule="auto"/>
        <w:rPr>
          <w:rFonts w:hint="eastAsia" w:ascii="宋体" w:hAnsi="宋体" w:cs="宋体"/>
          <w:color w:val="auto"/>
        </w:rPr>
      </w:pPr>
      <w:r>
        <w:rPr>
          <w:rFonts w:hint="eastAsia" w:ascii="宋体" w:hAnsi="宋体" w:cs="宋体"/>
          <w:color w:val="auto"/>
        </w:rPr>
        <w:t>三、验收标准及内容要求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除招标文件明确的验收标准或内容之外，</w:t>
      </w:r>
      <w:r>
        <w:rPr>
          <w:rFonts w:hint="eastAsia" w:ascii="宋体" w:hAnsi="宋体" w:eastAsia="宋体" w:cs="宋体"/>
          <w:sz w:val="24"/>
          <w:szCs w:val="24"/>
          <w:lang w:eastAsia="zh-CN"/>
        </w:rPr>
        <w:t>投标人</w:t>
      </w:r>
      <w:r>
        <w:rPr>
          <w:rFonts w:hint="eastAsia" w:ascii="宋体" w:hAnsi="宋体" w:eastAsia="宋体" w:cs="宋体"/>
          <w:sz w:val="24"/>
          <w:szCs w:val="24"/>
        </w:rPr>
        <w:t>应当在投标文件中提供预验收（必要时）和终验收的标准以及规程；在合同签定之前，经</w:t>
      </w:r>
      <w:r>
        <w:rPr>
          <w:rFonts w:hint="eastAsia" w:ascii="宋体" w:hAnsi="宋体" w:eastAsia="宋体" w:cs="宋体"/>
          <w:sz w:val="24"/>
          <w:szCs w:val="24"/>
          <w:lang w:eastAsia="zh-CN"/>
        </w:rPr>
        <w:t>投标人</w:t>
      </w:r>
      <w:r>
        <w:rPr>
          <w:rFonts w:hint="eastAsia" w:ascii="宋体" w:hAnsi="宋体" w:eastAsia="宋体" w:cs="宋体"/>
          <w:sz w:val="24"/>
          <w:szCs w:val="24"/>
        </w:rPr>
        <w:t>和</w:t>
      </w:r>
      <w:r>
        <w:rPr>
          <w:rFonts w:hint="eastAsia" w:ascii="宋体" w:hAnsi="宋体" w:eastAsia="宋体" w:cs="宋体"/>
          <w:sz w:val="24"/>
          <w:szCs w:val="24"/>
          <w:lang w:eastAsia="zh-CN"/>
        </w:rPr>
        <w:t>招标人</w:t>
      </w:r>
      <w:r>
        <w:rPr>
          <w:rFonts w:hint="eastAsia" w:ascii="宋体" w:hAnsi="宋体" w:eastAsia="宋体" w:cs="宋体"/>
          <w:sz w:val="24"/>
          <w:szCs w:val="24"/>
        </w:rPr>
        <w:t>双方洽谈确认并签署，以作为验收标准执行。</w:t>
      </w:r>
    </w:p>
    <w:p>
      <w:pPr>
        <w:pStyle w:val="2"/>
        <w:spacing w:before="120" w:after="120" w:line="360" w:lineRule="auto"/>
        <w:jc w:val="center"/>
        <w:rPr>
          <w:rFonts w:hint="eastAsia" w:ascii="宋体" w:hAnsi="宋体" w:eastAsia="宋体" w:cs="宋体"/>
          <w:b w:val="0"/>
          <w:sz w:val="24"/>
          <w:szCs w:val="24"/>
        </w:rPr>
        <w:sectPr>
          <w:footerReference r:id="rId12" w:type="first"/>
          <w:footerReference r:id="rId11" w:type="default"/>
          <w:pgSz w:w="11906" w:h="16838"/>
          <w:pgMar w:top="1588" w:right="1418" w:bottom="1134" w:left="1418" w:header="851" w:footer="992" w:gutter="0"/>
          <w:pgNumType w:fmt="numberInDash"/>
          <w:cols w:space="720" w:num="1"/>
          <w:titlePg/>
          <w:docGrid w:linePitch="312" w:charSpace="0"/>
        </w:sectPr>
      </w:pPr>
      <w:bookmarkStart w:id="31" w:name="_Toc465187648"/>
    </w:p>
    <w:p>
      <w:pPr>
        <w:pStyle w:val="58"/>
        <w:outlineLvl w:val="1"/>
        <w:rPr>
          <w:rFonts w:hint="eastAsia" w:ascii="宋体" w:hAnsi="宋体" w:eastAsia="宋体" w:cs="宋体"/>
          <w:b/>
          <w:bCs w:val="0"/>
          <w:i w:val="0"/>
          <w:iCs/>
          <w:color w:val="auto"/>
          <w:sz w:val="28"/>
          <w:szCs w:val="22"/>
        </w:rPr>
      </w:pPr>
      <w:r>
        <w:rPr>
          <w:rFonts w:hint="eastAsia" w:ascii="宋体" w:hAnsi="宋体" w:eastAsia="宋体" w:cs="宋体"/>
          <w:b/>
          <w:bCs w:val="0"/>
          <w:i w:val="0"/>
          <w:iCs/>
          <w:color w:val="auto"/>
          <w:sz w:val="28"/>
          <w:szCs w:val="22"/>
        </w:rPr>
        <w:t>第七章  其它要求及说明</w:t>
      </w:r>
      <w:bookmarkEnd w:id="31"/>
    </w:p>
    <w:p>
      <w:pPr>
        <w:pStyle w:val="84"/>
        <w:spacing w:line="360" w:lineRule="auto"/>
        <w:rPr>
          <w:rFonts w:hint="eastAsia" w:ascii="宋体" w:hAnsi="宋体" w:cs="宋体"/>
          <w:color w:val="auto"/>
          <w:sz w:val="24"/>
          <w:szCs w:val="24"/>
        </w:rPr>
      </w:pPr>
      <w:r>
        <w:rPr>
          <w:rFonts w:hint="eastAsia" w:ascii="宋体" w:hAnsi="宋体" w:cs="宋体"/>
          <w:color w:val="auto"/>
          <w:sz w:val="24"/>
          <w:szCs w:val="24"/>
        </w:rPr>
        <w:t>一、要求</w:t>
      </w:r>
    </w:p>
    <w:p>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w:t>
      </w:r>
      <w:r>
        <w:rPr>
          <w:rFonts w:hint="eastAsia" w:ascii="宋体" w:hAnsi="宋体" w:eastAsia="宋体" w:cs="宋体"/>
          <w:sz w:val="24"/>
          <w:szCs w:val="24"/>
          <w:lang w:eastAsia="zh-CN"/>
        </w:rPr>
        <w:t>投标人</w:t>
      </w:r>
      <w:r>
        <w:rPr>
          <w:rFonts w:hint="eastAsia" w:ascii="宋体" w:hAnsi="宋体" w:eastAsia="宋体" w:cs="宋体"/>
          <w:sz w:val="24"/>
          <w:szCs w:val="24"/>
        </w:rPr>
        <w:t>在投标文件中，至少应具备以下资格证明文件或资料：</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.投标人</w:t>
      </w:r>
      <w:r>
        <w:rPr>
          <w:rFonts w:hint="eastAsia" w:ascii="宋体" w:hAnsi="宋体" w:eastAsia="宋体" w:cs="宋体"/>
          <w:sz w:val="24"/>
          <w:szCs w:val="24"/>
        </w:rPr>
        <w:t>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.投标人</w:t>
      </w:r>
      <w:r>
        <w:rPr>
          <w:rFonts w:hint="eastAsia" w:ascii="宋体" w:hAnsi="宋体" w:eastAsia="宋体" w:cs="宋体"/>
          <w:sz w:val="24"/>
          <w:szCs w:val="24"/>
        </w:rPr>
        <w:t>应当是通过有关资格认证的法人。应当在投标文件中提供有效期内的资格认证证书，如：ISO9001、VDA6.1、QS9000等。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国产设备应附有采购货物（或设备）涉及的由“中国质量认证中心”颁发的《中国国家强制性产品认证证书》（CCC证书）。</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应附有其它与</w:t>
      </w:r>
      <w:r>
        <w:rPr>
          <w:rFonts w:hint="eastAsia" w:ascii="宋体" w:hAnsi="宋体" w:eastAsia="宋体" w:cs="宋体"/>
          <w:sz w:val="24"/>
          <w:szCs w:val="24"/>
          <w:lang w:eastAsia="zh-CN"/>
        </w:rPr>
        <w:t>投标人</w:t>
      </w:r>
      <w:r>
        <w:rPr>
          <w:rFonts w:hint="eastAsia" w:ascii="宋体" w:hAnsi="宋体" w:eastAsia="宋体" w:cs="宋体"/>
          <w:sz w:val="24"/>
          <w:szCs w:val="24"/>
        </w:rPr>
        <w:t>、采购货物有关的荣誉证书或资料。</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必须附有投标货物涉及产品要求的、国家或行业管理规定要求的、或者</w:t>
      </w:r>
      <w:r>
        <w:rPr>
          <w:rFonts w:hint="eastAsia" w:ascii="宋体" w:hAnsi="宋体" w:eastAsia="宋体" w:cs="宋体"/>
          <w:sz w:val="24"/>
          <w:szCs w:val="24"/>
          <w:lang w:eastAsia="zh-CN"/>
        </w:rPr>
        <w:t>投标人</w:t>
      </w:r>
      <w:r>
        <w:rPr>
          <w:rFonts w:hint="eastAsia" w:ascii="宋体" w:hAnsi="宋体" w:eastAsia="宋体" w:cs="宋体"/>
          <w:sz w:val="24"/>
          <w:szCs w:val="24"/>
        </w:rPr>
        <w:t>认为能够体现其投标货物合法性及先进性的最高级别的证明材料（投标货物不涉及的除外）：</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lang w:eastAsia="zh-CN"/>
        </w:rPr>
      </w:pPr>
      <w:r>
        <w:rPr>
          <w:rFonts w:hint="eastAsia" w:ascii="宋体" w:hAnsi="宋体" w:eastAsia="宋体" w:cs="宋体"/>
          <w:sz w:val="24"/>
          <w:szCs w:val="24"/>
        </w:rPr>
        <w:t>5.3产品相关检验、试验报告，如：型式试验检验报告、安全试验检验报告、电弧效应试验报告、噪声检测报告等</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5.5该类报告或证明材料对于</w:t>
      </w:r>
      <w:r>
        <w:rPr>
          <w:rFonts w:hint="eastAsia" w:ascii="宋体" w:hAnsi="宋体" w:eastAsia="宋体" w:cs="宋体"/>
          <w:sz w:val="24"/>
          <w:szCs w:val="24"/>
          <w:lang w:eastAsia="zh-CN"/>
        </w:rPr>
        <w:t>投标人</w:t>
      </w:r>
      <w:r>
        <w:rPr>
          <w:rFonts w:hint="eastAsia" w:ascii="宋体" w:hAnsi="宋体" w:eastAsia="宋体" w:cs="宋体"/>
          <w:sz w:val="24"/>
          <w:szCs w:val="24"/>
        </w:rPr>
        <w:t>胜出乃至中标极为重要！</w:t>
      </w:r>
    </w:p>
    <w:p>
      <w:pPr>
        <w:numPr>
          <w:ilvl w:val="-1"/>
          <w:numId w:val="0"/>
        </w:numPr>
        <w:spacing w:line="360" w:lineRule="auto"/>
        <w:ind w:firstLine="480" w:firstLineChars="200"/>
        <w:rPr>
          <w:rFonts w:hint="eastAsia" w:ascii="宋体" w:hAnsi="宋体" w:eastAsia="宋体" w:cs="宋体"/>
          <w:sz w:val="24"/>
          <w:szCs w:val="24"/>
        </w:rPr>
      </w:pPr>
      <w:r>
        <w:rPr>
          <w:rFonts w:hint="eastAsia" w:ascii="宋体" w:hAnsi="宋体" w:eastAsia="宋体" w:cs="宋体"/>
          <w:b/>
          <w:sz w:val="24"/>
          <w:szCs w:val="24"/>
          <w:lang w:val="en-US" w:eastAsia="zh-CN"/>
        </w:rPr>
        <w:t>6.</w:t>
      </w: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w:t>
      </w:r>
      <w:r>
        <w:rPr>
          <w:rFonts w:hint="eastAsia" w:ascii="宋体" w:hAnsi="宋体" w:eastAsia="宋体" w:cs="宋体"/>
          <w:sz w:val="24"/>
          <w:szCs w:val="24"/>
          <w:lang w:eastAsia="zh-CN"/>
        </w:rPr>
        <w:t>投标人</w:t>
      </w:r>
      <w:r>
        <w:rPr>
          <w:rFonts w:hint="eastAsia" w:ascii="宋体" w:hAnsi="宋体" w:eastAsia="宋体" w:cs="宋体"/>
          <w:sz w:val="24"/>
          <w:szCs w:val="24"/>
        </w:rPr>
        <w:t>应当保证其业绩的真实性，否则将影响投标或中标资格。</w:t>
      </w:r>
    </w:p>
    <w:p>
      <w:pPr>
        <w:pStyle w:val="84"/>
        <w:spacing w:line="360" w:lineRule="auto"/>
        <w:rPr>
          <w:rFonts w:hint="eastAsia"/>
          <w:sz w:val="24"/>
          <w:szCs w:val="24"/>
        </w:rPr>
      </w:pPr>
      <w:r>
        <w:rPr>
          <w:rFonts w:hint="eastAsia" w:ascii="宋体" w:hAnsi="宋体" w:cs="宋体"/>
          <w:color w:val="auto"/>
          <w:sz w:val="24"/>
          <w:szCs w:val="24"/>
          <w:lang w:val="en-US" w:eastAsia="zh-CN"/>
        </w:rPr>
        <w:t>二</w:t>
      </w:r>
      <w:r>
        <w:rPr>
          <w:rFonts w:hint="eastAsia" w:ascii="宋体" w:hAnsi="宋体" w:cs="宋体"/>
          <w:color w:val="auto"/>
          <w:sz w:val="24"/>
          <w:szCs w:val="24"/>
        </w:rPr>
        <w:t>、</w:t>
      </w:r>
      <w:r>
        <w:rPr>
          <w:rFonts w:hint="eastAsia" w:ascii="宋体" w:hAnsi="宋体" w:cs="宋体"/>
          <w:color w:val="auto"/>
          <w:sz w:val="24"/>
          <w:szCs w:val="24"/>
          <w:lang w:val="en-US" w:eastAsia="zh-CN"/>
        </w:rPr>
        <w:t>其他</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.投标人</w:t>
      </w:r>
      <w:r>
        <w:rPr>
          <w:rFonts w:hint="eastAsia" w:ascii="宋体" w:hAnsi="宋体" w:eastAsia="宋体" w:cs="宋体"/>
          <w:sz w:val="24"/>
          <w:szCs w:val="24"/>
        </w:rPr>
        <w:t>可以根据自身的技术、经验等优势以及对招标文件和本技术标书的理解，写明对</w:t>
      </w:r>
      <w:r>
        <w:rPr>
          <w:rFonts w:hint="eastAsia" w:ascii="宋体" w:hAnsi="宋体" w:eastAsia="宋体" w:cs="宋体"/>
          <w:sz w:val="24"/>
          <w:szCs w:val="24"/>
          <w:lang w:eastAsia="zh-CN"/>
        </w:rPr>
        <w:t>招标人</w:t>
      </w:r>
      <w:r>
        <w:rPr>
          <w:rFonts w:hint="eastAsia" w:ascii="宋体" w:hAnsi="宋体" w:eastAsia="宋体" w:cs="宋体"/>
          <w:sz w:val="24"/>
          <w:szCs w:val="24"/>
        </w:rPr>
        <w:t>所采购货物的优化方案或建议意见。</w:t>
      </w:r>
      <w:r>
        <w:rPr>
          <w:rFonts w:hint="eastAsia" w:ascii="宋体" w:hAnsi="宋体" w:eastAsia="宋体" w:cs="宋体"/>
          <w:sz w:val="24"/>
          <w:szCs w:val="24"/>
          <w:lang w:eastAsia="zh-CN"/>
        </w:rPr>
        <w:t>投标人</w:t>
      </w:r>
      <w:r>
        <w:rPr>
          <w:rFonts w:hint="eastAsia" w:ascii="宋体" w:hAnsi="宋体" w:eastAsia="宋体" w:cs="宋体"/>
          <w:sz w:val="24"/>
          <w:szCs w:val="24"/>
        </w:rPr>
        <w:t>的这些努力，</w:t>
      </w:r>
      <w:r>
        <w:rPr>
          <w:rFonts w:hint="eastAsia" w:ascii="宋体" w:hAnsi="宋体" w:eastAsia="宋体" w:cs="宋体"/>
          <w:sz w:val="24"/>
          <w:szCs w:val="24"/>
          <w:lang w:eastAsia="zh-CN"/>
        </w:rPr>
        <w:t>招标人</w:t>
      </w:r>
      <w:r>
        <w:rPr>
          <w:rFonts w:hint="eastAsia" w:ascii="宋体" w:hAnsi="宋体" w:eastAsia="宋体" w:cs="宋体"/>
          <w:sz w:val="24"/>
          <w:szCs w:val="24"/>
        </w:rPr>
        <w:t>表示感谢，并将有助于</w:t>
      </w:r>
      <w:r>
        <w:rPr>
          <w:rFonts w:hint="eastAsia" w:ascii="宋体" w:hAnsi="宋体" w:eastAsia="宋体" w:cs="宋体"/>
          <w:sz w:val="24"/>
          <w:szCs w:val="24"/>
          <w:lang w:eastAsia="zh-CN"/>
        </w:rPr>
        <w:t>投标人</w:t>
      </w:r>
      <w:r>
        <w:rPr>
          <w:rFonts w:hint="eastAsia" w:ascii="宋体" w:hAnsi="宋体" w:eastAsia="宋体" w:cs="宋体"/>
          <w:sz w:val="24"/>
          <w:szCs w:val="24"/>
        </w:rPr>
        <w:t>优先胜出。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请</w:t>
      </w:r>
      <w:r>
        <w:rPr>
          <w:rFonts w:hint="eastAsia" w:ascii="宋体" w:hAnsi="宋体" w:eastAsia="宋体" w:cs="宋体"/>
          <w:sz w:val="24"/>
          <w:szCs w:val="24"/>
          <w:lang w:eastAsia="zh-CN"/>
        </w:rPr>
        <w:t>投标人</w:t>
      </w:r>
      <w:r>
        <w:rPr>
          <w:rFonts w:hint="eastAsia" w:ascii="宋体" w:hAnsi="宋体" w:eastAsia="宋体" w:cs="宋体"/>
          <w:sz w:val="24"/>
          <w:szCs w:val="24"/>
        </w:rPr>
        <w:t>仔细阅读“采购货物概况”章节内说明，针对允许分投分中的货物，</w:t>
      </w:r>
      <w:r>
        <w:rPr>
          <w:rFonts w:hint="eastAsia" w:ascii="宋体" w:hAnsi="宋体" w:eastAsia="宋体" w:cs="宋体"/>
          <w:sz w:val="24"/>
          <w:szCs w:val="24"/>
          <w:lang w:eastAsia="zh-CN"/>
        </w:rPr>
        <w:t>招标人</w:t>
      </w:r>
      <w:r>
        <w:rPr>
          <w:rFonts w:hint="eastAsia" w:ascii="宋体" w:hAnsi="宋体" w:eastAsia="宋体" w:cs="宋体"/>
          <w:sz w:val="24"/>
          <w:szCs w:val="24"/>
        </w:rPr>
        <w:t>有权利选择其中优秀设备或服务，作为</w:t>
      </w:r>
      <w:r>
        <w:rPr>
          <w:rFonts w:hint="eastAsia" w:ascii="宋体" w:hAnsi="宋体" w:eastAsia="宋体" w:cs="宋体"/>
          <w:sz w:val="24"/>
          <w:szCs w:val="24"/>
          <w:lang w:eastAsia="zh-CN"/>
        </w:rPr>
        <w:t>投标人</w:t>
      </w:r>
      <w:r>
        <w:rPr>
          <w:rFonts w:hint="eastAsia" w:ascii="宋体" w:hAnsi="宋体" w:eastAsia="宋体" w:cs="宋体"/>
          <w:sz w:val="24"/>
          <w:szCs w:val="24"/>
        </w:rPr>
        <w:t>合同供货范围中的指定选用设备或服务（替代</w:t>
      </w:r>
      <w:r>
        <w:rPr>
          <w:rFonts w:hint="eastAsia" w:ascii="宋体" w:hAnsi="宋体" w:eastAsia="宋体" w:cs="宋体"/>
          <w:sz w:val="24"/>
          <w:szCs w:val="24"/>
          <w:lang w:eastAsia="zh-CN"/>
        </w:rPr>
        <w:t>投标人</w:t>
      </w:r>
      <w:r>
        <w:rPr>
          <w:rFonts w:hint="eastAsia" w:ascii="宋体" w:hAnsi="宋体" w:eastAsia="宋体" w:cs="宋体"/>
          <w:sz w:val="24"/>
          <w:szCs w:val="24"/>
        </w:rPr>
        <w:t>分投而未中标部分）。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招标文件、投标文件、答疑文件、技术交流文件、技术标书等，在采购过程全部为有效文件，如有差异，以对</w:t>
      </w:r>
      <w:r>
        <w:rPr>
          <w:rFonts w:hint="eastAsia" w:ascii="宋体" w:hAnsi="宋体" w:eastAsia="宋体" w:cs="宋体"/>
          <w:sz w:val="24"/>
          <w:szCs w:val="24"/>
          <w:lang w:eastAsia="zh-CN"/>
        </w:rPr>
        <w:t>招标人</w:t>
      </w:r>
      <w:r>
        <w:rPr>
          <w:rFonts w:hint="eastAsia" w:ascii="宋体" w:hAnsi="宋体" w:eastAsia="宋体" w:cs="宋体"/>
          <w:sz w:val="24"/>
          <w:szCs w:val="24"/>
        </w:rPr>
        <w:t>最有利的条款为准。</w:t>
      </w:r>
    </w:p>
    <w:p>
      <w:pPr>
        <w:spacing w:line="360" w:lineRule="auto"/>
        <w:ind w:firstLine="480" w:firstLineChars="200"/>
        <w:rPr>
          <w:rFonts w:hAnsi="宋体" w:eastAsia="宋体" w:cs="宋体"/>
        </w:rPr>
        <w:sectPr>
          <w:headerReference r:id="rId13" w:type="default"/>
          <w:footerReference r:id="rId14" w:type="default"/>
          <w:pgSz w:w="11907" w:h="16840"/>
          <w:pgMar w:top="1304" w:right="1418" w:bottom="1304" w:left="1418" w:header="724" w:footer="851" w:gutter="0"/>
          <w:cols w:space="720" w:num="1"/>
          <w:docGrid w:linePitch="290" w:charSpace="-3931"/>
        </w:sect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为避免</w:t>
      </w:r>
      <w:r>
        <w:rPr>
          <w:rFonts w:hint="eastAsia" w:ascii="宋体" w:hAnsi="宋体" w:eastAsia="宋体" w:cs="宋体"/>
          <w:sz w:val="24"/>
          <w:szCs w:val="24"/>
          <w:lang w:val="en-US" w:eastAsia="zh-CN"/>
        </w:rPr>
        <w:t>歧义</w:t>
      </w:r>
      <w:r>
        <w:rPr>
          <w:rFonts w:hint="eastAsia" w:ascii="宋体" w:hAnsi="宋体" w:eastAsia="宋体" w:cs="宋体"/>
          <w:sz w:val="24"/>
          <w:szCs w:val="24"/>
        </w:rPr>
        <w:t>，本技术标书涉及招投标环节的条款，均将潜在的</w:t>
      </w:r>
      <w:r>
        <w:rPr>
          <w:rFonts w:hint="eastAsia" w:ascii="宋体" w:hAnsi="宋体" w:eastAsia="宋体" w:cs="宋体"/>
          <w:sz w:val="24"/>
          <w:szCs w:val="24"/>
          <w:lang w:eastAsia="zh-CN"/>
        </w:rPr>
        <w:t>投标方</w:t>
      </w:r>
      <w:r>
        <w:rPr>
          <w:rFonts w:hint="eastAsia" w:ascii="宋体" w:hAnsi="宋体" w:eastAsia="宋体" w:cs="宋体"/>
          <w:sz w:val="24"/>
          <w:szCs w:val="24"/>
        </w:rPr>
        <w:t>称为</w:t>
      </w:r>
      <w:r>
        <w:rPr>
          <w:rFonts w:hint="eastAsia" w:ascii="宋体" w:hAnsi="宋体" w:eastAsia="宋体" w:cs="宋体"/>
          <w:sz w:val="24"/>
          <w:szCs w:val="24"/>
          <w:lang w:eastAsia="zh-CN"/>
        </w:rPr>
        <w:t>投标人</w:t>
      </w:r>
      <w:r>
        <w:rPr>
          <w:rFonts w:hint="eastAsia" w:ascii="宋体" w:hAnsi="宋体" w:eastAsia="宋体" w:cs="宋体"/>
          <w:sz w:val="24"/>
          <w:szCs w:val="24"/>
        </w:rPr>
        <w:t>、将买方称为</w:t>
      </w:r>
      <w:r>
        <w:rPr>
          <w:rFonts w:hint="eastAsia" w:ascii="宋体" w:hAnsi="宋体" w:eastAsia="宋体" w:cs="宋体"/>
          <w:sz w:val="24"/>
          <w:szCs w:val="24"/>
          <w:lang w:eastAsia="zh-CN"/>
        </w:rPr>
        <w:t>招标人</w:t>
      </w:r>
      <w:r>
        <w:rPr>
          <w:rFonts w:hint="eastAsia" w:ascii="宋体" w:hAnsi="宋体" w:eastAsia="宋体" w:cs="宋体"/>
          <w:sz w:val="24"/>
          <w:szCs w:val="24"/>
        </w:rPr>
        <w:t>；定标后合同签署环节以及后续的合同执行环节条款，</w:t>
      </w:r>
      <w:r>
        <w:rPr>
          <w:rFonts w:hint="eastAsia" w:ascii="宋体" w:hAnsi="宋体" w:eastAsia="宋体" w:cs="宋体"/>
          <w:sz w:val="24"/>
          <w:szCs w:val="24"/>
          <w:lang w:eastAsia="zh-CN"/>
        </w:rPr>
        <w:t>招标人</w:t>
      </w:r>
      <w:r>
        <w:rPr>
          <w:rFonts w:hint="eastAsia" w:ascii="宋体" w:hAnsi="宋体" w:eastAsia="宋体" w:cs="宋体"/>
          <w:sz w:val="24"/>
          <w:szCs w:val="24"/>
        </w:rPr>
        <w:t>称为买方、</w:t>
      </w:r>
      <w:r>
        <w:rPr>
          <w:rFonts w:hint="eastAsia" w:ascii="宋体" w:hAnsi="宋体" w:eastAsia="宋体" w:cs="宋体"/>
          <w:sz w:val="24"/>
          <w:szCs w:val="24"/>
          <w:lang w:eastAsia="zh-CN"/>
        </w:rPr>
        <w:t>投标人</w:t>
      </w:r>
      <w:r>
        <w:rPr>
          <w:rFonts w:hint="eastAsia" w:ascii="宋体" w:hAnsi="宋体" w:eastAsia="宋体" w:cs="宋体"/>
          <w:sz w:val="24"/>
          <w:szCs w:val="24"/>
        </w:rPr>
        <w:t>中的中标方称为</w:t>
      </w:r>
      <w:r>
        <w:rPr>
          <w:rFonts w:hint="eastAsia" w:ascii="宋体" w:hAnsi="宋体" w:eastAsia="宋体" w:cs="宋体"/>
          <w:sz w:val="24"/>
          <w:szCs w:val="24"/>
          <w:lang w:eastAsia="zh-CN"/>
        </w:rPr>
        <w:t>投标方</w:t>
      </w:r>
      <w:r>
        <w:rPr>
          <w:rFonts w:hint="eastAsia" w:ascii="宋体" w:hAnsi="宋体" w:eastAsia="宋体" w:cs="宋体"/>
          <w:color w:val="000000"/>
          <w:sz w:val="24"/>
          <w:szCs w:val="24"/>
        </w:rPr>
        <w:t>。</w:t>
      </w:r>
    </w:p>
    <w:p>
      <w:pPr>
        <w:rPr>
          <w:rFonts w:hint="eastAsia" w:ascii="宋体" w:hAnsi="宋体" w:eastAsia="宋体" w:cs="宋体"/>
        </w:rPr>
      </w:pPr>
    </w:p>
    <w:sectPr>
      <w:headerReference r:id="rId15" w:type="default"/>
      <w:footerReference r:id="rId16"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汉仪书宋二KW"/>
    <w:panose1 w:val="02010600030101010101"/>
    <w:charset w:val="52"/>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汉仪君黑KW 55J">
    <w:panose1 w:val="00020600040101010101"/>
    <w:charset w:val="86"/>
    <w:family w:val="auto"/>
    <w:pitch w:val="default"/>
    <w:sig w:usb0="A00002BF" w:usb1="0ACF7CFA" w:usb2="00000016" w:usb3="00000000" w:csb0="0004000F"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z&#10;SVjuCgEAAAUBAAAPAAAAAAAAAAEAIAAAACIAAABkcnMvZG93bnJldi54bWxQSwECFAAUAAAACACH&#10;TuJASbreYysCAABXBAAADgAAAAAAAAABACAAAABZAQAAZHJzL2Uyb0RvYy54bWxQSwUGAAAAAAYA&#10;BgBZAQAA9gU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0lY7goBAAAFAQAADwAAAAAAAAABACAAAAAiAAAAZHJzL2Rvd25yZXYueG1sUEsBAhQAFAAAAAgA&#10;h07iQCvt69YsAgAAVwQAAA4AAAAAAAAAAQAgAAAAWQEAAGRycy9lMm9Eb2MueG1sUEsFBgAAAAAG&#10;AAYAWQEAAPc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68"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">
              <v:fill on="f" focussize="0,0"/>
              <v:stroke on="f"/>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r>
      <w:rPr>
        <w:sz w:val="18"/>
      </w:rPr>
      <w:pict>
        <v:shape id="4151" o:spid="_x0000_s4097" o:spt="136" type="#_x0000_t136" style="position:absolute;left:0pt;margin-left:472.35pt;margin-top:376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52" o:spid="_x0000_s4098" o:spt="136" type="#_x0000_t136" style="position:absolute;left:0pt;margin-left:359.95pt;margin-top:488.45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53" o:spid="_x0000_s4099" o:spt="136" type="#_x0000_t136" style="position:absolute;left:0pt;margin-left:247.5pt;margin-top:600.9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54" o:spid="_x0000_s4100" o:spt="136" type="#_x0000_t136" style="position:absolute;left:0pt;margin-left:135.05pt;margin-top:713.3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55" o:spid="_x0000_s4101" o:spt="136" type="#_x0000_t136" style="position:absolute;left:0pt;margin-left:472.35pt;margin-top:16.7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56" o:spid="_x0000_s4102" o:spt="136" type="#_x0000_t136" style="position:absolute;left:0pt;margin-left:359.95pt;margin-top:129.1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57" o:spid="_x0000_s4103" o:spt="136" type="#_x0000_t136" style="position:absolute;left:0pt;margin-left:247.5pt;margin-top:241.55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58" o:spid="_x0000_s4104" o:spt="136" type="#_x0000_t136" style="position:absolute;left:0pt;margin-left:135.05pt;margin-top:354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59" o:spid="_x0000_s4105" o:spt="136" type="#_x0000_t136" style="position:absolute;left:0pt;margin-left:22.65pt;margin-top:466.4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60" o:spid="_x0000_s4106" o:spt="136" type="#_x0000_t136" style="position:absolute;left:0pt;margin-left:-89.8pt;margin-top:578.85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61" o:spid="_x0000_s4107" o:spt="136" type="#_x0000_t136" style="position:absolute;left:0pt;margin-left:247.5pt;margin-top:-117.8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62" o:spid="_x0000_s4108" o:spt="136" type="#_x0000_t136" style="position:absolute;left:0pt;margin-left:135.05pt;margin-top:-5.35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63" o:spid="_x0000_s4109" o:spt="136" type="#_x0000_t136" style="position:absolute;left:0pt;margin-left:22.65pt;margin-top:107.05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64" o:spid="_x0000_s4110" o:spt="136" type="#_x0000_t136" style="position:absolute;left:0pt;margin-left:-89.8pt;margin-top:219.5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mc:AlternateContent>
        <mc:Choice Requires="wps">
          <w:drawing>
            <wp:anchor distT="0" distB="0" distL="0" distR="0" simplePos="0" relativeHeight="251660288" behindDoc="0" locked="1" layoutInCell="1" allowOverlap="1">
              <wp:simplePos x="0" y="0"/>
              <wp:positionH relativeFrom="margin">
                <wp:align>left</wp:align>
              </wp:positionH>
              <wp:positionV relativeFrom="page">
                <wp:posOffset>180340</wp:posOffset>
              </wp:positionV>
              <wp:extent cx="5767070" cy="327660"/>
              <wp:effectExtent l="0" t="0" r="0" b="0"/>
              <wp:wrapNone/>
              <wp:docPr id="4165" name="Classification_Textbox" descr="Classification"/>
              <wp:cNvGraphicFramePr/>
              <a:graphic xmlns:a="http://schemas.openxmlformats.org/drawingml/2006/main">
                <a:graphicData uri="http://schemas.microsoft.com/office/word/2010/wordprocessingShape">
                  <wps:wsp>
                    <wps:cNvSpPr/>
                    <wps:spPr>
                      <a:xfrm>
                        <a:off x="0" y="0"/>
                        <a:ext cx="5767070" cy="327660"/>
                      </a:xfrm>
                      <a:prstGeom prst="rect">
                        <a:avLst/>
                      </a:prstGeom>
                      <a:ln>
                        <a:noFill/>
                      </a:ln>
                    </wps:spPr>
                    <wps:txbx>
                      <w:txbxContent>
                        <w:p>
                          <w:pPr>
                            <w:pStyle w:val="168"/>
                            <w:rPr>
                              <w:lang w:val="fr-CH"/>
                            </w:rPr>
                          </w:pPr>
                          <w:r>
                            <w:rPr>
                              <w:rStyle w:val="169"/>
                            </w:rPr>
                            <w:t xml:space="preserve"> </w:t>
                          </w:r>
                        </w:p>
                      </w:txbxContent>
                    </wps:txbx>
                    <wps:bodyPr vert="horz" wrap="none" lIns="0" tIns="0" rIns="0" bIns="0" anchor="t">
                      <a:spAutoFit/>
                    </wps:bodyPr>
                  </wps:wsp>
                </a:graphicData>
              </a:graphic>
            </wp:anchor>
          </w:drawing>
        </mc:Choice>
        <mc:Fallback>
          <w:pict>
            <v:rect id="Classification_Textbox" o:spid="_x0000_s1026" o:spt="1" alt="Classification" style="position:absolute;left:0pt;margin-top:14.2pt;height:25.8pt;width:454.1pt;mso-position-horizontal:left;mso-position-horizontal-relative:margin;mso-position-vertical-relative:page;mso-wrap-style:none;z-index:251660288;mso-width-relative:page;mso-height-relative:page;" filled="f" stroked="f" coordsize="21600,21600" o:gfxdata="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oOj7QsBAAAGAQAADwAAAAAAAAABACAAAAAiAAAAZHJz&#10;L2Rvd25yZXYueG1sUEsBAhQAFAAAAAgAh07iQJFi2YjRAQAAswMAAA4AAAAAAAAAAQAgAAAAWgEA&#10;AGRycy9lMm9Eb2MueG1sUEsFBgAAAAAGAAYAWQEAAJ0FAAAAAA==&#10;">
              <v:fill on="f" focussize="0,0"/>
              <v:stroke on="f"/>
              <v:imagedata o:title=""/>
              <o:lock v:ext="edit" aspectratio="f"/>
              <v:textbox inset="0mm,0mm,0mm,0mm" style="mso-fit-shape-to-text:t;">
                <w:txbxContent>
                  <w:p>
                    <w:pPr>
                      <w:pStyle w:val="168"/>
                      <w:rPr>
                        <w:lang w:val="fr-CH"/>
                      </w:rPr>
                    </w:pPr>
                    <w:r>
                      <w:rPr>
                        <w:rStyle w:val="169"/>
                      </w:rPr>
                      <w:t xml:space="preserve"> </w:t>
                    </w:r>
                  </w:p>
                </w:txbxContent>
              </v:textbox>
              <w10:anchorlock/>
            </v:rect>
          </w:pict>
        </mc:Fallback>
      </mc:AlternateContent>
    </w:r>
    <w:r>
      <mc:AlternateContent>
        <mc:Choice Requires="wps">
          <w:drawing>
            <wp:anchor distT="0" distB="0" distL="0" distR="0" simplePos="0" relativeHeight="251660288" behindDoc="0" locked="1" layoutInCell="1" allowOverlap="1">
              <wp:simplePos x="0" y="0"/>
              <wp:positionH relativeFrom="margin">
                <wp:align>left</wp:align>
              </wp:positionH>
              <wp:positionV relativeFrom="page">
                <wp:posOffset>180340</wp:posOffset>
              </wp:positionV>
              <wp:extent cx="5767070" cy="327660"/>
              <wp:effectExtent l="0" t="0" r="0" b="0"/>
              <wp:wrapNone/>
              <wp:docPr id="4166" name="Classification_Textbox" descr="Classification"/>
              <wp:cNvGraphicFramePr/>
              <a:graphic xmlns:a="http://schemas.openxmlformats.org/drawingml/2006/main">
                <a:graphicData uri="http://schemas.microsoft.com/office/word/2010/wordprocessingShape">
                  <wps:wsp>
                    <wps:cNvSpPr/>
                    <wps:spPr>
                      <a:xfrm>
                        <a:off x="0" y="0"/>
                        <a:ext cx="5767070" cy="327660"/>
                      </a:xfrm>
                      <a:prstGeom prst="rect">
                        <a:avLst/>
                      </a:prstGeom>
                      <a:ln>
                        <a:noFill/>
                      </a:ln>
                    </wps:spPr>
                    <wps:txbx>
                      <w:txbxContent>
                        <w:p>
                          <w:pPr>
                            <w:pStyle w:val="168"/>
                            <w:rPr>
                              <w:lang w:val="fr-CH"/>
                            </w:rPr>
                          </w:pPr>
                          <w:r>
                            <w:rPr>
                              <w:rStyle w:val="169"/>
                            </w:rPr>
                            <w:t xml:space="preserve"> </w:t>
                          </w:r>
                        </w:p>
                      </w:txbxContent>
                    </wps:txbx>
                    <wps:bodyPr vert="horz" wrap="none" lIns="0" tIns="0" rIns="0" bIns="0" anchor="t">
                      <a:spAutoFit/>
                    </wps:bodyPr>
                  </wps:wsp>
                </a:graphicData>
              </a:graphic>
            </wp:anchor>
          </w:drawing>
        </mc:Choice>
        <mc:Fallback>
          <w:pict>
            <v:rect id="Classification_Textbox" o:spid="_x0000_s1026" o:spt="1" alt="Classification" style="position:absolute;left:0pt;margin-top:14.2pt;height:25.8pt;width:454.1pt;mso-position-horizontal:left;mso-position-horizontal-relative:margin;mso-position-vertical-relative:page;mso-wrap-style:none;z-index:251660288;mso-width-relative:page;mso-height-relative:page;" filled="f" stroked="f" coordsize="21600,21600" o:gfxdata="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ag6PtCwEAAAYBAAAPAAAAAAAAAAEAIAAAACIAAABkcnMv&#10;ZG93bnJldi54bWxQSwECFAAUAAAACACHTuJA1ly1pdABAACzAwAADgAAAAAAAAABACAAAABaAQAA&#10;ZHJzL2Uyb0RvYy54bWxQSwUGAAAAAAYABgBZAQAAnAUAAAAA&#10;">
              <v:fill on="f" focussize="0,0"/>
              <v:stroke on="f"/>
              <v:imagedata o:title=""/>
              <o:lock v:ext="edit" aspectratio="f"/>
              <v:textbox inset="0mm,0mm,0mm,0mm" style="mso-fit-shape-to-text:t;">
                <w:txbxContent>
                  <w:p>
                    <w:pPr>
                      <w:pStyle w:val="168"/>
                      <w:rPr>
                        <w:lang w:val="fr-CH"/>
                      </w:rPr>
                    </w:pPr>
                    <w:r>
                      <w:rPr>
                        <w:rStyle w:val="169"/>
                      </w:rPr>
                      <w:t xml:space="preserve"> </w:t>
                    </w:r>
                  </w:p>
                </w:txbxContent>
              </v:textbox>
              <w10:anchorlock/>
            </v:rect>
          </w:pict>
        </mc:Fallback>
      </mc:AlternateContent>
    </w:r>
    <w:r>
      <mc:AlternateContent>
        <mc:Choice Requires="wps">
          <w:drawing>
            <wp:anchor distT="0" distB="0" distL="0" distR="0" simplePos="0" relativeHeight="251660288" behindDoc="0" locked="1" layoutInCell="1" allowOverlap="1">
              <wp:simplePos x="0" y="0"/>
              <wp:positionH relativeFrom="margin">
                <wp:align>left</wp:align>
              </wp:positionH>
              <wp:positionV relativeFrom="page">
                <wp:posOffset>180340</wp:posOffset>
              </wp:positionV>
              <wp:extent cx="5767070" cy="327660"/>
              <wp:effectExtent l="0" t="0" r="0" b="0"/>
              <wp:wrapNone/>
              <wp:docPr id="4167" name="Classification_Textbox" descr="Classification"/>
              <wp:cNvGraphicFramePr/>
              <a:graphic xmlns:a="http://schemas.openxmlformats.org/drawingml/2006/main">
                <a:graphicData uri="http://schemas.microsoft.com/office/word/2010/wordprocessingShape">
                  <wps:wsp>
                    <wps:cNvSpPr/>
                    <wps:spPr>
                      <a:xfrm>
                        <a:off x="0" y="0"/>
                        <a:ext cx="5767070" cy="327660"/>
                      </a:xfrm>
                      <a:prstGeom prst="rect">
                        <a:avLst/>
                      </a:prstGeom>
                      <a:ln>
                        <a:noFill/>
                      </a:ln>
                    </wps:spPr>
                    <wps:txbx>
                      <w:txbxContent>
                        <w:p>
                          <w:pPr>
                            <w:pStyle w:val="168"/>
                            <w:rPr>
                              <w:lang w:val="fr-CH"/>
                            </w:rPr>
                          </w:pPr>
                          <w:r>
                            <w:rPr>
                              <w:rStyle w:val="169"/>
                            </w:rPr>
                            <w:t xml:space="preserve"> </w:t>
                          </w:r>
                        </w:p>
                      </w:txbxContent>
                    </wps:txbx>
                    <wps:bodyPr vert="horz" wrap="none" lIns="0" tIns="0" rIns="0" bIns="0" anchor="t">
                      <a:spAutoFit/>
                    </wps:bodyPr>
                  </wps:wsp>
                </a:graphicData>
              </a:graphic>
            </wp:anchor>
          </w:drawing>
        </mc:Choice>
        <mc:Fallback>
          <w:pict>
            <v:rect id="Classification_Textbox" o:spid="_x0000_s1026" o:spt="1" alt="Classification" style="position:absolute;left:0pt;margin-top:14.2pt;height:25.8pt;width:454.1pt;mso-position-horizontal:left;mso-position-horizontal-relative:margin;mso-position-vertical-relative:page;mso-wrap-style:none;z-index:251660288;mso-width-relative:page;mso-height-relative:page;" filled="f" stroked="f" coordsize="21600,21600" o:gfxdata="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ag6PtCwEAAAYBAAAPAAAAAAAAAAEAIAAAACIAAABkcnMv&#10;ZG93bnJldi54bWxQSwECFAAUAAAACACHTuJA1LRBCNABAACzAwAADgAAAAAAAAABACAAAABaAQAA&#10;ZHJzL2Uyb0RvYy54bWxQSwUGAAAAAAYABgBZAQAAnAUAAAAA&#10;">
              <v:fill on="f" focussize="0,0"/>
              <v:stroke on="f"/>
              <v:imagedata o:title=""/>
              <o:lock v:ext="edit" aspectratio="f"/>
              <v:textbox inset="0mm,0mm,0mm,0mm" style="mso-fit-shape-to-text:t;">
                <w:txbxContent>
                  <w:p>
                    <w:pPr>
                      <w:pStyle w:val="168"/>
                      <w:rPr>
                        <w:lang w:val="fr-CH"/>
                      </w:rPr>
                    </w:pPr>
                    <w:r>
                      <w:rPr>
                        <w:rStyle w:val="169"/>
                      </w:rPr>
                      <w:t xml:space="preserve"> </w:t>
                    </w:r>
                  </w:p>
                </w:txbxContent>
              </v:textbox>
              <w10:anchorlock/>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EBC964"/>
    <w:multiLevelType w:val="singleLevel"/>
    <w:tmpl w:val="ADEBC964"/>
    <w:lvl w:ilvl="0" w:tentative="0">
      <w:start w:val="1"/>
      <w:numFmt w:val="decimal"/>
      <w:suff w:val="nothing"/>
      <w:lvlText w:val="（%1）"/>
      <w:lvlJc w:val="left"/>
    </w:lvl>
  </w:abstractNum>
  <w:abstractNum w:abstractNumId="1">
    <w:nsid w:val="AFD326CF"/>
    <w:multiLevelType w:val="singleLevel"/>
    <w:tmpl w:val="AFD326CF"/>
    <w:lvl w:ilvl="0" w:tentative="0">
      <w:start w:val="1"/>
      <w:numFmt w:val="decimal"/>
      <w:lvlText w:val="%1."/>
      <w:lvlJc w:val="left"/>
      <w:pPr>
        <w:tabs>
          <w:tab w:val="left" w:pos="312"/>
        </w:tabs>
      </w:p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7"/>
  </w:num>
  <w:num w:numId="2">
    <w:abstractNumId w:val="4"/>
  </w:num>
  <w:num w:numId="3">
    <w:abstractNumId w:val="3"/>
  </w:num>
  <w:num w:numId="4">
    <w:abstractNumId w:val="6"/>
  </w:num>
  <w:num w:numId="5">
    <w:abstractNumId w:val="2"/>
  </w:num>
  <w:num w:numId="6">
    <w:abstractNumId w:val="5"/>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172A27"/>
    <w:rsid w:val="00024754"/>
    <w:rsid w:val="0008617A"/>
    <w:rsid w:val="00131D97"/>
    <w:rsid w:val="00150060"/>
    <w:rsid w:val="002775B3"/>
    <w:rsid w:val="002C6E72"/>
    <w:rsid w:val="003134B3"/>
    <w:rsid w:val="00322008"/>
    <w:rsid w:val="00346541"/>
    <w:rsid w:val="00390ED1"/>
    <w:rsid w:val="004064A0"/>
    <w:rsid w:val="004D0906"/>
    <w:rsid w:val="00594E02"/>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D3F95"/>
    <w:rsid w:val="00AE7AA6"/>
    <w:rsid w:val="00B25EF2"/>
    <w:rsid w:val="00B941C5"/>
    <w:rsid w:val="00BA7190"/>
    <w:rsid w:val="00CC1EFC"/>
    <w:rsid w:val="00E5434E"/>
    <w:rsid w:val="00E86C65"/>
    <w:rsid w:val="00EA37A5"/>
    <w:rsid w:val="00F204CA"/>
    <w:rsid w:val="00F47F06"/>
    <w:rsid w:val="00F702D9"/>
    <w:rsid w:val="00F71910"/>
    <w:rsid w:val="00F94AA9"/>
    <w:rsid w:val="034D0622"/>
    <w:rsid w:val="047E2524"/>
    <w:rsid w:val="07E57C0D"/>
    <w:rsid w:val="084C4835"/>
    <w:rsid w:val="099C5159"/>
    <w:rsid w:val="0A645BA0"/>
    <w:rsid w:val="0BA277E5"/>
    <w:rsid w:val="0CA11DC5"/>
    <w:rsid w:val="0D5316F3"/>
    <w:rsid w:val="0EFF37ED"/>
    <w:rsid w:val="10550F94"/>
    <w:rsid w:val="118B17C0"/>
    <w:rsid w:val="12C40716"/>
    <w:rsid w:val="14A15C19"/>
    <w:rsid w:val="17EC378B"/>
    <w:rsid w:val="18177A12"/>
    <w:rsid w:val="18655FBC"/>
    <w:rsid w:val="1B7317A7"/>
    <w:rsid w:val="1C8E05A4"/>
    <w:rsid w:val="20D81A27"/>
    <w:rsid w:val="29B761C5"/>
    <w:rsid w:val="2BC422C9"/>
    <w:rsid w:val="2E37312A"/>
    <w:rsid w:val="2EB771D0"/>
    <w:rsid w:val="30854364"/>
    <w:rsid w:val="325C7196"/>
    <w:rsid w:val="347E0C7B"/>
    <w:rsid w:val="34F7633C"/>
    <w:rsid w:val="373D4A62"/>
    <w:rsid w:val="39025D49"/>
    <w:rsid w:val="3BBD61DD"/>
    <w:rsid w:val="41D61E12"/>
    <w:rsid w:val="447B4D6D"/>
    <w:rsid w:val="44C41258"/>
    <w:rsid w:val="49F67AB6"/>
    <w:rsid w:val="4C3A530E"/>
    <w:rsid w:val="4DC087F9"/>
    <w:rsid w:val="519B637D"/>
    <w:rsid w:val="520D3BC4"/>
    <w:rsid w:val="575C5A2D"/>
    <w:rsid w:val="57900743"/>
    <w:rsid w:val="59240649"/>
    <w:rsid w:val="5DEC29F4"/>
    <w:rsid w:val="5F51FAE6"/>
    <w:rsid w:val="60AE53F2"/>
    <w:rsid w:val="60D74B40"/>
    <w:rsid w:val="60EE4022"/>
    <w:rsid w:val="636F4F70"/>
    <w:rsid w:val="64D3442A"/>
    <w:rsid w:val="65AD6236"/>
    <w:rsid w:val="664F40FD"/>
    <w:rsid w:val="68C62500"/>
    <w:rsid w:val="699A3928"/>
    <w:rsid w:val="6FFAB858"/>
    <w:rsid w:val="70221C74"/>
    <w:rsid w:val="720E4873"/>
    <w:rsid w:val="73E3796C"/>
    <w:rsid w:val="76C51268"/>
    <w:rsid w:val="77EF6C01"/>
    <w:rsid w:val="7D4635F6"/>
    <w:rsid w:val="7F211349"/>
    <w:rsid w:val="7FB32AE1"/>
    <w:rsid w:val="9FE68331"/>
    <w:rsid w:val="B9BE0F67"/>
    <w:rsid w:val="D8FF752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3">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2"/>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3"/>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2"/>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3"/>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6">
    <w:name w:val="HR正文表格"/>
    <w:basedOn w:val="1"/>
    <w:qFormat/>
    <w:uiPriority w:val="0"/>
    <w:pPr>
      <w:spacing w:beforeLines="25" w:afterLines="25" w:line="300" w:lineRule="auto"/>
    </w:pPr>
    <w:rPr>
      <w:szCs w:val="24"/>
    </w:rPr>
  </w:style>
  <w:style w:type="character" w:customStyle="1" w:styleId="167">
    <w:name w:val="font41"/>
    <w:basedOn w:val="34"/>
    <w:qFormat/>
    <w:uiPriority w:val="0"/>
    <w:rPr>
      <w:rFonts w:hint="eastAsia" w:ascii="宋体" w:hAnsi="宋体" w:eastAsia="宋体" w:cs="宋体"/>
      <w:color w:val="000000"/>
      <w:sz w:val="24"/>
      <w:szCs w:val="24"/>
      <w:u w:val="none"/>
      <w:vertAlign w:val="subscript"/>
    </w:rPr>
  </w:style>
  <w:style w:type="paragraph" w:styleId="168">
    <w:name w:val="No Spacing"/>
    <w:qFormat/>
    <w:uiPriority w:val="1"/>
    <w:rPr>
      <w:rFonts w:ascii="等线" w:hAnsi="等线" w:eastAsia="等线" w:cs="Times New Roman"/>
      <w:sz w:val="21"/>
      <w:szCs w:val="21"/>
      <w:lang w:val="en-US" w:eastAsia="zh-CN" w:bidi="ar-SA"/>
    </w:rPr>
  </w:style>
  <w:style w:type="character" w:customStyle="1" w:styleId="169">
    <w:name w:val="Classification"/>
    <w:qFormat/>
    <w:uiPriority w:val="99"/>
    <w:rPr>
      <w:rFonts w:ascii="Calibri" w:hAnsi="Calibri" w:eastAsia="宋体" w:cs="Cordia New"/>
      <w:b/>
      <w:bCs/>
      <w:caps/>
      <w:color w:val="000000"/>
      <w:spacing w:val="2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4097"/>
    <customShpInfo spid="_x0000_s4098"/>
    <customShpInfo spid="_x0000_s4099"/>
    <customShpInfo spid="_x0000_s4100"/>
    <customShpInfo spid="_x0000_s4101"/>
    <customShpInfo spid="_x0000_s4102"/>
    <customShpInfo spid="_x0000_s4103"/>
    <customShpInfo spid="_x0000_s4104"/>
    <customShpInfo spid="_x0000_s4105"/>
    <customShpInfo spid="_x0000_s4106"/>
    <customShpInfo spid="_x0000_s4107"/>
    <customShpInfo spid="_x0000_s4108"/>
    <customShpInfo spid="_x0000_s4109"/>
    <customShpInfo spid="_x0000_s411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55</Pages>
  <Words>7579</Words>
  <Characters>7839</Characters>
  <Lines>247</Lines>
  <Paragraphs>69</Paragraphs>
  <TotalTime>0</TotalTime>
  <ScaleCrop>false</ScaleCrop>
  <LinksUpToDate>false</LinksUpToDate>
  <CharactersWithSpaces>9313</CharactersWithSpaces>
  <Application>WPS Office WWO_dingtalk_20251229114113-512ad6072f</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2021-12-11T07:38:00Z</dcterms:created>
  <dc:creator>JonMMx 2000</dc:creator>
  <cp:lastModifiedBy>JonMMx 2000</cp:lastModifiedBy>
  <dcterms:modified xsi:type="dcterms:W3CDTF">2026-05-09T16:38:28Z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2052-11.8.2.10440</vt:lpwstr>
  </property>
  <property fmtid="{D5CDD505-2E9C-101B-9397-08002B2CF9AE}" pid="3" name="ICV">
    <vt:lpwstr>C4C1126D26134D509B663B7F9F1D0578_13</vt:lpwstr>
  </property>
  <property fmtid="{D5CDD505-2E9C-101B-9397-08002B2CF9AE}" pid="4" name="KSOTemplateDocerSaveRecord">
    <vt:lpwstr>eyJoZGlkIjoiN2ZiZjhjZjUxYjg2N2Y1ZjY0NTc5ZGMxYTcwNjRmNWYiLCJ1c2VySWQiOiIxNzY1OTg3MzI2In0=</vt:lpwstr>
  </property>
</Properties>
</file>