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sz w:val="44"/>
          <w:szCs w:val="48"/>
        </w:rPr>
      </w:pPr>
    </w:p>
    <w:p>
      <w:pPr>
        <w:jc w:val="center"/>
        <w:rPr>
          <w:rFonts w:ascii="宋体" w:hAnsi="宋体"/>
          <w:sz w:val="44"/>
          <w:szCs w:val="48"/>
        </w:rPr>
      </w:pPr>
    </w:p>
    <w:p>
      <w:pPr>
        <w:snapToGrid w:val="0"/>
        <w:jc w:val="center"/>
        <w:rPr>
          <w:rFonts w:ascii="宋体" w:hAnsi="宋体"/>
          <w:sz w:val="48"/>
          <w:szCs w:val="48"/>
        </w:rPr>
      </w:pPr>
      <w:r>
        <w:rPr>
          <w:rFonts w:hint="eastAsia" w:ascii="宋体" w:hAnsi="宋体"/>
          <w:sz w:val="48"/>
          <w:szCs w:val="48"/>
        </w:rPr>
        <w:t>中国重汽集团杭州发动机有限公司</w:t>
      </w:r>
    </w:p>
    <w:p>
      <w:pPr>
        <w:snapToGrid w:val="0"/>
        <w:jc w:val="center"/>
        <w:rPr>
          <w:rFonts w:ascii="宋体" w:hAnsi="宋体"/>
          <w:sz w:val="48"/>
          <w:szCs w:val="48"/>
        </w:rPr>
      </w:pPr>
      <w:r>
        <w:rPr>
          <w:rFonts w:hint="eastAsia" w:ascii="宋体" w:hAnsi="宋体"/>
          <w:sz w:val="48"/>
          <w:szCs w:val="48"/>
        </w:rPr>
        <w:t>2026年环境监测项目</w:t>
      </w:r>
    </w:p>
    <w:p>
      <w:pPr>
        <w:snapToGrid w:val="0"/>
        <w:jc w:val="center"/>
        <w:rPr>
          <w:rFonts w:ascii="宋体" w:hAnsi="宋体"/>
          <w:sz w:val="48"/>
          <w:szCs w:val="48"/>
        </w:rPr>
      </w:pPr>
    </w:p>
    <w:p>
      <w:pPr>
        <w:snapToGrid w:val="0"/>
        <w:jc w:val="center"/>
        <w:rPr>
          <w:rFonts w:ascii="宋体" w:hAnsi="宋体"/>
          <w:sz w:val="48"/>
          <w:szCs w:val="48"/>
        </w:rPr>
      </w:pPr>
    </w:p>
    <w:p>
      <w:pPr>
        <w:snapToGrid w:val="0"/>
        <w:jc w:val="center"/>
        <w:rPr>
          <w:rFonts w:ascii="宋体" w:hAnsi="宋体"/>
          <w:sz w:val="48"/>
          <w:szCs w:val="48"/>
        </w:rPr>
      </w:pPr>
    </w:p>
    <w:p>
      <w:pPr>
        <w:snapToGrid w:val="0"/>
        <w:jc w:val="center"/>
        <w:rPr>
          <w:rFonts w:ascii="黑体" w:hAnsi="宋体" w:eastAsia="黑体"/>
          <w:sz w:val="56"/>
          <w:szCs w:val="84"/>
        </w:rPr>
      </w:pPr>
      <w:r>
        <w:rPr>
          <w:rFonts w:hint="eastAsia" w:ascii="黑体" w:hAnsi="宋体" w:eastAsia="黑体"/>
          <w:sz w:val="56"/>
          <w:szCs w:val="84"/>
        </w:rPr>
        <w:t>招</w:t>
      </w:r>
    </w:p>
    <w:p>
      <w:pPr>
        <w:snapToGrid w:val="0"/>
        <w:jc w:val="center"/>
        <w:rPr>
          <w:rFonts w:ascii="黑体" w:hAnsi="宋体" w:eastAsia="黑体"/>
          <w:sz w:val="32"/>
          <w:szCs w:val="40"/>
        </w:rPr>
      </w:pPr>
    </w:p>
    <w:p>
      <w:pPr>
        <w:snapToGrid w:val="0"/>
        <w:jc w:val="center"/>
        <w:rPr>
          <w:rFonts w:ascii="黑体" w:hAnsi="宋体" w:eastAsia="黑体"/>
          <w:sz w:val="56"/>
          <w:szCs w:val="84"/>
        </w:rPr>
      </w:pPr>
      <w:r>
        <w:rPr>
          <w:rFonts w:hint="eastAsia" w:ascii="黑体" w:hAnsi="宋体" w:eastAsia="黑体"/>
          <w:sz w:val="56"/>
          <w:szCs w:val="84"/>
        </w:rPr>
        <w:t>标</w:t>
      </w:r>
    </w:p>
    <w:p>
      <w:pPr>
        <w:snapToGrid w:val="0"/>
        <w:jc w:val="center"/>
        <w:rPr>
          <w:rFonts w:ascii="黑体" w:hAnsi="宋体" w:eastAsia="黑体"/>
          <w:sz w:val="32"/>
          <w:szCs w:val="40"/>
        </w:rPr>
      </w:pPr>
    </w:p>
    <w:p>
      <w:pPr>
        <w:snapToGrid w:val="0"/>
        <w:jc w:val="center"/>
        <w:rPr>
          <w:rFonts w:ascii="宋体" w:hAnsi="宋体"/>
          <w:sz w:val="52"/>
          <w:szCs w:val="72"/>
        </w:rPr>
      </w:pPr>
      <w:r>
        <w:rPr>
          <w:rFonts w:hint="eastAsia" w:ascii="黑体" w:hAnsi="宋体" w:eastAsia="黑体"/>
          <w:sz w:val="56"/>
          <w:szCs w:val="84"/>
        </w:rPr>
        <w:t>书</w:t>
      </w:r>
    </w:p>
    <w:p>
      <w:pPr>
        <w:jc w:val="center"/>
        <w:rPr>
          <w:rFonts w:ascii="宋体" w:hAnsi="宋体"/>
          <w:sz w:val="28"/>
          <w:szCs w:val="28"/>
        </w:rPr>
      </w:pPr>
    </w:p>
    <w:p>
      <w:pPr>
        <w:jc w:val="left"/>
        <w:rPr>
          <w:rFonts w:ascii="华文仿宋" w:hAnsi="华文仿宋" w:eastAsia="华文仿宋"/>
          <w:sz w:val="32"/>
          <w:szCs w:val="28"/>
        </w:rPr>
      </w:pPr>
    </w:p>
    <w:p>
      <w:pPr>
        <w:jc w:val="left"/>
        <w:rPr>
          <w:rFonts w:ascii="华文仿宋" w:hAnsi="华文仿宋" w:eastAsia="华文仿宋"/>
          <w:sz w:val="32"/>
          <w:szCs w:val="28"/>
        </w:rPr>
      </w:pPr>
    </w:p>
    <w:p>
      <w:pPr>
        <w:jc w:val="left"/>
        <w:rPr>
          <w:rFonts w:ascii="华文仿宋" w:hAnsi="华文仿宋" w:eastAsia="华文仿宋"/>
          <w:sz w:val="32"/>
          <w:szCs w:val="28"/>
        </w:rPr>
      </w:pPr>
    </w:p>
    <w:p>
      <w:pPr>
        <w:jc w:val="left"/>
        <w:rPr>
          <w:rFonts w:ascii="华文仿宋" w:hAnsi="华文仿宋" w:eastAsia="华文仿宋"/>
          <w:sz w:val="32"/>
          <w:szCs w:val="28"/>
        </w:rPr>
      </w:pPr>
    </w:p>
    <w:p>
      <w:pPr>
        <w:jc w:val="left"/>
        <w:rPr>
          <w:rFonts w:ascii="宋体" w:hAnsi="宋体"/>
          <w:sz w:val="28"/>
          <w:szCs w:val="28"/>
        </w:rPr>
      </w:pPr>
      <w:r>
        <w:rPr>
          <w:rFonts w:hint="eastAsia" w:ascii="宋体" w:hAnsi="宋体"/>
          <w:sz w:val="28"/>
          <w:szCs w:val="28"/>
        </w:rPr>
        <w:t xml:space="preserve">       </w:t>
      </w:r>
    </w:p>
    <w:p>
      <w:pPr>
        <w:jc w:val="center"/>
        <w:rPr>
          <w:rFonts w:ascii="宋体" w:hAnsi="宋体"/>
          <w:sz w:val="28"/>
          <w:szCs w:val="28"/>
        </w:rPr>
      </w:pPr>
    </w:p>
    <w:p>
      <w:pPr>
        <w:pStyle w:val="2"/>
        <w:rPr>
          <w:rFonts w:ascii="宋体" w:hAnsi="宋体"/>
          <w:sz w:val="28"/>
          <w:szCs w:val="28"/>
        </w:rPr>
      </w:pPr>
    </w:p>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r>
        <w:rPr>
          <w:rFonts w:hint="eastAsia" w:ascii="宋体" w:hAnsi="宋体"/>
          <w:sz w:val="28"/>
          <w:szCs w:val="28"/>
        </w:rPr>
        <w:t>招 标 单 位：中国重汽集团杭州发动机有限公司</w:t>
      </w:r>
    </w:p>
    <w:p>
      <w:pPr>
        <w:spacing w:line="480" w:lineRule="auto"/>
        <w:jc w:val="center"/>
        <w:rPr>
          <w:rFonts w:ascii="宋体" w:hAnsi="宋体"/>
          <w:b/>
          <w:bCs/>
          <w:sz w:val="52"/>
          <w:szCs w:val="52"/>
        </w:rPr>
      </w:pPr>
      <w:r>
        <w:rPr>
          <w:rFonts w:ascii="宋体" w:hAnsi="宋体"/>
          <w:sz w:val="28"/>
          <w:szCs w:val="28"/>
          <w:u w:val="single"/>
        </w:rPr>
        <w:t>202</w:t>
      </w:r>
      <w:r>
        <w:rPr>
          <w:rFonts w:hint="eastAsia" w:ascii="宋体" w:hAnsi="宋体"/>
          <w:sz w:val="28"/>
          <w:szCs w:val="28"/>
          <w:u w:val="single"/>
        </w:rPr>
        <w:t>5</w:t>
      </w:r>
      <w:r>
        <w:rPr>
          <w:rFonts w:hint="eastAsia" w:ascii="宋体" w:hAnsi="宋体"/>
          <w:sz w:val="28"/>
          <w:szCs w:val="28"/>
        </w:rPr>
        <w:t>年</w:t>
      </w:r>
      <w:r>
        <w:rPr>
          <w:rFonts w:hint="eastAsia" w:ascii="宋体" w:hAnsi="宋体"/>
          <w:sz w:val="28"/>
          <w:szCs w:val="28"/>
          <w:u w:val="single"/>
        </w:rPr>
        <w:t>1</w:t>
      </w:r>
      <w:r>
        <w:rPr>
          <w:rFonts w:hint="eastAsia" w:ascii="宋体" w:hAnsi="宋体"/>
          <w:sz w:val="28"/>
          <w:szCs w:val="28"/>
          <w:u w:val="single"/>
          <w:lang w:val="en-US" w:eastAsia="zh-CN"/>
        </w:rPr>
        <w:t>1</w:t>
      </w:r>
      <w:r>
        <w:rPr>
          <w:rFonts w:hint="eastAsia" w:ascii="宋体" w:hAnsi="宋体"/>
          <w:sz w:val="28"/>
          <w:szCs w:val="28"/>
        </w:rPr>
        <w:t>月</w:t>
      </w:r>
      <w:r>
        <w:rPr>
          <w:rFonts w:ascii="黑体" w:eastAsia="黑体"/>
          <w:b/>
          <w:bCs/>
          <w:sz w:val="36"/>
          <w:szCs w:val="36"/>
        </w:rPr>
        <w:br w:type="page"/>
      </w:r>
      <w:r>
        <w:rPr>
          <w:rFonts w:ascii="宋体" w:hAnsi="宋体"/>
          <w:b/>
          <w:bCs/>
          <w:sz w:val="52"/>
          <w:szCs w:val="52"/>
        </w:rPr>
        <w:t>目   录</w:t>
      </w:r>
    </w:p>
    <w:p/>
    <w:p>
      <w:pPr>
        <w:pStyle w:val="11"/>
        <w:spacing w:line="360" w:lineRule="auto"/>
        <w:jc w:val="center"/>
        <w:rPr>
          <w:rFonts w:hAnsi="宋体"/>
          <w:b/>
          <w:bCs/>
          <w:sz w:val="24"/>
        </w:rPr>
      </w:pPr>
      <w:r>
        <w:rPr>
          <w:rFonts w:hAnsi="宋体"/>
          <w:b/>
          <w:bCs/>
          <w:sz w:val="24"/>
        </w:rPr>
        <w:tab/>
      </w:r>
    </w:p>
    <w:p>
      <w:pPr>
        <w:pStyle w:val="15"/>
        <w:tabs>
          <w:tab w:val="right" w:leader="dot" w:pos="9071"/>
          <w:tab w:val="clear" w:pos="8729"/>
        </w:tabs>
        <w:rPr>
          <w:sz w:val="32"/>
          <w:szCs w:val="32"/>
        </w:rPr>
      </w:pPr>
      <w:r>
        <w:rPr>
          <w:b w:val="0"/>
          <w:bCs/>
          <w:sz w:val="32"/>
          <w:szCs w:val="32"/>
        </w:rPr>
        <w:fldChar w:fldCharType="begin"/>
      </w:r>
      <w:r>
        <w:rPr>
          <w:b w:val="0"/>
          <w:bCs/>
          <w:sz w:val="32"/>
          <w:szCs w:val="32"/>
        </w:rPr>
        <w:instrText xml:space="preserve">TOC \o "1-1" \h \u </w:instrText>
      </w:r>
      <w:r>
        <w:rPr>
          <w:b w:val="0"/>
          <w:bCs/>
          <w:sz w:val="32"/>
          <w:szCs w:val="32"/>
        </w:rPr>
        <w:fldChar w:fldCharType="separate"/>
      </w:r>
      <w:r>
        <w:fldChar w:fldCharType="begin"/>
      </w:r>
      <w:r>
        <w:instrText xml:space="preserve"> HYPERLINK \l "_Toc8339" </w:instrText>
      </w:r>
      <w:r>
        <w:fldChar w:fldCharType="separate"/>
      </w:r>
      <w:r>
        <w:rPr>
          <w:rFonts w:hint="eastAsia" w:ascii="黑体" w:eastAsia="黑体"/>
          <w:bCs/>
          <w:sz w:val="32"/>
          <w:szCs w:val="32"/>
        </w:rPr>
        <w:t>第一章  招标公告</w:t>
      </w:r>
      <w:r>
        <w:rPr>
          <w:sz w:val="32"/>
          <w:szCs w:val="32"/>
        </w:rPr>
        <w:tab/>
      </w:r>
      <w:r>
        <w:rPr>
          <w:sz w:val="32"/>
          <w:szCs w:val="32"/>
        </w:rPr>
        <w:fldChar w:fldCharType="begin"/>
      </w:r>
      <w:r>
        <w:rPr>
          <w:sz w:val="32"/>
          <w:szCs w:val="32"/>
        </w:rPr>
        <w:instrText xml:space="preserve"> PAGEREF _Toc8339 \h </w:instrText>
      </w:r>
      <w:r>
        <w:rPr>
          <w:sz w:val="32"/>
          <w:szCs w:val="32"/>
        </w:rPr>
        <w:fldChar w:fldCharType="separate"/>
      </w:r>
      <w:r>
        <w:rPr>
          <w:sz w:val="32"/>
          <w:szCs w:val="32"/>
        </w:rPr>
        <w:t>3</w:t>
      </w:r>
      <w:r>
        <w:rPr>
          <w:sz w:val="32"/>
          <w:szCs w:val="32"/>
        </w:rPr>
        <w:fldChar w:fldCharType="end"/>
      </w:r>
      <w:r>
        <w:rPr>
          <w:sz w:val="32"/>
          <w:szCs w:val="32"/>
        </w:rPr>
        <w:fldChar w:fldCharType="end"/>
      </w:r>
    </w:p>
    <w:p>
      <w:pPr>
        <w:pStyle w:val="15"/>
        <w:tabs>
          <w:tab w:val="right" w:leader="dot" w:pos="9071"/>
          <w:tab w:val="clear" w:pos="8729"/>
        </w:tabs>
        <w:rPr>
          <w:sz w:val="32"/>
          <w:szCs w:val="32"/>
        </w:rPr>
      </w:pPr>
      <w:r>
        <w:fldChar w:fldCharType="begin"/>
      </w:r>
      <w:r>
        <w:instrText xml:space="preserve"> HYPERLINK \l "_Toc20620" </w:instrText>
      </w:r>
      <w:r>
        <w:fldChar w:fldCharType="separate"/>
      </w:r>
      <w:r>
        <w:rPr>
          <w:rFonts w:hint="eastAsia" w:ascii="黑体" w:hAnsi="Courier New" w:eastAsia="黑体"/>
          <w:bCs/>
          <w:sz w:val="32"/>
          <w:szCs w:val="32"/>
        </w:rPr>
        <w:t>第二章  投标文件编制</w:t>
      </w:r>
      <w:r>
        <w:rPr>
          <w:sz w:val="32"/>
          <w:szCs w:val="32"/>
        </w:rPr>
        <w:tab/>
      </w:r>
      <w:r>
        <w:rPr>
          <w:sz w:val="32"/>
          <w:szCs w:val="32"/>
        </w:rPr>
        <w:fldChar w:fldCharType="begin"/>
      </w:r>
      <w:r>
        <w:rPr>
          <w:sz w:val="32"/>
          <w:szCs w:val="32"/>
        </w:rPr>
        <w:instrText xml:space="preserve"> PAGEREF _Toc20620 \h </w:instrText>
      </w:r>
      <w:r>
        <w:rPr>
          <w:sz w:val="32"/>
          <w:szCs w:val="32"/>
        </w:rPr>
        <w:fldChar w:fldCharType="separate"/>
      </w:r>
      <w:r>
        <w:rPr>
          <w:sz w:val="32"/>
          <w:szCs w:val="32"/>
        </w:rPr>
        <w:t>11</w:t>
      </w:r>
      <w:r>
        <w:rPr>
          <w:sz w:val="32"/>
          <w:szCs w:val="32"/>
        </w:rPr>
        <w:fldChar w:fldCharType="end"/>
      </w:r>
      <w:r>
        <w:rPr>
          <w:sz w:val="32"/>
          <w:szCs w:val="32"/>
        </w:rPr>
        <w:fldChar w:fldCharType="end"/>
      </w:r>
    </w:p>
    <w:p>
      <w:pPr>
        <w:pStyle w:val="15"/>
        <w:tabs>
          <w:tab w:val="right" w:leader="dot" w:pos="9071"/>
          <w:tab w:val="clear" w:pos="8729"/>
        </w:tabs>
        <w:rPr>
          <w:sz w:val="32"/>
          <w:szCs w:val="32"/>
        </w:rPr>
      </w:pPr>
      <w:r>
        <w:fldChar w:fldCharType="begin"/>
      </w:r>
      <w:r>
        <w:instrText xml:space="preserve"> HYPERLINK \l "_Toc424" </w:instrText>
      </w:r>
      <w:r>
        <w:fldChar w:fldCharType="separate"/>
      </w:r>
      <w:r>
        <w:rPr>
          <w:rFonts w:hint="eastAsia" w:ascii="黑体" w:eastAsia="黑体"/>
          <w:bCs/>
          <w:sz w:val="32"/>
          <w:szCs w:val="32"/>
        </w:rPr>
        <w:t xml:space="preserve">第三章 </w:t>
      </w:r>
      <w:r>
        <w:rPr>
          <w:rFonts w:ascii="黑体" w:eastAsia="黑体"/>
          <w:bCs/>
          <w:sz w:val="32"/>
          <w:szCs w:val="32"/>
        </w:rPr>
        <w:t>技术</w:t>
      </w:r>
      <w:r>
        <w:rPr>
          <w:rFonts w:hint="eastAsia" w:ascii="黑体" w:eastAsia="黑体"/>
          <w:bCs/>
          <w:sz w:val="32"/>
          <w:szCs w:val="32"/>
        </w:rPr>
        <w:t>要求</w:t>
      </w:r>
      <w:r>
        <w:rPr>
          <w:sz w:val="32"/>
          <w:szCs w:val="32"/>
        </w:rPr>
        <w:tab/>
      </w:r>
      <w:r>
        <w:rPr>
          <w:sz w:val="32"/>
          <w:szCs w:val="32"/>
        </w:rPr>
        <w:fldChar w:fldCharType="begin"/>
      </w:r>
      <w:r>
        <w:rPr>
          <w:sz w:val="32"/>
          <w:szCs w:val="32"/>
        </w:rPr>
        <w:instrText xml:space="preserve"> PAGEREF _Toc424 \h </w:instrText>
      </w:r>
      <w:r>
        <w:rPr>
          <w:sz w:val="32"/>
          <w:szCs w:val="32"/>
        </w:rPr>
        <w:fldChar w:fldCharType="separate"/>
      </w:r>
      <w:r>
        <w:rPr>
          <w:sz w:val="32"/>
          <w:szCs w:val="32"/>
        </w:rPr>
        <w:t>13</w:t>
      </w:r>
      <w:r>
        <w:rPr>
          <w:sz w:val="32"/>
          <w:szCs w:val="32"/>
        </w:rPr>
        <w:fldChar w:fldCharType="end"/>
      </w:r>
      <w:r>
        <w:rPr>
          <w:sz w:val="32"/>
          <w:szCs w:val="32"/>
        </w:rPr>
        <w:fldChar w:fldCharType="end"/>
      </w:r>
    </w:p>
    <w:p>
      <w:r>
        <w:rPr>
          <w:bCs/>
          <w:sz w:val="32"/>
          <w:szCs w:val="32"/>
        </w:rPr>
        <w:fldChar w:fldCharType="end"/>
      </w:r>
    </w:p>
    <w:p>
      <w:pPr>
        <w:pStyle w:val="11"/>
        <w:spacing w:line="360" w:lineRule="auto"/>
        <w:jc w:val="center"/>
        <w:outlineLvl w:val="0"/>
        <w:rPr>
          <w:rFonts w:ascii="黑体" w:eastAsia="黑体"/>
          <w:b/>
          <w:bCs/>
          <w:sz w:val="36"/>
          <w:szCs w:val="36"/>
        </w:rPr>
        <w:sectPr>
          <w:headerReference r:id="rId3" w:type="default"/>
          <w:footerReference r:id="rId4" w:type="default"/>
          <w:pgSz w:w="11907" w:h="16840"/>
          <w:pgMar w:top="1587" w:right="1418" w:bottom="1418" w:left="1418" w:header="724" w:footer="851" w:gutter="0"/>
          <w:pgNumType w:start="1"/>
          <w:cols w:space="720" w:num="1"/>
          <w:docGrid w:linePitch="290" w:charSpace="-3931"/>
        </w:sectPr>
      </w:pPr>
    </w:p>
    <w:p>
      <w:pPr>
        <w:pStyle w:val="11"/>
        <w:spacing w:line="360" w:lineRule="auto"/>
        <w:jc w:val="center"/>
        <w:outlineLvl w:val="0"/>
        <w:rPr>
          <w:rFonts w:ascii="黑体" w:eastAsia="黑体"/>
          <w:b/>
          <w:bCs/>
          <w:sz w:val="36"/>
          <w:szCs w:val="36"/>
        </w:rPr>
      </w:pPr>
      <w:bookmarkStart w:id="0" w:name="_Toc8339"/>
      <w:r>
        <w:rPr>
          <w:rFonts w:hint="eastAsia" w:ascii="黑体" w:eastAsia="黑体"/>
          <w:b/>
          <w:bCs/>
          <w:sz w:val="36"/>
          <w:szCs w:val="36"/>
        </w:rPr>
        <w:t>第一章  招标公告</w:t>
      </w:r>
      <w:bookmarkEnd w:id="0"/>
    </w:p>
    <w:p>
      <w:pPr>
        <w:pStyle w:val="11"/>
        <w:spacing w:line="360" w:lineRule="auto"/>
        <w:rPr>
          <w:rFonts w:ascii="黑体" w:eastAsia="黑体"/>
          <w:b/>
          <w:bCs/>
          <w:sz w:val="28"/>
        </w:rPr>
      </w:pPr>
      <w:r>
        <w:rPr>
          <w:rFonts w:hint="eastAsia" w:ascii="黑体" w:eastAsia="黑体"/>
          <w:b/>
          <w:bCs/>
          <w:sz w:val="28"/>
        </w:rPr>
        <w:t>一、项目名称</w:t>
      </w:r>
    </w:p>
    <w:p>
      <w:pPr>
        <w:pStyle w:val="11"/>
        <w:spacing w:line="360" w:lineRule="auto"/>
        <w:ind w:firstLine="420" w:firstLineChars="200"/>
        <w:rPr>
          <w:rFonts w:hAnsi="宋体"/>
          <w:u w:val="single"/>
        </w:rPr>
      </w:pPr>
      <w:r>
        <w:rPr>
          <w:rFonts w:hint="eastAsia"/>
        </w:rPr>
        <w:t>项目名称：</w:t>
      </w:r>
      <w:r>
        <w:rPr>
          <w:rFonts w:hint="eastAsia" w:hAnsi="宋体" w:cs="宋体"/>
          <w:color w:val="000000"/>
          <w:shd w:val="clear" w:color="auto" w:fill="FCFCFC"/>
        </w:rPr>
        <w:t>中国重汽杭发公司</w:t>
      </w:r>
      <w:r>
        <w:rPr>
          <w:rFonts w:hint="eastAsia" w:hAnsi="宋体"/>
          <w:u w:val="single"/>
        </w:rPr>
        <w:t>202</w:t>
      </w:r>
      <w:r>
        <w:rPr>
          <w:rFonts w:hAnsi="宋体"/>
          <w:u w:val="single"/>
        </w:rPr>
        <w:t>6</w:t>
      </w:r>
      <w:r>
        <w:rPr>
          <w:rFonts w:hint="eastAsia" w:hAnsi="宋体"/>
          <w:u w:val="single"/>
        </w:rPr>
        <w:t>年环境监测项目</w:t>
      </w:r>
    </w:p>
    <w:p>
      <w:pPr>
        <w:pStyle w:val="11"/>
        <w:spacing w:line="360" w:lineRule="auto"/>
        <w:ind w:firstLine="420" w:firstLineChars="200"/>
        <w:rPr>
          <w:rFonts w:hAnsi="宋体"/>
        </w:rPr>
      </w:pPr>
      <w:r>
        <w:rPr>
          <w:rFonts w:hint="eastAsia"/>
        </w:rPr>
        <w:t>项目编号：</w:t>
      </w:r>
      <w:r>
        <w:t>FSCZB2025100197</w:t>
      </w:r>
    </w:p>
    <w:p>
      <w:pPr>
        <w:pStyle w:val="11"/>
        <w:spacing w:line="360" w:lineRule="auto"/>
        <w:rPr>
          <w:rFonts w:ascii="黑体" w:eastAsia="黑体"/>
          <w:b/>
          <w:bCs/>
          <w:sz w:val="28"/>
        </w:rPr>
      </w:pPr>
      <w:r>
        <w:rPr>
          <w:rFonts w:hint="eastAsia" w:ascii="黑体" w:eastAsia="黑体"/>
          <w:b/>
          <w:bCs/>
          <w:sz w:val="28"/>
        </w:rPr>
        <w:t>二、招标内容及形式</w:t>
      </w:r>
    </w:p>
    <w:p>
      <w:pPr>
        <w:pStyle w:val="11"/>
        <w:spacing w:line="360" w:lineRule="auto"/>
        <w:ind w:firstLine="420" w:firstLineChars="200"/>
        <w:rPr>
          <w:rFonts w:hAnsi="宋体" w:cs="仿宋"/>
          <w:szCs w:val="22"/>
        </w:rPr>
      </w:pPr>
      <w:r>
        <w:rPr>
          <w:rFonts w:hint="eastAsia" w:hAnsi="宋体" w:cs="仿宋"/>
          <w:szCs w:val="22"/>
        </w:rPr>
        <w:t>中国重汽集团杭州发动机有限公司按照《HJ 819-2017排污单位自行监测技术指南》和《国家重点监控企业自行监测及信息公开办法》等要求，现对排放污染物（废水、废气、噪声等）组织环境检测项目招标，本次招标包含废气比对项目。</w:t>
      </w:r>
    </w:p>
    <w:p>
      <w:pPr>
        <w:pStyle w:val="11"/>
        <w:spacing w:line="360" w:lineRule="auto"/>
        <w:ind w:firstLine="420" w:firstLineChars="200"/>
        <w:rPr>
          <w:rFonts w:hint="eastAsia" w:ascii="仿宋_GB2312" w:hAnsi="仿宋_GB2312" w:cs="仿宋_GB2312"/>
          <w:bCs/>
          <w:color w:val="000000"/>
        </w:rPr>
      </w:pPr>
      <w:r>
        <w:rPr>
          <w:rFonts w:hint="eastAsia" w:hAnsi="宋体" w:cs="仿宋"/>
          <w:szCs w:val="22"/>
        </w:rPr>
        <w:t>我公司污染物排放现阶段执行标准及污染物检测方法以</w:t>
      </w:r>
      <w:r>
        <w:rPr>
          <w:rFonts w:hAnsi="宋体" w:cs="仿宋"/>
          <w:szCs w:val="22"/>
        </w:rPr>
        <w:t>环评报告和</w:t>
      </w:r>
      <w:r>
        <w:rPr>
          <w:rFonts w:hint="eastAsia" w:hAnsi="宋体" w:cs="仿宋"/>
          <w:szCs w:val="22"/>
        </w:rPr>
        <w:t>排污许可证为准（已公开），具体要求以政府环保政策或部门要求为准，参加该项目竞标的检测单位须在杭州市生态环境局萧山分局名录内。</w:t>
      </w:r>
      <w:r>
        <w:rPr>
          <w:rFonts w:hint="eastAsia" w:ascii="仿宋_GB2312" w:hAnsi="仿宋_GB2312" w:cs="仿宋_GB2312"/>
          <w:bCs/>
          <w:color w:val="000000"/>
        </w:rPr>
        <w:t>服务期限：2</w:t>
      </w:r>
      <w:r>
        <w:rPr>
          <w:rFonts w:ascii="仿宋_GB2312" w:hAnsi="仿宋_GB2312" w:cs="仿宋_GB2312"/>
          <w:bCs/>
          <w:color w:val="000000"/>
        </w:rPr>
        <w:t>026</w:t>
      </w:r>
      <w:r>
        <w:rPr>
          <w:rFonts w:hint="eastAsia" w:ascii="仿宋_GB2312" w:hAnsi="仿宋_GB2312" w:cs="仿宋_GB2312"/>
          <w:bCs/>
          <w:color w:val="000000"/>
        </w:rPr>
        <w:t>年1月1日-</w:t>
      </w:r>
      <w:r>
        <w:rPr>
          <w:rFonts w:ascii="仿宋_GB2312" w:hAnsi="仿宋_GB2312" w:cs="仿宋_GB2312"/>
          <w:bCs/>
          <w:color w:val="000000"/>
        </w:rPr>
        <w:t>2026</w:t>
      </w:r>
      <w:r>
        <w:rPr>
          <w:rFonts w:hint="eastAsia" w:ascii="仿宋_GB2312" w:hAnsi="仿宋_GB2312" w:cs="仿宋_GB2312"/>
          <w:bCs/>
          <w:color w:val="000000"/>
        </w:rPr>
        <w:t>年1</w:t>
      </w:r>
      <w:r>
        <w:rPr>
          <w:rFonts w:ascii="仿宋_GB2312" w:hAnsi="仿宋_GB2312" w:cs="仿宋_GB2312"/>
          <w:bCs/>
          <w:color w:val="000000"/>
        </w:rPr>
        <w:t>2</w:t>
      </w:r>
      <w:r>
        <w:rPr>
          <w:rFonts w:hint="eastAsia" w:ascii="仿宋_GB2312" w:hAnsi="仿宋_GB2312" w:cs="仿宋_GB2312"/>
          <w:bCs/>
          <w:color w:val="000000"/>
        </w:rPr>
        <w:t>月3</w:t>
      </w:r>
      <w:r>
        <w:rPr>
          <w:rFonts w:ascii="仿宋_GB2312" w:hAnsi="仿宋_GB2312" w:cs="仿宋_GB2312"/>
          <w:bCs/>
          <w:color w:val="000000"/>
        </w:rPr>
        <w:t>1</w:t>
      </w:r>
      <w:r>
        <w:rPr>
          <w:rFonts w:hint="eastAsia" w:ascii="仿宋_GB2312" w:hAnsi="仿宋_GB2312" w:cs="仿宋_GB2312"/>
          <w:bCs/>
          <w:color w:val="000000"/>
        </w:rPr>
        <w:t>日。</w:t>
      </w:r>
    </w:p>
    <w:p>
      <w:pPr>
        <w:pStyle w:val="11"/>
        <w:spacing w:line="360" w:lineRule="auto"/>
        <w:ind w:firstLine="420" w:firstLineChars="200"/>
        <w:rPr>
          <w:rFonts w:hint="default" w:ascii="仿宋_GB2312" w:hAnsi="仿宋_GB2312" w:eastAsia="宋体" w:cs="仿宋_GB2312"/>
          <w:bCs/>
          <w:color w:val="000000"/>
          <w:lang w:val="en-US" w:eastAsia="zh-CN"/>
        </w:rPr>
      </w:pPr>
      <w:r>
        <w:rPr>
          <w:rFonts w:hint="eastAsia" w:ascii="仿宋_GB2312" w:hAnsi="仿宋_GB2312" w:cs="仿宋_GB2312"/>
          <w:bCs/>
          <w:color w:val="000000"/>
          <w:lang w:val="en-US" w:eastAsia="zh-CN"/>
        </w:rPr>
        <w:t>招标形式：公开招标</w:t>
      </w:r>
    </w:p>
    <w:p>
      <w:pPr>
        <w:pStyle w:val="11"/>
        <w:spacing w:line="360" w:lineRule="auto"/>
        <w:rPr>
          <w:rFonts w:ascii="黑体" w:eastAsia="黑体"/>
          <w:b/>
          <w:bCs/>
          <w:sz w:val="28"/>
        </w:rPr>
      </w:pPr>
      <w:r>
        <w:rPr>
          <w:rFonts w:hint="eastAsia" w:ascii="黑体" w:eastAsia="黑体"/>
          <w:b/>
          <w:bCs/>
          <w:sz w:val="28"/>
        </w:rPr>
        <w:t>三、交货及付款</w:t>
      </w:r>
    </w:p>
    <w:p>
      <w:pPr>
        <w:pStyle w:val="29"/>
        <w:numPr>
          <w:ilvl w:val="0"/>
          <w:numId w:val="0"/>
        </w:numPr>
        <w:ind w:firstLine="422" w:firstLineChars="200"/>
        <w:rPr>
          <w:rFonts w:ascii="宋体" w:hAnsi="宋体" w:eastAsia="宋体"/>
          <w:b w:val="0"/>
          <w:bCs w:val="0"/>
          <w:spacing w:val="2"/>
          <w:sz w:val="21"/>
        </w:rPr>
      </w:pPr>
      <w:r>
        <w:rPr>
          <w:rFonts w:hint="eastAsia" w:ascii="宋体" w:hAnsi="宋体" w:eastAsia="宋体" w:cs="宋体"/>
          <w:b/>
          <w:bCs/>
          <w:kern w:val="2"/>
          <w:sz w:val="21"/>
          <w:szCs w:val="21"/>
          <w:lang w:val="en-US" w:eastAsia="zh-CN" w:bidi="ar-SA"/>
        </w:rPr>
        <w:t>1、交货地点：</w:t>
      </w:r>
      <w:r>
        <w:rPr>
          <w:rFonts w:hint="eastAsia" w:ascii="宋体" w:hAnsi="宋体" w:eastAsia="宋体"/>
          <w:b w:val="0"/>
          <w:bCs w:val="0"/>
          <w:spacing w:val="2"/>
          <w:sz w:val="21"/>
          <w:lang w:val="en-US" w:eastAsia="zh-CN"/>
        </w:rPr>
        <w:t>中</w:t>
      </w:r>
      <w:r>
        <w:rPr>
          <w:rFonts w:hint="eastAsia" w:ascii="宋体" w:hAnsi="宋体" w:eastAsia="宋体"/>
          <w:b w:val="0"/>
          <w:bCs w:val="0"/>
          <w:spacing w:val="2"/>
          <w:sz w:val="21"/>
        </w:rPr>
        <w:t>国重汽集团杭州发动机有限公司（浙江省杭州市萧山经济技术开发区红泰六路699号）</w:t>
      </w:r>
    </w:p>
    <w:p>
      <w:pPr>
        <w:pStyle w:val="11"/>
        <w:spacing w:line="360" w:lineRule="auto"/>
        <w:ind w:firstLine="422" w:firstLineChars="200"/>
        <w:rPr>
          <w:rFonts w:ascii="Calibri" w:hAnsi="Calibri"/>
        </w:rPr>
      </w:pPr>
      <w:r>
        <w:rPr>
          <w:rFonts w:hAnsi="宋体" w:cs="宋体"/>
          <w:b/>
          <w:bCs/>
          <w:szCs w:val="21"/>
        </w:rPr>
        <w:t>2</w:t>
      </w:r>
      <w:r>
        <w:rPr>
          <w:rFonts w:hint="eastAsia" w:hAnsi="宋体" w:cs="宋体"/>
          <w:b/>
          <w:bCs/>
          <w:szCs w:val="21"/>
        </w:rPr>
        <w:t>、付款方式</w:t>
      </w:r>
      <w:r>
        <w:rPr>
          <w:rFonts w:hint="eastAsia" w:hAnsi="宋体" w:cs="宋体"/>
          <w:szCs w:val="21"/>
        </w:rPr>
        <w:t>：</w:t>
      </w:r>
      <w:r>
        <w:rPr>
          <w:rFonts w:hint="eastAsia" w:ascii="Calibri" w:hAnsi="Calibri"/>
          <w:u w:val="single"/>
        </w:rPr>
        <w:t>银行转账</w:t>
      </w:r>
    </w:p>
    <w:p>
      <w:pPr>
        <w:pStyle w:val="11"/>
        <w:spacing w:line="360" w:lineRule="auto"/>
        <w:ind w:firstLine="428" w:firstLineChars="200"/>
        <w:rPr>
          <w:b/>
        </w:rPr>
      </w:pPr>
      <w:r>
        <w:rPr>
          <w:rFonts w:hint="eastAsia" w:hAnsi="宋体"/>
          <w:spacing w:val="2"/>
        </w:rPr>
        <w:t>每月出具检测报告后，并开具 6%的增值税专用发票，入账后次月以银行转账结算，一月一结。</w:t>
      </w:r>
    </w:p>
    <w:p>
      <w:pPr>
        <w:bidi w:val="0"/>
        <w:rPr>
          <w:b/>
          <w:bCs/>
        </w:rPr>
      </w:pPr>
      <w:r>
        <w:rPr>
          <w:rFonts w:hint="eastAsia"/>
          <w:b/>
          <w:bCs/>
        </w:rPr>
        <w:t>*注：付款方式及付款比例不允许偏离。</w:t>
      </w:r>
    </w:p>
    <w:p>
      <w:pPr>
        <w:pStyle w:val="11"/>
        <w:spacing w:line="360" w:lineRule="auto"/>
        <w:rPr>
          <w:rFonts w:ascii="黑体" w:eastAsia="黑体"/>
          <w:b/>
          <w:bCs/>
          <w:sz w:val="28"/>
        </w:rPr>
      </w:pPr>
      <w:r>
        <w:rPr>
          <w:rFonts w:hint="eastAsia" w:ascii="黑体" w:eastAsia="黑体"/>
          <w:b/>
          <w:bCs/>
          <w:sz w:val="28"/>
        </w:rPr>
        <w:t xml:space="preserve">四、议程安排 </w:t>
      </w:r>
    </w:p>
    <w:p>
      <w:pPr>
        <w:pStyle w:val="11"/>
        <w:numPr>
          <w:ilvl w:val="0"/>
          <w:numId w:val="2"/>
        </w:numPr>
        <w:spacing w:line="360" w:lineRule="auto"/>
      </w:pPr>
      <w:r>
        <w:rPr>
          <w:rFonts w:hint="eastAsia"/>
          <w:lang w:val="en-US" w:eastAsia="zh-CN"/>
        </w:rPr>
        <w:t>应标</w:t>
      </w:r>
      <w:r>
        <w:rPr>
          <w:rFonts w:hint="eastAsia"/>
        </w:rPr>
        <w:t>时间：</w:t>
      </w:r>
      <w:r>
        <w:t xml:space="preserve"> </w:t>
      </w:r>
      <w:r>
        <w:rPr>
          <w:rFonts w:hint="eastAsia"/>
          <w:lang w:val="en-US" w:eastAsia="zh-CN"/>
        </w:rPr>
        <w:t>2025年11月6日-2025年11月11日17：00。</w:t>
      </w:r>
    </w:p>
    <w:p>
      <w:pPr>
        <w:pStyle w:val="11"/>
        <w:numPr>
          <w:ilvl w:val="0"/>
          <w:numId w:val="2"/>
        </w:numPr>
        <w:spacing w:line="360" w:lineRule="auto"/>
      </w:pPr>
      <w:r>
        <w:rPr>
          <w:rFonts w:hint="eastAsia"/>
        </w:rPr>
        <w:t>开标时间：</w:t>
      </w:r>
      <w:r>
        <w:rPr>
          <w:rFonts w:hint="eastAsia"/>
          <w:lang w:val="en-US" w:eastAsia="zh-CN"/>
        </w:rPr>
        <w:t>2025</w:t>
      </w:r>
      <w:r>
        <w:rPr>
          <w:rFonts w:hint="eastAsia"/>
        </w:rPr>
        <w:t>年</w:t>
      </w:r>
      <w:r>
        <w:rPr>
          <w:rFonts w:hint="eastAsia"/>
          <w:lang w:val="en-US" w:eastAsia="zh-CN"/>
        </w:rPr>
        <w:t>11</w:t>
      </w:r>
      <w:r>
        <w:rPr>
          <w:rFonts w:hint="eastAsia"/>
        </w:rPr>
        <w:t>月</w:t>
      </w:r>
      <w:r>
        <w:rPr>
          <w:rFonts w:hint="eastAsia"/>
          <w:lang w:val="en-US" w:eastAsia="zh-CN"/>
        </w:rPr>
        <w:t>19</w:t>
      </w:r>
      <w:r>
        <w:rPr>
          <w:rFonts w:hint="eastAsia"/>
        </w:rPr>
        <w:t>日上午</w:t>
      </w:r>
      <w:r>
        <w:rPr>
          <w:rFonts w:hint="eastAsia"/>
          <w:lang w:val="en-US" w:eastAsia="zh-CN"/>
        </w:rPr>
        <w:t>9</w:t>
      </w:r>
      <w:r>
        <w:rPr>
          <w:rFonts w:hint="eastAsia"/>
        </w:rPr>
        <w:t>时（若有变动另行通知）。</w:t>
      </w:r>
    </w:p>
    <w:p>
      <w:pPr>
        <w:pStyle w:val="11"/>
        <w:numPr>
          <w:ilvl w:val="0"/>
          <w:numId w:val="2"/>
        </w:numPr>
        <w:spacing w:line="360" w:lineRule="auto"/>
      </w:pPr>
      <w:r>
        <w:rPr>
          <w:rFonts w:hint="eastAsia"/>
        </w:rPr>
        <w:t>开标地点：线上。（待定）</w:t>
      </w:r>
    </w:p>
    <w:p>
      <w:pPr>
        <w:pStyle w:val="11"/>
        <w:numPr>
          <w:ilvl w:val="0"/>
          <w:numId w:val="0"/>
        </w:numPr>
        <w:spacing w:line="360" w:lineRule="auto"/>
        <w:ind w:leftChars="0"/>
        <w:rPr>
          <w:rFonts w:hint="eastAsia"/>
        </w:rPr>
      </w:pPr>
      <w:r>
        <w:rPr>
          <w:rFonts w:hint="eastAsia"/>
        </w:rPr>
        <w:t>商务联系人：</w:t>
      </w:r>
      <w:r>
        <w:rPr>
          <w:rFonts w:hint="eastAsia"/>
          <w:lang w:val="en-US" w:eastAsia="zh-CN"/>
        </w:rPr>
        <w:t>杨淑超</w:t>
      </w:r>
    </w:p>
    <w:p>
      <w:pPr>
        <w:pStyle w:val="11"/>
        <w:numPr>
          <w:ilvl w:val="0"/>
          <w:numId w:val="0"/>
        </w:numPr>
        <w:spacing w:line="360" w:lineRule="auto"/>
        <w:ind w:leftChars="0"/>
        <w:rPr>
          <w:rFonts w:hint="default"/>
          <w:lang w:val="en-US" w:eastAsia="zh-CN"/>
        </w:rPr>
      </w:pPr>
      <w:r>
        <w:rPr>
          <w:rFonts w:hint="eastAsia"/>
        </w:rPr>
        <w:t>电话：1786060</w:t>
      </w:r>
      <w:r>
        <w:rPr>
          <w:rFonts w:hint="eastAsia"/>
          <w:lang w:val="en-US" w:eastAsia="zh-CN"/>
        </w:rPr>
        <w:t>5820</w:t>
      </w:r>
    </w:p>
    <w:p>
      <w:pPr>
        <w:pStyle w:val="11"/>
        <w:numPr>
          <w:ilvl w:val="0"/>
          <w:numId w:val="0"/>
        </w:numPr>
        <w:spacing w:line="360" w:lineRule="auto"/>
        <w:ind w:leftChars="0"/>
        <w:rPr>
          <w:rFonts w:hint="eastAsia"/>
        </w:rPr>
      </w:pPr>
      <w:r>
        <w:rPr>
          <w:rFonts w:hint="eastAsia"/>
        </w:rPr>
        <w:t>邮箱：yangshuchao@sinotruk.com</w:t>
      </w:r>
    </w:p>
    <w:p>
      <w:pPr>
        <w:pStyle w:val="11"/>
        <w:numPr>
          <w:ilvl w:val="0"/>
          <w:numId w:val="0"/>
        </w:numPr>
        <w:spacing w:line="360" w:lineRule="auto"/>
        <w:ind w:leftChars="0"/>
        <w:rPr>
          <w:rFonts w:hint="default"/>
          <w:lang w:val="en-US" w:eastAsia="zh-CN"/>
        </w:rPr>
      </w:pPr>
      <w:r>
        <w:rPr>
          <w:rFonts w:hint="eastAsia"/>
          <w:lang w:val="en-US" w:eastAsia="zh-CN"/>
        </w:rPr>
        <w:t>技术联系人：谢飞</w:t>
      </w:r>
    </w:p>
    <w:p>
      <w:pPr>
        <w:pStyle w:val="11"/>
        <w:numPr>
          <w:ilvl w:val="0"/>
          <w:numId w:val="0"/>
        </w:numPr>
        <w:spacing w:line="360" w:lineRule="auto"/>
        <w:ind w:leftChars="0"/>
        <w:rPr>
          <w:rFonts w:hint="default"/>
          <w:lang w:val="en-US" w:eastAsia="zh-CN"/>
        </w:rPr>
      </w:pPr>
      <w:r>
        <w:rPr>
          <w:rFonts w:hint="eastAsia"/>
          <w:lang w:val="en-US" w:eastAsia="zh-CN"/>
        </w:rPr>
        <w:t>电话：13656690608</w:t>
      </w:r>
    </w:p>
    <w:p>
      <w:pPr>
        <w:pStyle w:val="11"/>
        <w:spacing w:line="360" w:lineRule="auto"/>
        <w:rPr>
          <w:rFonts w:ascii="黑体" w:eastAsia="黑体"/>
          <w:b/>
          <w:bCs/>
          <w:sz w:val="28"/>
        </w:rPr>
      </w:pPr>
      <w:r>
        <w:rPr>
          <w:rFonts w:hint="eastAsia" w:ascii="黑体" w:eastAsia="黑体"/>
          <w:b/>
          <w:bCs/>
          <w:sz w:val="28"/>
        </w:rPr>
        <w:t>五、招标文件的领取、答疑、应标及投标报名</w:t>
      </w:r>
    </w:p>
    <w:p>
      <w:pPr>
        <w:pStyle w:val="30"/>
        <w:numPr>
          <w:ilvl w:val="0"/>
          <w:numId w:val="3"/>
        </w:numPr>
        <w:jc w:val="both"/>
      </w:pPr>
      <w:r>
        <w:rPr>
          <w:rFonts w:hint="eastAsia"/>
          <w:b/>
          <w:bCs/>
        </w:rPr>
        <w:t>发标时间</w:t>
      </w:r>
      <w:r>
        <w:rPr>
          <w:rFonts w:hint="eastAsia"/>
        </w:rPr>
        <w:t>：</w:t>
      </w:r>
      <w:r>
        <w:t xml:space="preserve"> </w:t>
      </w:r>
      <w:r>
        <w:rPr>
          <w:rFonts w:hint="eastAsia"/>
          <w:lang w:val="en-US" w:eastAsia="zh-CN"/>
        </w:rPr>
        <w:t>2025年11月6日</w:t>
      </w:r>
    </w:p>
    <w:p>
      <w:pPr>
        <w:pStyle w:val="30"/>
        <w:numPr>
          <w:ilvl w:val="0"/>
          <w:numId w:val="3"/>
        </w:numPr>
        <w:jc w:val="both"/>
      </w:pPr>
      <w:r>
        <w:rPr>
          <w:rFonts w:hint="eastAsia"/>
          <w:b/>
          <w:bCs/>
        </w:rPr>
        <w:t>招标公告</w:t>
      </w:r>
      <w:r>
        <w:rPr>
          <w:rFonts w:hint="eastAsia"/>
        </w:rPr>
        <w:t>：中国重汽官网</w:t>
      </w:r>
    </w:p>
    <w:p>
      <w:pPr>
        <w:pStyle w:val="30"/>
        <w:numPr>
          <w:ilvl w:val="0"/>
          <w:numId w:val="3"/>
        </w:numPr>
        <w:jc w:val="both"/>
      </w:pPr>
      <w:r>
        <w:rPr>
          <w:rFonts w:hint="eastAsia"/>
          <w:b/>
          <w:bCs/>
        </w:rPr>
        <w:t>招标文件</w:t>
      </w:r>
      <w:r>
        <w:rPr>
          <w:rFonts w:hint="eastAsia"/>
        </w:rPr>
        <w:t>：应标审核通过后，在投标页面附件下载</w:t>
      </w:r>
    </w:p>
    <w:p>
      <w:pPr>
        <w:pStyle w:val="30"/>
        <w:numPr>
          <w:ilvl w:val="0"/>
          <w:numId w:val="3"/>
        </w:numPr>
        <w:jc w:val="both"/>
      </w:pPr>
      <w:r>
        <w:rPr>
          <w:rFonts w:hint="eastAsia"/>
          <w:b/>
          <w:bCs/>
        </w:rPr>
        <w:t>报名方式</w:t>
      </w:r>
      <w:r>
        <w:rPr>
          <w:rFonts w:hint="eastAsia"/>
        </w:rPr>
        <w:t>：</w:t>
      </w:r>
    </w:p>
    <w:p>
      <w:pPr>
        <w:pStyle w:val="30"/>
        <w:ind w:firstLine="420" w:firstLineChars="200"/>
        <w:jc w:val="both"/>
        <w:rPr>
          <w:rFonts w:hint="eastAsia" w:cs="宋体"/>
          <w:szCs w:val="21"/>
        </w:rPr>
      </w:pPr>
      <w:r>
        <w:rPr>
          <w:rFonts w:hint="eastAsia" w:cs="宋体"/>
          <w:szCs w:val="21"/>
        </w:rPr>
        <w:t>拟投标人根据招标人在中国重汽官网公开媒体上发布的招标信息，</w:t>
      </w:r>
      <w:r>
        <w:rPr>
          <w:rFonts w:hint="eastAsia"/>
          <w:color w:val="000000"/>
          <w:szCs w:val="21"/>
        </w:rPr>
        <w:t>在“中国重汽e采通”平台报名</w:t>
      </w:r>
      <w:r>
        <w:rPr>
          <w:rFonts w:hint="eastAsia" w:cs="宋体"/>
          <w:szCs w:val="21"/>
        </w:rPr>
        <w:t>。</w:t>
      </w:r>
      <w:r>
        <w:rPr>
          <w:rFonts w:hint="eastAsia"/>
          <w:b/>
          <w:bCs/>
          <w:szCs w:val="21"/>
        </w:rPr>
        <w:t>按照中国重汽e采通“SRM非生产供应商注册手册”（附件）进行注册</w:t>
      </w:r>
      <w:r>
        <w:rPr>
          <w:rFonts w:hint="eastAsia"/>
          <w:szCs w:val="21"/>
        </w:rPr>
        <w:t>，</w:t>
      </w:r>
      <w:r>
        <w:rPr>
          <w:rFonts w:hint="eastAsia"/>
          <w:color w:val="000000"/>
          <w:szCs w:val="21"/>
        </w:rPr>
        <w:t>注册完毕后按照</w:t>
      </w:r>
      <w:r>
        <w:rPr>
          <w:rFonts w:hint="eastAsia" w:hAnsi="宋体" w:cs="宋体"/>
          <w:b/>
          <w:color w:val="000000"/>
          <w:szCs w:val="21"/>
          <w:highlight w:val="green"/>
        </w:rPr>
        <w:t>“SRM系统供应商用户手册（附件）</w:t>
      </w:r>
      <w:r>
        <w:rPr>
          <w:rFonts w:hint="eastAsia" w:hAnsi="宋体" w:cs="宋体"/>
          <w:b/>
          <w:color w:val="000000"/>
          <w:szCs w:val="21"/>
        </w:rPr>
        <w:t>”，</w:t>
      </w:r>
      <w:r>
        <w:rPr>
          <w:rFonts w:hint="eastAsia" w:hAnsi="宋体"/>
          <w:color w:val="000000"/>
          <w:szCs w:val="21"/>
        </w:rPr>
        <w:t>登录</w:t>
      </w:r>
      <w:r>
        <w:rPr>
          <w:rFonts w:hint="eastAsia" w:hAnsi="宋体" w:cs="宋体"/>
          <w:b/>
          <w:color w:val="000000"/>
          <w:szCs w:val="21"/>
        </w:rPr>
        <w:t>重汽e采通平台</w:t>
      </w:r>
      <w:r>
        <w:rPr>
          <w:rFonts w:hint="eastAsia" w:hAnsi="宋体"/>
          <w:color w:val="000000"/>
          <w:szCs w:val="21"/>
        </w:rPr>
        <w:t>后</w:t>
      </w:r>
      <w:r>
        <w:rPr>
          <w:rFonts w:hint="eastAsia"/>
          <w:color w:val="000000"/>
          <w:szCs w:val="21"/>
        </w:rPr>
        <w:t>进入“供应商应标”，</w:t>
      </w:r>
      <w:r>
        <w:rPr>
          <w:rFonts w:hint="eastAsia" w:hAnsi="宋体"/>
          <w:color w:val="000000"/>
          <w:szCs w:val="21"/>
        </w:rPr>
        <w:t>选择对应的项目，点击</w:t>
      </w:r>
      <w:r>
        <w:rPr>
          <w:rFonts w:hint="eastAsia"/>
          <w:color w:val="000000"/>
          <w:szCs w:val="21"/>
        </w:rPr>
        <w:t>“</w:t>
      </w:r>
      <w:r>
        <w:rPr>
          <w:rFonts w:hint="eastAsia" w:hAnsi="宋体"/>
          <w:b/>
          <w:bCs/>
          <w:color w:val="000000"/>
          <w:szCs w:val="21"/>
        </w:rPr>
        <w:t>应标</w:t>
      </w:r>
      <w:r>
        <w:rPr>
          <w:rFonts w:hint="eastAsia"/>
          <w:color w:val="000000"/>
          <w:szCs w:val="21"/>
        </w:rPr>
        <w:t>”</w:t>
      </w:r>
      <w:r>
        <w:rPr>
          <w:rFonts w:hint="eastAsia" w:hAnsi="宋体"/>
          <w:b/>
          <w:bCs/>
          <w:color w:val="000000"/>
          <w:szCs w:val="21"/>
        </w:rPr>
        <w:t>后按照</w:t>
      </w:r>
      <w:r>
        <w:rPr>
          <w:rFonts w:hint="eastAsia"/>
          <w:b/>
          <w:bCs/>
          <w:color w:val="000000"/>
          <w:szCs w:val="21"/>
        </w:rPr>
        <w:t>招标公告中应标文件编制的</w:t>
      </w:r>
      <w:r>
        <w:rPr>
          <w:rFonts w:hint="eastAsia" w:hAnsi="宋体"/>
          <w:b/>
          <w:bCs/>
          <w:color w:val="000000"/>
          <w:szCs w:val="21"/>
        </w:rPr>
        <w:t>资质文件中的要求准备资料</w:t>
      </w:r>
      <w:r>
        <w:rPr>
          <w:rFonts w:hint="eastAsia"/>
          <w:b/>
          <w:bCs/>
          <w:color w:val="000000"/>
          <w:szCs w:val="21"/>
        </w:rPr>
        <w:t>并</w:t>
      </w:r>
      <w:r>
        <w:rPr>
          <w:rFonts w:hint="eastAsia" w:hAnsi="宋体"/>
          <w:color w:val="000000"/>
          <w:szCs w:val="21"/>
        </w:rPr>
        <w:t>上传，资质审查通过即为报名</w:t>
      </w:r>
      <w:r>
        <w:rPr>
          <w:rFonts w:hint="eastAsia"/>
          <w:color w:val="000000"/>
          <w:szCs w:val="21"/>
        </w:rPr>
        <w:t>成功</w:t>
      </w:r>
      <w:r>
        <w:rPr>
          <w:rFonts w:hint="eastAsia" w:cs="宋体"/>
          <w:szCs w:val="21"/>
        </w:rPr>
        <w:t>。</w:t>
      </w:r>
    </w:p>
    <w:p>
      <w:pPr>
        <w:pStyle w:val="11"/>
        <w:spacing w:line="360" w:lineRule="auto"/>
        <w:ind w:firstLine="422" w:firstLineChars="200"/>
        <w:rPr>
          <w:b/>
        </w:rPr>
      </w:pPr>
      <w:r>
        <w:rPr>
          <w:rFonts w:hint="eastAsia"/>
          <w:b/>
        </w:rPr>
        <w:t>（1）资质文件</w:t>
      </w:r>
    </w:p>
    <w:p>
      <w:pPr>
        <w:pStyle w:val="11"/>
        <w:spacing w:line="360" w:lineRule="auto"/>
        <w:ind w:firstLine="428" w:firstLineChars="200"/>
        <w:rPr>
          <w:rFonts w:hAnsi="宋体"/>
          <w:spacing w:val="2"/>
        </w:rPr>
      </w:pPr>
      <w:r>
        <w:rPr>
          <w:rFonts w:hint="eastAsia" w:hAnsi="宋体"/>
          <w:spacing w:val="2"/>
        </w:rPr>
        <w:t>1.1统一社会信用代码的新版营业执照副本复印件；</w:t>
      </w:r>
    </w:p>
    <w:p>
      <w:pPr>
        <w:pStyle w:val="11"/>
        <w:spacing w:line="360" w:lineRule="auto"/>
        <w:ind w:firstLine="428" w:firstLineChars="200"/>
        <w:rPr>
          <w:rFonts w:hAnsi="宋体"/>
          <w:spacing w:val="2"/>
        </w:rPr>
      </w:pPr>
      <w:r>
        <w:rPr>
          <w:rFonts w:hint="eastAsia" w:hAnsi="宋体"/>
          <w:spacing w:val="2"/>
        </w:rPr>
        <w:t>1.2相关资质证书；</w:t>
      </w:r>
    </w:p>
    <w:p>
      <w:pPr>
        <w:pStyle w:val="11"/>
        <w:spacing w:line="360" w:lineRule="auto"/>
        <w:ind w:firstLine="428" w:firstLineChars="200"/>
        <w:rPr>
          <w:rFonts w:hAnsi="宋体"/>
          <w:spacing w:val="2"/>
        </w:rPr>
      </w:pPr>
      <w:r>
        <w:rPr>
          <w:rFonts w:hint="eastAsia" w:hAnsi="宋体"/>
          <w:spacing w:val="2"/>
        </w:rPr>
        <w:t>1.3法定代表人参加投标的，需提供法人身份证复印件；派授权人参加投标的，需提供法定代表人授权委托书及被授权人身份证复印件；</w:t>
      </w:r>
    </w:p>
    <w:p>
      <w:pPr>
        <w:pStyle w:val="11"/>
        <w:spacing w:line="360" w:lineRule="auto"/>
        <w:ind w:firstLine="428" w:firstLineChars="200"/>
        <w:rPr>
          <w:rFonts w:hAnsi="宋体"/>
          <w:spacing w:val="2"/>
        </w:rPr>
      </w:pPr>
      <w:r>
        <w:rPr>
          <w:rFonts w:hint="eastAsia" w:hAnsi="宋体"/>
          <w:spacing w:val="2"/>
        </w:rPr>
        <w:t>1.4</w:t>
      </w:r>
      <w:r>
        <w:rPr>
          <w:rFonts w:hint="eastAsia" w:hAnsi="宋体" w:cs="宋体"/>
        </w:rPr>
        <w:t>投标人须提供上一年度的财务报表（资产负债表、利润表）的复印件；</w:t>
      </w:r>
    </w:p>
    <w:p>
      <w:pPr>
        <w:pStyle w:val="11"/>
        <w:spacing w:line="360" w:lineRule="auto"/>
        <w:ind w:firstLine="428" w:firstLineChars="200"/>
        <w:rPr>
          <w:rFonts w:hAnsi="宋体"/>
          <w:spacing w:val="2"/>
        </w:rPr>
      </w:pPr>
      <w:r>
        <w:rPr>
          <w:rFonts w:hint="eastAsia" w:hAnsi="宋体"/>
          <w:spacing w:val="2"/>
        </w:rPr>
        <w:t>1.5近三年内在经营活动中没有违法违纪行为的声明。</w:t>
      </w:r>
    </w:p>
    <w:p>
      <w:pPr>
        <w:pStyle w:val="11"/>
        <w:spacing w:line="360" w:lineRule="auto"/>
        <w:ind w:firstLine="428" w:firstLineChars="200"/>
        <w:rPr>
          <w:rFonts w:hAnsi="宋体"/>
          <w:spacing w:val="2"/>
        </w:rPr>
      </w:pPr>
      <w:r>
        <w:rPr>
          <w:rFonts w:hint="eastAsia" w:hAnsi="宋体"/>
          <w:spacing w:val="2"/>
        </w:rPr>
        <w:t>1.6投标人自认为需提交的符合本招标文件总则第二章第1条所有内容的其他条款并附录。</w:t>
      </w:r>
    </w:p>
    <w:p>
      <w:pPr>
        <w:pStyle w:val="11"/>
        <w:spacing w:line="360" w:lineRule="auto"/>
        <w:ind w:firstLine="428" w:firstLineChars="200"/>
        <w:rPr>
          <w:rFonts w:hAnsi="宋体" w:cs="宋体"/>
        </w:rPr>
      </w:pPr>
      <w:r>
        <w:rPr>
          <w:rFonts w:hint="eastAsia" w:hAnsi="宋体"/>
          <w:spacing w:val="2"/>
        </w:rPr>
        <w:t>1.7</w:t>
      </w:r>
      <w:r>
        <w:rPr>
          <w:rFonts w:hint="eastAsia" w:hAnsi="宋体" w:cs="宋体"/>
        </w:rPr>
        <w:t>投标人应提交《投标文件》、《投标函》。</w:t>
      </w:r>
    </w:p>
    <w:p>
      <w:pPr>
        <w:pStyle w:val="11"/>
        <w:spacing w:line="360" w:lineRule="auto"/>
        <w:ind w:firstLine="420" w:firstLineChars="200"/>
        <w:rPr>
          <w:rFonts w:hAnsi="宋体" w:cs="宋体"/>
        </w:rPr>
      </w:pPr>
      <w:r>
        <w:rPr>
          <w:rFonts w:hint="eastAsia" w:hAnsi="宋体" w:cs="宋体"/>
        </w:rPr>
        <w:t>1.8信用中国截图（报名日期当日“信用中国”网站(www.creditchina.gov.cn）查询本单位未被列入联合惩戒失信人名单的网页截图）</w:t>
      </w:r>
    </w:p>
    <w:p>
      <w:pPr>
        <w:pStyle w:val="11"/>
        <w:spacing w:line="360" w:lineRule="auto"/>
        <w:ind w:firstLine="420" w:firstLineChars="200"/>
        <w:rPr>
          <w:rFonts w:hint="eastAsia" w:cs="宋体"/>
          <w:szCs w:val="21"/>
        </w:rPr>
      </w:pPr>
      <w:r>
        <w:rPr>
          <w:rFonts w:hint="eastAsia" w:hAnsi="宋体"/>
        </w:rPr>
        <w:t>1.9</w:t>
      </w:r>
      <w:r>
        <w:rPr>
          <w:rFonts w:hint="eastAsia" w:hAnsi="宋体" w:cs="宋体"/>
        </w:rPr>
        <w:t>企业概况一览表：包括人员、设备、技术、专利、工艺等；</w:t>
      </w:r>
    </w:p>
    <w:p>
      <w:pPr>
        <w:pStyle w:val="30"/>
        <w:numPr>
          <w:ilvl w:val="0"/>
          <w:numId w:val="3"/>
        </w:numPr>
        <w:jc w:val="both"/>
        <w:rPr>
          <w:highlight w:val="yellow"/>
        </w:rPr>
      </w:pPr>
      <w:r>
        <w:rPr>
          <w:rFonts w:hint="eastAsia"/>
          <w:b/>
          <w:bCs/>
        </w:rPr>
        <w:t>应标截止时间</w:t>
      </w:r>
      <w:r>
        <w:rPr>
          <w:rFonts w:hint="eastAsia"/>
        </w:rPr>
        <w:t>：</w:t>
      </w:r>
      <w:r>
        <w:rPr>
          <w:rFonts w:hint="eastAsia"/>
          <w:lang w:val="en-US" w:eastAsia="zh-CN"/>
        </w:rPr>
        <w:t>2025年11月11日17：00。</w:t>
      </w:r>
    </w:p>
    <w:p>
      <w:pPr>
        <w:pStyle w:val="30"/>
        <w:ind w:firstLine="422" w:firstLineChars="200"/>
        <w:jc w:val="both"/>
        <w:rPr>
          <w:rFonts w:hint="eastAsia" w:cs="宋体"/>
          <w:b/>
          <w:bCs/>
        </w:rPr>
      </w:pPr>
      <w:r>
        <w:rPr>
          <w:rFonts w:hint="eastAsia" w:cs="宋体"/>
          <w:b/>
          <w:bCs/>
        </w:rPr>
        <w:t>注：请务必在应标截止时间前完成注册及应标操作，注册审核需2-4日，应标截止时间精确到秒，逾期将无法应标。请自行掌握时间，避免无法应标。</w:t>
      </w:r>
    </w:p>
    <w:p>
      <w:pPr>
        <w:pStyle w:val="30"/>
        <w:numPr>
          <w:ilvl w:val="0"/>
          <w:numId w:val="3"/>
        </w:numPr>
        <w:ind w:left="425" w:leftChars="0" w:hanging="425" w:firstLineChars="0"/>
        <w:jc w:val="both"/>
        <w:rPr>
          <w:rFonts w:hint="default" w:eastAsia="宋体" w:cs="宋体"/>
          <w:b/>
          <w:bCs/>
          <w:lang w:val="en-US" w:eastAsia="zh-CN"/>
        </w:rPr>
      </w:pPr>
      <w:r>
        <w:rPr>
          <w:rFonts w:hint="eastAsia" w:cs="宋体"/>
          <w:b/>
          <w:bCs/>
          <w:lang w:val="en-US" w:eastAsia="zh-CN"/>
        </w:rPr>
        <w:t>投标截止时间：</w:t>
      </w:r>
      <w:r>
        <w:rPr>
          <w:rFonts w:hint="eastAsia"/>
          <w:lang w:val="en-US" w:eastAsia="zh-CN"/>
        </w:rPr>
        <w:t>2025</w:t>
      </w:r>
      <w:r>
        <w:rPr>
          <w:rFonts w:hint="eastAsia"/>
        </w:rPr>
        <w:t>年</w:t>
      </w:r>
      <w:r>
        <w:rPr>
          <w:rFonts w:hint="eastAsia"/>
          <w:lang w:val="en-US" w:eastAsia="zh-CN"/>
        </w:rPr>
        <w:t>11</w:t>
      </w:r>
      <w:r>
        <w:rPr>
          <w:rFonts w:hint="eastAsia"/>
        </w:rPr>
        <w:t>月</w:t>
      </w:r>
      <w:r>
        <w:rPr>
          <w:rFonts w:hint="eastAsia"/>
          <w:lang w:val="en-US" w:eastAsia="zh-CN"/>
        </w:rPr>
        <w:t>18</w:t>
      </w:r>
      <w:r>
        <w:rPr>
          <w:rFonts w:hint="eastAsia"/>
        </w:rPr>
        <w:t>日</w:t>
      </w:r>
      <w:r>
        <w:rPr>
          <w:rFonts w:hint="eastAsia"/>
          <w:lang w:val="en-US" w:eastAsia="zh-CN"/>
        </w:rPr>
        <w:t>下</w:t>
      </w:r>
      <w:r>
        <w:rPr>
          <w:rFonts w:hint="eastAsia"/>
        </w:rPr>
        <w:t>午</w:t>
      </w:r>
      <w:r>
        <w:rPr>
          <w:rFonts w:hint="eastAsia"/>
          <w:lang w:val="en-US" w:eastAsia="zh-CN"/>
        </w:rPr>
        <w:t>17</w:t>
      </w:r>
      <w:r>
        <w:rPr>
          <w:rFonts w:hint="eastAsia"/>
          <w:lang w:eastAsia="zh-CN"/>
        </w:rPr>
        <w:t>：</w:t>
      </w:r>
      <w:r>
        <w:rPr>
          <w:rFonts w:hint="eastAsia"/>
          <w:lang w:val="en-US" w:eastAsia="zh-CN"/>
        </w:rPr>
        <w:t>00。应标审核通过后</w:t>
      </w:r>
      <w:r>
        <w:rPr>
          <w:rFonts w:hint="eastAsia" w:hAnsi="宋体"/>
          <w:color w:val="000000"/>
          <w:szCs w:val="21"/>
        </w:rPr>
        <w:t>登录</w:t>
      </w:r>
      <w:r>
        <w:rPr>
          <w:rFonts w:hint="eastAsia" w:hAnsi="宋体" w:cs="宋体"/>
          <w:b/>
          <w:color w:val="000000"/>
          <w:szCs w:val="21"/>
        </w:rPr>
        <w:t>重汽e采通平台</w:t>
      </w:r>
      <w:r>
        <w:rPr>
          <w:rFonts w:hint="eastAsia" w:hAnsi="宋体"/>
          <w:color w:val="000000"/>
          <w:szCs w:val="21"/>
        </w:rPr>
        <w:t>后</w:t>
      </w:r>
      <w:r>
        <w:rPr>
          <w:rFonts w:hint="eastAsia"/>
          <w:color w:val="000000"/>
          <w:szCs w:val="21"/>
        </w:rPr>
        <w:t>进入“供应商</w:t>
      </w:r>
      <w:r>
        <w:rPr>
          <w:rFonts w:hint="eastAsia"/>
          <w:color w:val="000000"/>
          <w:szCs w:val="21"/>
          <w:lang w:val="en-US" w:eastAsia="zh-CN"/>
        </w:rPr>
        <w:t>投</w:t>
      </w:r>
      <w:r>
        <w:rPr>
          <w:rFonts w:hint="eastAsia"/>
          <w:color w:val="000000"/>
          <w:szCs w:val="21"/>
        </w:rPr>
        <w:t>标”，</w:t>
      </w:r>
      <w:r>
        <w:rPr>
          <w:rFonts w:hint="eastAsia" w:hAnsi="宋体"/>
          <w:color w:val="000000"/>
          <w:szCs w:val="21"/>
        </w:rPr>
        <w:t>选择对应的项目，点击</w:t>
      </w:r>
      <w:r>
        <w:rPr>
          <w:rFonts w:hint="eastAsia"/>
          <w:color w:val="000000"/>
          <w:szCs w:val="21"/>
        </w:rPr>
        <w:t>“</w:t>
      </w:r>
      <w:r>
        <w:rPr>
          <w:rFonts w:hint="eastAsia" w:hAnsi="宋体"/>
          <w:b/>
          <w:bCs/>
          <w:color w:val="000000"/>
          <w:szCs w:val="21"/>
          <w:lang w:val="en-US" w:eastAsia="zh-CN"/>
        </w:rPr>
        <w:t>投</w:t>
      </w:r>
      <w:r>
        <w:rPr>
          <w:rFonts w:hint="eastAsia" w:hAnsi="宋体"/>
          <w:b/>
          <w:bCs/>
          <w:color w:val="000000"/>
          <w:szCs w:val="21"/>
        </w:rPr>
        <w:t>标</w:t>
      </w:r>
      <w:r>
        <w:rPr>
          <w:rFonts w:hint="eastAsia"/>
          <w:color w:val="000000"/>
          <w:szCs w:val="21"/>
        </w:rPr>
        <w:t>”</w:t>
      </w:r>
      <w:r>
        <w:rPr>
          <w:rFonts w:hint="eastAsia" w:hAnsi="宋体"/>
          <w:b/>
          <w:bCs/>
          <w:color w:val="000000"/>
          <w:szCs w:val="21"/>
        </w:rPr>
        <w:t>后按照</w:t>
      </w:r>
      <w:r>
        <w:rPr>
          <w:rFonts w:hint="eastAsia"/>
          <w:b/>
          <w:bCs/>
          <w:color w:val="000000"/>
          <w:szCs w:val="21"/>
          <w:lang w:val="en-US" w:eastAsia="zh-CN"/>
        </w:rPr>
        <w:t>招标</w:t>
      </w:r>
      <w:r>
        <w:rPr>
          <w:rFonts w:hint="eastAsia" w:hAnsi="宋体"/>
          <w:b/>
          <w:bCs/>
          <w:color w:val="000000"/>
          <w:szCs w:val="21"/>
        </w:rPr>
        <w:t>文件中</w:t>
      </w:r>
      <w:r>
        <w:rPr>
          <w:rFonts w:hint="eastAsia" w:hAnsi="宋体"/>
          <w:b/>
          <w:bCs/>
          <w:color w:val="000000"/>
          <w:szCs w:val="21"/>
          <w:highlight w:val="yellow"/>
          <w:lang w:val="en-US" w:eastAsia="zh-CN"/>
        </w:rPr>
        <w:t>六、投标须知</w:t>
      </w:r>
      <w:r>
        <w:rPr>
          <w:rFonts w:hint="eastAsia" w:hAnsi="宋体"/>
          <w:b/>
          <w:bCs/>
          <w:color w:val="000000"/>
          <w:szCs w:val="21"/>
        </w:rPr>
        <w:t>的要求准备资料</w:t>
      </w:r>
      <w:r>
        <w:rPr>
          <w:rFonts w:hint="eastAsia"/>
          <w:b/>
          <w:bCs/>
          <w:color w:val="000000"/>
          <w:szCs w:val="21"/>
        </w:rPr>
        <w:t>并</w:t>
      </w:r>
      <w:r>
        <w:rPr>
          <w:rFonts w:hint="eastAsia" w:hAnsi="宋体"/>
          <w:color w:val="000000"/>
          <w:szCs w:val="21"/>
        </w:rPr>
        <w:t>上传</w:t>
      </w:r>
      <w:r>
        <w:rPr>
          <w:rFonts w:hint="eastAsia" w:hAnsi="宋体"/>
          <w:color w:val="000000"/>
          <w:szCs w:val="21"/>
          <w:lang w:eastAsia="zh-CN"/>
        </w:rPr>
        <w:t>。</w:t>
      </w:r>
    </w:p>
    <w:p>
      <w:pPr>
        <w:pStyle w:val="11"/>
        <w:spacing w:line="360" w:lineRule="auto"/>
        <w:rPr>
          <w:rFonts w:ascii="黑体" w:eastAsia="黑体"/>
          <w:b/>
          <w:bCs/>
          <w:sz w:val="28"/>
        </w:rPr>
      </w:pPr>
      <w:r>
        <w:rPr>
          <w:rFonts w:hint="eastAsia" w:ascii="黑体" w:eastAsia="黑体"/>
          <w:b/>
          <w:bCs/>
          <w:sz w:val="28"/>
        </w:rPr>
        <w:t>六、投标须知</w:t>
      </w:r>
    </w:p>
    <w:p>
      <w:pPr>
        <w:pStyle w:val="11"/>
        <w:spacing w:line="360" w:lineRule="auto"/>
        <w:rPr>
          <w:b/>
        </w:rPr>
      </w:pPr>
      <w:r>
        <w:rPr>
          <w:rFonts w:hint="eastAsia"/>
          <w:b/>
        </w:rPr>
        <w:t>1.合格投标人：</w:t>
      </w:r>
    </w:p>
    <w:p>
      <w:pPr>
        <w:spacing w:line="360" w:lineRule="auto"/>
        <w:ind w:firstLine="420" w:firstLineChars="200"/>
        <w:rPr>
          <w:rFonts w:ascii="宋体" w:hAnsi="Courier New"/>
        </w:rPr>
      </w:pPr>
      <w:r>
        <w:rPr>
          <w:rFonts w:hint="eastAsia" w:ascii="宋体" w:hAnsi="Courier New"/>
        </w:rPr>
        <w:t>1.1资质要求：</w:t>
      </w:r>
    </w:p>
    <w:p>
      <w:pPr>
        <w:pStyle w:val="11"/>
        <w:spacing w:line="360" w:lineRule="auto"/>
        <w:ind w:firstLine="420" w:firstLineChars="200"/>
      </w:pPr>
      <w:r>
        <w:rPr>
          <w:rFonts w:hint="eastAsia"/>
        </w:rPr>
        <w:t>1.</w:t>
      </w:r>
      <w:r>
        <w:t>1.1</w:t>
      </w:r>
      <w:r>
        <w:rPr>
          <w:rFonts w:hint="eastAsia"/>
        </w:rPr>
        <w:t>投标人须遵守《</w:t>
      </w:r>
      <w:bookmarkStart w:id="1" w:name="OLE_LINK2"/>
      <w:bookmarkStart w:id="2" w:name="OLE_LINK3"/>
      <w:r>
        <w:rPr>
          <w:rFonts w:hint="eastAsia"/>
        </w:rPr>
        <w:t>中华人民共和国招标投标法</w:t>
      </w:r>
      <w:bookmarkEnd w:id="1"/>
      <w:bookmarkEnd w:id="2"/>
      <w:r>
        <w:rPr>
          <w:rFonts w:hint="eastAsia"/>
        </w:rPr>
        <w:t>》、《</w:t>
      </w:r>
      <w:bookmarkStart w:id="3" w:name="_Hlk152145476"/>
      <w:r>
        <w:rPr>
          <w:rFonts w:hint="eastAsia"/>
        </w:rPr>
        <w:t>中华人民共和国民法典</w:t>
      </w:r>
      <w:bookmarkEnd w:id="3"/>
      <w:r>
        <w:rPr>
          <w:rFonts w:hint="eastAsia"/>
        </w:rPr>
        <w:t>》及其它有关的法律和法规；为中华人民共和国境内注册的独立法人机构，具有独立承担民事责任能力；</w:t>
      </w:r>
    </w:p>
    <w:p>
      <w:pPr>
        <w:pStyle w:val="11"/>
        <w:spacing w:line="360" w:lineRule="auto"/>
        <w:ind w:firstLine="420" w:firstLineChars="200"/>
        <w:rPr>
          <w:b/>
          <w:bCs/>
          <w:color w:val="000000"/>
        </w:rPr>
      </w:pPr>
      <w:r>
        <w:rPr>
          <w:rFonts w:hint="eastAsia"/>
        </w:rPr>
        <w:t>1.</w:t>
      </w:r>
      <w:r>
        <w:t>1.2</w:t>
      </w:r>
      <w:r>
        <w:rPr>
          <w:rFonts w:hint="eastAsia"/>
          <w:bCs/>
          <w:color w:val="000000"/>
        </w:rPr>
        <w:t>公司原则上注册资金不少于500万元或不低于项目标的额，投标人注册资金不符条件但确属优秀的，经项目实施单位和业务主管部门负责人会签后，可接受投标；经营范围满足招标项目需求；并</w:t>
      </w:r>
      <w:r>
        <w:rPr>
          <w:bCs/>
          <w:color w:val="000000"/>
        </w:rPr>
        <w:t>在人员、设备、资金等方面具有承担本</w:t>
      </w:r>
      <w:r>
        <w:rPr>
          <w:rFonts w:hint="eastAsia"/>
          <w:bCs/>
          <w:color w:val="000000"/>
        </w:rPr>
        <w:t>项目</w:t>
      </w:r>
      <w:r>
        <w:rPr>
          <w:bCs/>
          <w:color w:val="000000"/>
        </w:rPr>
        <w:t>的能力</w:t>
      </w:r>
      <w:r>
        <w:rPr>
          <w:rFonts w:hint="eastAsia"/>
          <w:bCs/>
          <w:color w:val="000000"/>
        </w:rPr>
        <w:t>；</w:t>
      </w:r>
      <w:r>
        <w:rPr>
          <w:rFonts w:hint="eastAsia"/>
          <w:b/>
          <w:bCs/>
          <w:color w:val="000000"/>
        </w:rPr>
        <w:t>投标人须在当地环保政府规定的监测名录内，并具备环境监测类资质的能力；</w:t>
      </w:r>
    </w:p>
    <w:p>
      <w:pPr>
        <w:pStyle w:val="11"/>
        <w:spacing w:line="360" w:lineRule="auto"/>
        <w:ind w:firstLine="420" w:firstLineChars="200"/>
        <w:rPr>
          <w:rFonts w:hAnsi="宋体"/>
        </w:rPr>
      </w:pPr>
      <w:r>
        <w:rPr>
          <w:rFonts w:hint="eastAsia"/>
        </w:rPr>
        <w:t>1.</w:t>
      </w:r>
      <w:r>
        <w:t>1.3</w:t>
      </w:r>
      <w:r>
        <w:rPr>
          <w:rFonts w:hint="eastAsia"/>
        </w:rPr>
        <w:t>投标人须提供具有统一社会信用代码的新版营业执照副本</w:t>
      </w:r>
      <w:r>
        <w:rPr>
          <w:rFonts w:hint="eastAsia"/>
          <w:b/>
          <w:bCs/>
        </w:rPr>
        <w:t>复印件（加盖公章）；</w:t>
      </w:r>
    </w:p>
    <w:p>
      <w:pPr>
        <w:pStyle w:val="11"/>
        <w:spacing w:line="360" w:lineRule="auto"/>
        <w:ind w:firstLine="420" w:firstLineChars="200"/>
        <w:rPr>
          <w:bCs/>
          <w:color w:val="000000"/>
        </w:rPr>
      </w:pPr>
      <w:r>
        <w:rPr>
          <w:rFonts w:hint="eastAsia"/>
        </w:rPr>
        <w:t>1.</w:t>
      </w:r>
      <w:r>
        <w:t>1.4</w:t>
      </w:r>
      <w:r>
        <w:rPr>
          <w:rFonts w:hint="eastAsia"/>
        </w:rPr>
        <w:t>投标人具有良好的商业信誉，</w:t>
      </w:r>
      <w:r>
        <w:rPr>
          <w:bCs/>
          <w:color w:val="000000"/>
        </w:rPr>
        <w:t>未被列入</w:t>
      </w:r>
      <w:r>
        <w:rPr>
          <w:rFonts w:hint="eastAsia"/>
          <w:bCs/>
          <w:color w:val="000000"/>
        </w:rPr>
        <w:t>过</w:t>
      </w:r>
      <w:r>
        <w:rPr>
          <w:bCs/>
          <w:color w:val="000000"/>
        </w:rPr>
        <w:t>经营异常名录和未曾列入严重违法失信企业名单</w:t>
      </w:r>
      <w:r>
        <w:rPr>
          <w:rFonts w:hint="eastAsia"/>
          <w:bCs/>
          <w:color w:val="000000"/>
        </w:rPr>
        <w:t>。在“国家企业信用信息公示系统”、“中国执行信息公开网”、“信用中国”、“天眼查”“裁判文书网”等信息平台中，无行政处罚、失信记录及未被列入过经营异常名录等信息；</w:t>
      </w:r>
    </w:p>
    <w:p>
      <w:pPr>
        <w:pStyle w:val="11"/>
        <w:spacing w:line="360" w:lineRule="auto"/>
        <w:ind w:firstLine="420" w:firstLineChars="200"/>
        <w:rPr>
          <w:bCs/>
          <w:color w:val="000000"/>
        </w:rPr>
      </w:pPr>
      <w:r>
        <w:rPr>
          <w:rFonts w:hint="eastAsia"/>
        </w:rPr>
        <w:t>1.</w:t>
      </w:r>
      <w:r>
        <w:t>1.5</w:t>
      </w:r>
      <w:r>
        <w:rPr>
          <w:rFonts w:hint="eastAsia"/>
          <w:bCs/>
          <w:color w:val="000000"/>
        </w:rPr>
        <w:t>无招标违规、谎报年度报告信息、提供虚假资质资料等行为或其他行政处罚记录；</w:t>
      </w:r>
    </w:p>
    <w:p>
      <w:pPr>
        <w:pStyle w:val="11"/>
        <w:spacing w:line="360" w:lineRule="auto"/>
        <w:ind w:firstLine="420" w:firstLineChars="200"/>
      </w:pPr>
      <w:r>
        <w:rPr>
          <w:rFonts w:hAnsi="宋体"/>
        </w:rPr>
        <w:t>1.1.6</w:t>
      </w:r>
      <w:r>
        <w:rPr>
          <w:rFonts w:hint="eastAsia"/>
        </w:rPr>
        <w:t>具有健全的财务会计制度，有依法缴纳税收和社会保障资金的良好记录；投标单位需提供（202</w:t>
      </w:r>
      <w:r>
        <w:t>2</w:t>
      </w:r>
      <w:r>
        <w:rPr>
          <w:rFonts w:hint="eastAsia"/>
        </w:rPr>
        <w:t>年至今）经会计师事务所或审计机构出具的财务审计报告，保证单位财务状况良好可以进行投标；</w:t>
      </w:r>
    </w:p>
    <w:p>
      <w:pPr>
        <w:pStyle w:val="11"/>
        <w:spacing w:line="360" w:lineRule="auto"/>
        <w:ind w:firstLine="420" w:firstLineChars="200"/>
      </w:pPr>
      <w:r>
        <w:rPr>
          <w:rFonts w:hAnsi="宋体"/>
        </w:rPr>
        <w:t>1.1.7</w:t>
      </w:r>
      <w:r>
        <w:rPr>
          <w:rFonts w:hint="eastAsia"/>
        </w:rPr>
        <w:t>投标人必须是最终投标、签订合同的单位，不得以任何理由将已中标项目以任何形式转包给其他单位；</w:t>
      </w:r>
    </w:p>
    <w:p>
      <w:pPr>
        <w:pStyle w:val="11"/>
        <w:spacing w:line="360" w:lineRule="auto"/>
        <w:ind w:firstLine="420" w:firstLineChars="200"/>
      </w:pPr>
      <w:r>
        <w:rPr>
          <w:rFonts w:hAnsi="宋体"/>
        </w:rPr>
        <w:t>1.1.8</w:t>
      </w:r>
      <w:r>
        <w:rPr>
          <w:rFonts w:hint="eastAsia"/>
        </w:rPr>
        <w:t>本次招标项目不接受联合体投标。</w:t>
      </w:r>
    </w:p>
    <w:p>
      <w:pPr>
        <w:pStyle w:val="11"/>
        <w:spacing w:line="360" w:lineRule="auto"/>
        <w:ind w:firstLine="420" w:firstLineChars="200"/>
        <w:rPr>
          <w:szCs w:val="22"/>
        </w:rPr>
      </w:pPr>
      <w:r>
        <w:rPr>
          <w:rFonts w:hAnsi="宋体"/>
        </w:rPr>
        <w:t>1.1.11</w:t>
      </w:r>
      <w:r>
        <w:rPr>
          <w:rFonts w:hint="eastAsia"/>
          <w:szCs w:val="22"/>
        </w:rPr>
        <w:t>供方的直接或间接股东、法定代表人、董事、监事、高管非重汽员工及其亲属。</w:t>
      </w:r>
    </w:p>
    <w:p>
      <w:pPr>
        <w:pStyle w:val="11"/>
        <w:spacing w:line="360" w:lineRule="auto"/>
        <w:ind w:firstLine="420" w:firstLineChars="200"/>
      </w:pPr>
      <w:r>
        <w:rPr>
          <w:rFonts w:hAnsi="宋体"/>
        </w:rPr>
        <w:t>1.1.12</w:t>
      </w:r>
      <w:r>
        <w:rPr>
          <w:rFonts w:hint="eastAsia"/>
        </w:rPr>
        <w:t>投标人须认可招标人的工作指令，包括节假日、夜间能正常开展工作的要求；</w:t>
      </w:r>
    </w:p>
    <w:p>
      <w:pPr>
        <w:spacing w:line="360" w:lineRule="auto"/>
        <w:ind w:firstLine="420" w:firstLineChars="200"/>
        <w:rPr>
          <w:rFonts w:ascii="宋体" w:hAnsi="Courier New"/>
        </w:rPr>
      </w:pPr>
      <w:r>
        <w:rPr>
          <w:rFonts w:ascii="宋体" w:hAnsi="宋体"/>
        </w:rPr>
        <w:t>1.1.13</w:t>
      </w:r>
      <w:r>
        <w:rPr>
          <w:rFonts w:hint="eastAsia" w:ascii="宋体" w:hAnsi="宋体"/>
        </w:rPr>
        <w:t>在资</w:t>
      </w:r>
      <w:r>
        <w:rPr>
          <w:rFonts w:hint="eastAsia" w:ascii="宋体" w:hAnsi="Courier New"/>
        </w:rPr>
        <w:t>质后审环节，投标单位对以上资质内容弄虚作假的，一经查实，列入集团采购黑名单，永不采用。</w:t>
      </w:r>
    </w:p>
    <w:p>
      <w:pPr>
        <w:spacing w:line="360" w:lineRule="auto"/>
        <w:ind w:firstLine="420" w:firstLineChars="200"/>
        <w:rPr>
          <w:rFonts w:ascii="宋体" w:hAnsi="Courier New"/>
        </w:rPr>
      </w:pPr>
      <w:r>
        <w:rPr>
          <w:rFonts w:ascii="宋体" w:hAnsi="宋体"/>
        </w:rPr>
        <w:t>1.1.14</w:t>
      </w:r>
      <w:r>
        <w:rPr>
          <w:rFonts w:hint="eastAsia" w:ascii="宋体" w:hAnsi="Courier New"/>
        </w:rPr>
        <w:t>中国重汽集团杭州发动机有限公司负责对招标文件进行说明，并解答投标单位提出的问题。</w:t>
      </w:r>
    </w:p>
    <w:p>
      <w:pPr>
        <w:spacing w:line="360" w:lineRule="auto"/>
        <w:ind w:firstLine="420" w:firstLineChars="200"/>
        <w:rPr>
          <w:rFonts w:ascii="宋体" w:hAnsi="Courier New"/>
        </w:rPr>
      </w:pPr>
      <w:r>
        <w:rPr>
          <w:rFonts w:ascii="宋体" w:hAnsi="宋体"/>
        </w:rPr>
        <w:t>1.1.15</w:t>
      </w:r>
      <w:r>
        <w:rPr>
          <w:rFonts w:hint="eastAsia" w:ascii="宋体" w:hAnsi="Courier New"/>
        </w:rPr>
        <w:t>招标文件的修改通知书构成招标文件的一部分，对投标单位具有约束力。</w:t>
      </w:r>
    </w:p>
    <w:p>
      <w:pPr>
        <w:pStyle w:val="11"/>
        <w:spacing w:line="360" w:lineRule="auto"/>
        <w:ind w:firstLine="422" w:firstLineChars="200"/>
        <w:rPr>
          <w:b/>
        </w:rPr>
      </w:pPr>
      <w:r>
        <w:rPr>
          <w:b/>
        </w:rPr>
        <w:t>2</w:t>
      </w:r>
      <w:r>
        <w:rPr>
          <w:rFonts w:hint="eastAsia"/>
          <w:b/>
        </w:rPr>
        <w:t>.投标文件格式</w:t>
      </w:r>
    </w:p>
    <w:p>
      <w:pPr>
        <w:pStyle w:val="11"/>
        <w:spacing w:line="360" w:lineRule="auto"/>
        <w:ind w:firstLine="422" w:firstLineChars="200"/>
        <w:rPr>
          <w:b/>
        </w:rPr>
      </w:pPr>
      <w:r>
        <w:rPr>
          <w:rFonts w:hint="eastAsia"/>
          <w:b/>
        </w:rPr>
        <w:t>（1）资质文件</w:t>
      </w:r>
    </w:p>
    <w:p>
      <w:pPr>
        <w:pStyle w:val="11"/>
        <w:spacing w:line="360" w:lineRule="auto"/>
        <w:ind w:firstLine="428" w:firstLineChars="200"/>
        <w:rPr>
          <w:rFonts w:hAnsi="宋体"/>
          <w:spacing w:val="2"/>
        </w:rPr>
      </w:pPr>
      <w:bookmarkStart w:id="4" w:name="_Toc47976601"/>
      <w:r>
        <w:rPr>
          <w:rFonts w:hint="eastAsia" w:hAnsi="宋体"/>
          <w:spacing w:val="2"/>
        </w:rPr>
        <w:t>1.1统一社会信用代码的新版营业执照副本复印件；</w:t>
      </w:r>
    </w:p>
    <w:p>
      <w:pPr>
        <w:pStyle w:val="11"/>
        <w:spacing w:line="360" w:lineRule="auto"/>
        <w:ind w:firstLine="428" w:firstLineChars="200"/>
        <w:rPr>
          <w:rFonts w:hAnsi="宋体"/>
          <w:spacing w:val="2"/>
        </w:rPr>
      </w:pPr>
      <w:r>
        <w:rPr>
          <w:rFonts w:hint="eastAsia" w:hAnsi="宋体"/>
          <w:spacing w:val="2"/>
        </w:rPr>
        <w:t>1.2相关资质证书；</w:t>
      </w:r>
    </w:p>
    <w:p>
      <w:pPr>
        <w:pStyle w:val="11"/>
        <w:spacing w:line="360" w:lineRule="auto"/>
        <w:ind w:firstLine="428" w:firstLineChars="200"/>
        <w:rPr>
          <w:rFonts w:hAnsi="宋体"/>
          <w:spacing w:val="2"/>
        </w:rPr>
      </w:pPr>
      <w:r>
        <w:rPr>
          <w:rFonts w:hint="eastAsia" w:hAnsi="宋体"/>
          <w:spacing w:val="2"/>
        </w:rPr>
        <w:t>1.3法定代表人参加投标的，需提供法人身份证复印件；派授权人参加投标的，需提供法定代表人授权委托书及被授权人身份证复印件；</w:t>
      </w:r>
    </w:p>
    <w:p>
      <w:pPr>
        <w:pStyle w:val="11"/>
        <w:spacing w:line="360" w:lineRule="auto"/>
        <w:ind w:firstLine="428" w:firstLineChars="200"/>
        <w:rPr>
          <w:rFonts w:hAnsi="宋体"/>
          <w:spacing w:val="2"/>
        </w:rPr>
      </w:pPr>
      <w:r>
        <w:rPr>
          <w:rFonts w:hint="eastAsia" w:hAnsi="宋体"/>
          <w:spacing w:val="2"/>
        </w:rPr>
        <w:t>1.4</w:t>
      </w:r>
      <w:r>
        <w:rPr>
          <w:rFonts w:hint="eastAsia" w:hAnsi="宋体" w:cs="宋体"/>
        </w:rPr>
        <w:t>投标人须提供上一年度的财务报表（资产负债表、利润表）的复印件；</w:t>
      </w:r>
    </w:p>
    <w:p>
      <w:pPr>
        <w:pStyle w:val="11"/>
        <w:spacing w:line="360" w:lineRule="auto"/>
        <w:ind w:firstLine="428" w:firstLineChars="200"/>
        <w:rPr>
          <w:rFonts w:hAnsi="宋体"/>
          <w:spacing w:val="2"/>
        </w:rPr>
      </w:pPr>
      <w:r>
        <w:rPr>
          <w:rFonts w:hint="eastAsia" w:hAnsi="宋体"/>
          <w:spacing w:val="2"/>
        </w:rPr>
        <w:t>1.5近三年内在经营活动中没有违法违纪行为的声明。</w:t>
      </w:r>
    </w:p>
    <w:p>
      <w:pPr>
        <w:pStyle w:val="11"/>
        <w:spacing w:line="360" w:lineRule="auto"/>
        <w:ind w:firstLine="428" w:firstLineChars="200"/>
        <w:rPr>
          <w:rFonts w:hAnsi="宋体"/>
          <w:spacing w:val="2"/>
        </w:rPr>
      </w:pPr>
      <w:r>
        <w:rPr>
          <w:rFonts w:hint="eastAsia" w:hAnsi="宋体"/>
          <w:spacing w:val="2"/>
        </w:rPr>
        <w:t>1.6投标人自认为需提交的符合本招标文件总则第二章第1条所有内容的其他条款并附录。</w:t>
      </w:r>
    </w:p>
    <w:p>
      <w:pPr>
        <w:pStyle w:val="11"/>
        <w:spacing w:line="360" w:lineRule="auto"/>
        <w:ind w:firstLine="428" w:firstLineChars="200"/>
        <w:rPr>
          <w:rFonts w:hAnsi="宋体" w:cs="宋体"/>
        </w:rPr>
      </w:pPr>
      <w:r>
        <w:rPr>
          <w:rFonts w:hint="eastAsia" w:hAnsi="宋体"/>
          <w:spacing w:val="2"/>
        </w:rPr>
        <w:t>1.7</w:t>
      </w:r>
      <w:r>
        <w:rPr>
          <w:rFonts w:hint="eastAsia" w:hAnsi="宋体" w:cs="宋体"/>
        </w:rPr>
        <w:t>投标人应提交《投标文件》、《投标函》。</w:t>
      </w:r>
    </w:p>
    <w:p>
      <w:pPr>
        <w:pStyle w:val="11"/>
        <w:spacing w:line="360" w:lineRule="auto"/>
        <w:ind w:firstLine="420" w:firstLineChars="200"/>
        <w:rPr>
          <w:rFonts w:hAnsi="宋体" w:cs="宋体"/>
        </w:rPr>
      </w:pPr>
      <w:r>
        <w:rPr>
          <w:rFonts w:hint="eastAsia" w:hAnsi="宋体" w:cs="宋体"/>
        </w:rPr>
        <w:t>1.8信用中国截图（报名日期当日“信用中国”网站(www.creditchina.gov.cn）查询本单位未被列入联合惩戒失信人名单的网页截图）</w:t>
      </w:r>
    </w:p>
    <w:p>
      <w:pPr>
        <w:pStyle w:val="11"/>
        <w:spacing w:line="360" w:lineRule="auto"/>
        <w:ind w:firstLine="420" w:firstLineChars="200"/>
        <w:rPr>
          <w:rFonts w:hAnsi="宋体" w:cs="宋体"/>
        </w:rPr>
      </w:pPr>
      <w:r>
        <w:rPr>
          <w:rFonts w:hint="eastAsia" w:hAnsi="宋体"/>
        </w:rPr>
        <w:t>1.9</w:t>
      </w:r>
      <w:r>
        <w:rPr>
          <w:rFonts w:hint="eastAsia" w:hAnsi="宋体" w:cs="宋体"/>
        </w:rPr>
        <w:t>企业概况一览表：包括人员、设备、技术、专利、工艺等；</w:t>
      </w:r>
    </w:p>
    <w:p>
      <w:pPr>
        <w:widowControl/>
        <w:spacing w:line="360" w:lineRule="auto"/>
        <w:ind w:firstLine="430" w:firstLineChars="200"/>
        <w:rPr>
          <w:rFonts w:ascii="宋体" w:hAnsi="Courier New"/>
          <w:highlight w:val="yellow"/>
        </w:rPr>
      </w:pPr>
      <w:r>
        <w:rPr>
          <w:rFonts w:hint="eastAsia" w:hAnsi="宋体"/>
          <w:b/>
          <w:bCs/>
          <w:spacing w:val="2"/>
        </w:rPr>
        <w:t>重要提示：</w:t>
      </w:r>
      <w:r>
        <w:rPr>
          <w:rFonts w:hint="eastAsia" w:hAnsi="宋体"/>
          <w:spacing w:val="2"/>
        </w:rPr>
        <w:t>应标资格审核中，上述所列示的所有条款均属于</w:t>
      </w:r>
      <w:r>
        <w:rPr>
          <w:rFonts w:hint="eastAsia" w:hAnsi="宋体"/>
          <w:b/>
          <w:bCs/>
          <w:spacing w:val="2"/>
        </w:rPr>
        <w:t>否决项</w:t>
      </w:r>
      <w:r>
        <w:rPr>
          <w:rFonts w:hint="eastAsia" w:hAnsi="宋体"/>
          <w:spacing w:val="2"/>
        </w:rPr>
        <w:t>，对于任意一项或多项未达到资格审核要求的投标人，视为主动放弃投标，该投标人将不能进入后续的评标程序。对于未通过资格审核要求的投标人，不做任何解释。</w:t>
      </w:r>
    </w:p>
    <w:bookmarkEnd w:id="4"/>
    <w:p>
      <w:pPr>
        <w:pStyle w:val="11"/>
        <w:spacing w:line="360" w:lineRule="auto"/>
        <w:ind w:firstLine="422" w:firstLineChars="200"/>
        <w:rPr>
          <w:rFonts w:hint="eastAsia" w:eastAsia="宋体"/>
          <w:b/>
          <w:lang w:val="en-US" w:eastAsia="zh-CN"/>
        </w:rPr>
      </w:pPr>
      <w:r>
        <w:rPr>
          <w:rFonts w:hint="eastAsia"/>
          <w:b/>
        </w:rPr>
        <w:t>(2) 商务</w:t>
      </w:r>
      <w:r>
        <w:rPr>
          <w:rFonts w:hint="eastAsia"/>
          <w:b/>
          <w:lang w:val="en-US" w:eastAsia="zh-CN"/>
        </w:rPr>
        <w:t>文件</w:t>
      </w:r>
    </w:p>
    <w:p>
      <w:pPr>
        <w:pStyle w:val="11"/>
        <w:spacing w:line="360" w:lineRule="auto"/>
        <w:ind w:firstLine="422" w:firstLineChars="200"/>
        <w:rPr>
          <w:rFonts w:hAnsi="宋体" w:eastAsia="Calibri"/>
        </w:rPr>
      </w:pPr>
      <w:r>
        <w:rPr>
          <w:rFonts w:hint="eastAsia" w:hAnsi="宋体" w:cs="宋体"/>
          <w:b/>
          <w:bCs/>
        </w:rPr>
        <w:t>1</w:t>
      </w:r>
      <w:r>
        <w:rPr>
          <w:rFonts w:hint="eastAsia" w:hAnsi="宋体" w:cs="宋体"/>
        </w:rPr>
        <w:t>乙方统一按照委托内容及报价明细（附件五）填写报价，并标明价格所含税率</w:t>
      </w:r>
      <w:r>
        <w:rPr>
          <w:rFonts w:hint="eastAsia" w:hAnsi="宋体"/>
        </w:rPr>
        <w:t>；</w:t>
      </w:r>
    </w:p>
    <w:p>
      <w:pPr>
        <w:pStyle w:val="11"/>
        <w:spacing w:line="360" w:lineRule="auto"/>
        <w:ind w:firstLine="422" w:firstLineChars="200"/>
        <w:rPr>
          <w:rFonts w:hAnsi="宋体"/>
        </w:rPr>
      </w:pPr>
      <w:r>
        <w:rPr>
          <w:rFonts w:hint="eastAsia" w:hAnsi="宋体"/>
          <w:b/>
          <w:bCs/>
        </w:rPr>
        <w:t>2</w:t>
      </w:r>
      <w:r>
        <w:rPr>
          <w:rFonts w:hint="eastAsia"/>
        </w:rPr>
        <w:t>开标一览表</w:t>
      </w:r>
    </w:p>
    <w:p>
      <w:pPr>
        <w:pStyle w:val="11"/>
        <w:spacing w:line="360" w:lineRule="auto"/>
        <w:ind w:firstLine="422" w:firstLineChars="200"/>
        <w:rPr>
          <w:b/>
        </w:rPr>
      </w:pPr>
      <w:r>
        <w:rPr>
          <w:rFonts w:hint="eastAsia"/>
          <w:b/>
        </w:rPr>
        <w:t>3报价：</w:t>
      </w:r>
    </w:p>
    <w:p>
      <w:pPr>
        <w:pStyle w:val="11"/>
        <w:spacing w:line="360" w:lineRule="auto"/>
        <w:ind w:firstLine="420" w:firstLineChars="200"/>
      </w:pPr>
      <w:r>
        <w:rPr>
          <w:rFonts w:hint="eastAsia" w:hAnsi="宋体"/>
        </w:rPr>
        <w:t>（1）</w:t>
      </w:r>
      <w:r>
        <w:rPr>
          <w:rFonts w:hint="eastAsia"/>
        </w:rPr>
        <w:t>本次招标为公开招标，报价应为：投标方与招标人或其指派的答疑人员充分沟通确认基础上，由投标人在满足招标人所提出的、与本项目所有相关环节有关的所有费用；</w:t>
      </w:r>
    </w:p>
    <w:p>
      <w:pPr>
        <w:pStyle w:val="11"/>
        <w:spacing w:line="360" w:lineRule="auto"/>
        <w:ind w:firstLine="420" w:firstLineChars="200"/>
      </w:pPr>
      <w:r>
        <w:rPr>
          <w:rFonts w:hint="eastAsia" w:hAnsi="宋体"/>
        </w:rPr>
        <w:t>（2）投标方报价上限</w:t>
      </w:r>
      <w:r>
        <w:rPr>
          <w:rFonts w:hAnsi="宋体"/>
          <w:b/>
        </w:rPr>
        <w:t>48.00</w:t>
      </w:r>
      <w:r>
        <w:rPr>
          <w:rFonts w:hint="eastAsia" w:hAnsi="宋体"/>
        </w:rPr>
        <w:t>万元（含税</w:t>
      </w:r>
      <w:r>
        <w:rPr>
          <w:rFonts w:hint="eastAsia" w:hAnsi="宋体"/>
          <w:lang w:eastAsia="zh-CN"/>
        </w:rPr>
        <w:t>，</w:t>
      </w:r>
      <w:r>
        <w:rPr>
          <w:rFonts w:hint="eastAsia" w:hAnsi="宋体"/>
          <w:lang w:val="en-US" w:eastAsia="zh-CN"/>
        </w:rPr>
        <w:t>税率6%</w:t>
      </w:r>
      <w:r>
        <w:rPr>
          <w:rFonts w:hint="eastAsia" w:hAnsi="宋体"/>
        </w:rPr>
        <w:t>）；</w:t>
      </w:r>
    </w:p>
    <w:p>
      <w:pPr>
        <w:spacing w:line="360" w:lineRule="auto"/>
        <w:ind w:left="420" w:leftChars="200"/>
        <w:rPr>
          <w:rFonts w:ascii="宋体" w:hAnsi="Courier New"/>
        </w:rPr>
      </w:pPr>
      <w:r>
        <w:rPr>
          <w:rFonts w:hint="eastAsia" w:ascii="宋体" w:hAnsi="Courier New"/>
        </w:rPr>
        <w:t>（3）所有报价货币单位为：</w:t>
      </w:r>
    </w:p>
    <w:p>
      <w:pPr>
        <w:spacing w:line="360" w:lineRule="auto"/>
        <w:ind w:left="420" w:leftChars="200"/>
        <w:rPr>
          <w:rFonts w:ascii="宋体" w:hAnsi="Courier New"/>
        </w:rPr>
      </w:pPr>
      <w:r>
        <w:rPr>
          <w:rFonts w:hint="eastAsia" w:ascii="宋体" w:hAnsi="Courier New"/>
        </w:rPr>
        <w:t>合计项目总价</w:t>
      </w:r>
      <w:r>
        <w:rPr>
          <w:rFonts w:hint="eastAsia" w:ascii="宋体" w:hAnsi="Courier New"/>
          <w:u w:val="single"/>
        </w:rPr>
        <w:t xml:space="preserve">    </w:t>
      </w:r>
      <w:r>
        <w:rPr>
          <w:rFonts w:hint="eastAsia" w:ascii="宋体" w:hAnsi="Courier New"/>
        </w:rPr>
        <w:t>元（人民币，未税）；税率</w:t>
      </w:r>
      <w:r>
        <w:rPr>
          <w:rFonts w:hint="eastAsia" w:ascii="宋体" w:hAnsi="Courier New"/>
          <w:u w:val="single"/>
        </w:rPr>
        <w:t xml:space="preserve">   </w:t>
      </w:r>
      <w:r>
        <w:rPr>
          <w:rFonts w:hint="eastAsia" w:ascii="宋体" w:hAnsi="Courier New"/>
        </w:rPr>
        <w:t>；</w:t>
      </w:r>
      <w:r>
        <w:rPr>
          <w:rFonts w:hint="eastAsia" w:ascii="宋体" w:hAnsi="Courier New"/>
          <w:u w:val="single"/>
        </w:rPr>
        <w:t xml:space="preserve">   </w:t>
      </w:r>
      <w:r>
        <w:rPr>
          <w:rFonts w:hint="eastAsia" w:ascii="宋体" w:hAnsi="Courier New"/>
        </w:rPr>
        <w:t>元（人民币，含税）。</w:t>
      </w:r>
    </w:p>
    <w:p>
      <w:pPr>
        <w:spacing w:line="360" w:lineRule="auto"/>
        <w:ind w:firstLine="420" w:firstLineChars="200"/>
        <w:rPr>
          <w:rFonts w:hAnsi="宋体"/>
          <w:highlight w:val="yellow"/>
        </w:rPr>
      </w:pPr>
      <w:r>
        <w:rPr>
          <w:rFonts w:hint="eastAsia" w:hAnsi="宋体"/>
        </w:rPr>
        <w:t>（4）原则上招标人将与中标人签订合同。鉴于此，投标人应酌情考虑总体能力，本着诚信合作的态度，向招标人提供真实、合理的投标报价；</w:t>
      </w:r>
    </w:p>
    <w:p>
      <w:pPr>
        <w:spacing w:line="360" w:lineRule="auto"/>
        <w:ind w:firstLine="420" w:firstLineChars="200"/>
        <w:rPr>
          <w:rFonts w:hAnsi="宋体"/>
        </w:rPr>
      </w:pPr>
      <w:r>
        <w:rPr>
          <w:rFonts w:hint="eastAsia" w:hAnsi="宋体"/>
        </w:rPr>
        <w:t>（</w:t>
      </w:r>
      <w:r>
        <w:rPr>
          <w:rFonts w:hAnsi="宋体"/>
        </w:rPr>
        <w:t>5</w:t>
      </w:r>
      <w:r>
        <w:rPr>
          <w:rFonts w:hint="eastAsia" w:hAnsi="宋体"/>
        </w:rPr>
        <w:t>）投标人所提供的单价和合价在合同实施期间不因市场变化因素而变动，投标人在计算报价时可考虑一定的风险系数；凡漏项报价者，中标后不得调整价格。（报价应明确含税价格，不含税价格以及开具发票税率）。</w:t>
      </w:r>
    </w:p>
    <w:p>
      <w:pPr>
        <w:spacing w:line="360" w:lineRule="auto"/>
        <w:ind w:firstLine="420" w:firstLineChars="200"/>
        <w:rPr>
          <w:rFonts w:hAnsi="宋体"/>
        </w:rPr>
      </w:pPr>
      <w:r>
        <w:rPr>
          <w:rFonts w:hint="eastAsia" w:hAnsi="宋体"/>
        </w:rPr>
        <w:t>（</w:t>
      </w:r>
      <w:r>
        <w:rPr>
          <w:rFonts w:hAnsi="宋体"/>
        </w:rPr>
        <w:t>6</w:t>
      </w:r>
      <w:r>
        <w:rPr>
          <w:rFonts w:hint="eastAsia" w:hAnsi="宋体"/>
        </w:rPr>
        <w:t>）投标人所提供的单价需覆盖除尘灰的处置费和运输费等所有费用。</w:t>
      </w:r>
    </w:p>
    <w:p>
      <w:pPr>
        <w:spacing w:line="360" w:lineRule="auto"/>
        <w:ind w:firstLine="420" w:firstLineChars="200"/>
        <w:rPr>
          <w:rFonts w:hAnsi="宋体"/>
        </w:rPr>
      </w:pPr>
      <w:r>
        <w:rPr>
          <w:rFonts w:hint="eastAsia" w:hAnsi="宋体"/>
        </w:rPr>
        <w:t>如投标人不认可、不接受付款方式，则须在本标书开标一览表中注明，招标人将视之为主动弃标。</w:t>
      </w:r>
    </w:p>
    <w:p>
      <w:pPr>
        <w:pStyle w:val="11"/>
        <w:spacing w:line="360" w:lineRule="auto"/>
        <w:ind w:firstLine="422" w:firstLineChars="200"/>
      </w:pPr>
      <w:r>
        <w:rPr>
          <w:rFonts w:hint="eastAsia" w:hAnsi="宋体"/>
          <w:b/>
        </w:rPr>
        <w:t>注：</w:t>
      </w:r>
      <w:r>
        <w:rPr>
          <w:rFonts w:hint="eastAsia" w:hAnsi="宋体"/>
        </w:rPr>
        <w:t>可做正偏离，但不允许有低于本招标文件相关要求的情况出现，否则视为</w:t>
      </w:r>
      <w:r>
        <w:rPr>
          <w:rFonts w:hint="eastAsia"/>
        </w:rPr>
        <w:t>主动放弃本项目投标</w:t>
      </w:r>
      <w:r>
        <w:rPr>
          <w:rFonts w:hint="eastAsia" w:hAnsi="宋体"/>
        </w:rPr>
        <w:t>。</w:t>
      </w:r>
    </w:p>
    <w:p>
      <w:pPr>
        <w:pStyle w:val="11"/>
        <w:spacing w:line="360" w:lineRule="auto"/>
        <w:ind w:firstLine="422" w:firstLineChars="200"/>
        <w:rPr>
          <w:rFonts w:ascii="Calibri" w:hAnsi="Calibri"/>
        </w:rPr>
      </w:pPr>
      <w:r>
        <w:rPr>
          <w:rFonts w:hint="eastAsia"/>
          <w:b/>
        </w:rPr>
        <w:t>5、付款方式：</w:t>
      </w:r>
      <w:r>
        <w:rPr>
          <w:rFonts w:hint="eastAsia"/>
          <w:bCs/>
          <w:u w:val="single"/>
        </w:rPr>
        <w:t>验收通过后，并对发票进行确认后支付</w:t>
      </w:r>
      <w:r>
        <w:rPr>
          <w:rFonts w:hint="eastAsia" w:ascii="Calibri" w:hAnsi="Calibri"/>
          <w:bCs/>
        </w:rPr>
        <w:t>，具体以</w:t>
      </w:r>
      <w:r>
        <w:rPr>
          <w:rFonts w:hint="eastAsia" w:ascii="Calibri" w:hAnsi="Calibri"/>
        </w:rPr>
        <w:t>双方最终签署的合同为准。</w:t>
      </w:r>
    </w:p>
    <w:p>
      <w:pPr>
        <w:pStyle w:val="11"/>
        <w:spacing w:line="360" w:lineRule="auto"/>
        <w:ind w:firstLine="422" w:firstLineChars="200"/>
        <w:rPr>
          <w:rFonts w:ascii="Calibri" w:hAnsi="Calibri"/>
        </w:rPr>
      </w:pPr>
      <w:r>
        <w:rPr>
          <w:rFonts w:hint="eastAsia" w:ascii="Calibri" w:hAnsi="Calibri"/>
          <w:b/>
          <w:bCs/>
        </w:rPr>
        <w:t>付款结算方法：</w:t>
      </w:r>
      <w:r>
        <w:rPr>
          <w:rFonts w:hint="eastAsia" w:ascii="Calibri" w:hAnsi="Calibri"/>
          <w:u w:val="single"/>
        </w:rPr>
        <w:t>银行转账</w:t>
      </w:r>
    </w:p>
    <w:p>
      <w:pPr>
        <w:pStyle w:val="11"/>
        <w:spacing w:line="360" w:lineRule="auto"/>
        <w:ind w:firstLine="428" w:firstLineChars="200"/>
        <w:rPr>
          <w:b/>
        </w:rPr>
      </w:pPr>
      <w:r>
        <w:rPr>
          <w:rFonts w:hint="eastAsia" w:hAnsi="宋体"/>
          <w:spacing w:val="2"/>
        </w:rPr>
        <w:t>每月出具检测报告后，并开具 6%的增值税专用发票，入账后次月以银行转账结算，一月一结。</w:t>
      </w:r>
    </w:p>
    <w:p>
      <w:pPr>
        <w:pStyle w:val="30"/>
        <w:bidi w:val="0"/>
        <w:rPr>
          <w:b/>
          <w:bCs/>
        </w:rPr>
      </w:pPr>
      <w:r>
        <w:rPr>
          <w:rFonts w:hint="eastAsia"/>
          <w:b/>
          <w:bCs/>
        </w:rPr>
        <w:t>*注：付款方式及付款比例不允许偏离。</w:t>
      </w:r>
    </w:p>
    <w:p>
      <w:pPr>
        <w:spacing w:line="360" w:lineRule="auto"/>
        <w:ind w:firstLine="422" w:firstLineChars="200"/>
        <w:rPr>
          <w:rFonts w:ascii="宋体" w:cs="宋体"/>
        </w:rPr>
      </w:pPr>
      <w:r>
        <w:rPr>
          <w:rFonts w:hint="eastAsia" w:hAnsi="Courier New"/>
          <w:b/>
        </w:rPr>
        <w:t>6、</w:t>
      </w:r>
      <w:r>
        <w:rPr>
          <w:rFonts w:hint="eastAsia" w:ascii="宋体" w:hAnsi="宋体" w:cs="宋体"/>
        </w:rPr>
        <w:t>投标文件不得涂改和增删，如有修改错漏的地方，必须由法人代表或授权代表签字或盖章。</w:t>
      </w:r>
    </w:p>
    <w:p>
      <w:pPr>
        <w:spacing w:line="360" w:lineRule="auto"/>
        <w:ind w:firstLine="422" w:firstLineChars="200"/>
        <w:rPr>
          <w:rFonts w:ascii="宋体" w:hAnsi="宋体" w:cs="宋体"/>
        </w:rPr>
      </w:pPr>
      <w:r>
        <w:rPr>
          <w:rFonts w:hint="eastAsia" w:ascii="宋体" w:hAnsi="宋体" w:cs="宋体"/>
          <w:b/>
          <w:bCs/>
        </w:rPr>
        <w:t>7、</w:t>
      </w:r>
      <w:r>
        <w:rPr>
          <w:rFonts w:hint="eastAsia" w:ascii="宋体" w:hAnsi="宋体" w:cs="宋体"/>
        </w:rPr>
        <w:t>投标文件因字迹潦草或表达不清所引起的后果由投标人负责。</w:t>
      </w:r>
    </w:p>
    <w:p>
      <w:pPr>
        <w:pStyle w:val="11"/>
        <w:spacing w:line="360" w:lineRule="auto"/>
        <w:ind w:firstLine="422" w:firstLineChars="200"/>
      </w:pPr>
      <w:r>
        <w:rPr>
          <w:rFonts w:hint="eastAsia" w:hAnsi="宋体" w:cs="宋体"/>
          <w:b/>
          <w:bCs/>
        </w:rPr>
        <w:t>8、</w:t>
      </w:r>
      <w:r>
        <w:rPr>
          <w:rFonts w:hint="eastAsia" w:hAnsi="宋体" w:cs="宋体"/>
        </w:rPr>
        <w:t>投标文件格式详见标书附件。</w:t>
      </w:r>
    </w:p>
    <w:p>
      <w:pPr>
        <w:pStyle w:val="11"/>
        <w:spacing w:line="360" w:lineRule="auto"/>
        <w:rPr>
          <w:b/>
        </w:rPr>
      </w:pPr>
    </w:p>
    <w:p>
      <w:pPr>
        <w:pStyle w:val="11"/>
        <w:spacing w:line="360" w:lineRule="auto"/>
        <w:rPr>
          <w:rFonts w:ascii="黑体" w:eastAsia="黑体"/>
          <w:b/>
          <w:bCs/>
          <w:sz w:val="28"/>
        </w:rPr>
      </w:pPr>
      <w:r>
        <w:rPr>
          <w:rFonts w:hint="eastAsia" w:ascii="黑体" w:eastAsia="黑体"/>
          <w:b/>
          <w:bCs/>
          <w:sz w:val="28"/>
        </w:rPr>
        <w:t>七、投标、开标、评标</w:t>
      </w:r>
    </w:p>
    <w:p>
      <w:pPr>
        <w:pStyle w:val="11"/>
        <w:spacing w:line="360" w:lineRule="auto"/>
        <w:ind w:firstLine="420" w:firstLineChars="200"/>
      </w:pPr>
      <w:r>
        <w:rPr>
          <w:rFonts w:hint="eastAsia"/>
        </w:rPr>
        <w:t>1.投标保证金：</w:t>
      </w:r>
    </w:p>
    <w:p>
      <w:pPr>
        <w:pStyle w:val="11"/>
        <w:spacing w:line="360" w:lineRule="auto"/>
        <w:ind w:left="77"/>
        <w:rPr>
          <w:rFonts w:hAnsi="宋体"/>
        </w:rPr>
      </w:pPr>
      <w:r>
        <w:rPr>
          <w:rFonts w:hint="eastAsia"/>
        </w:rPr>
        <w:t>投标人须向招标人缴纳投标保证金，投标保证金为</w:t>
      </w:r>
      <w:r>
        <w:rPr>
          <w:rFonts w:hint="eastAsia"/>
          <w:highlight w:val="green"/>
        </w:rPr>
        <w:t>5000</w:t>
      </w:r>
      <w:r>
        <w:rPr>
          <w:rFonts w:hint="eastAsia"/>
        </w:rPr>
        <w:t>元（人民币大写伍仟元整），本次招标收取的投标保证金公对公（基本账户）以现汇形式进行交款，不允许以个人名义交款，汇款时必须注明</w:t>
      </w:r>
      <w:r>
        <w:t>“</w:t>
      </w:r>
      <w:r>
        <w:rPr>
          <w:rFonts w:hint="eastAsia"/>
        </w:rPr>
        <w:t>公司名称+</w:t>
      </w:r>
      <w:r>
        <w:t>中国重汽杭发公司</w:t>
      </w:r>
      <w:r>
        <w:rPr>
          <w:rFonts w:hint="eastAsia"/>
        </w:rPr>
        <w:t>202</w:t>
      </w:r>
      <w:r>
        <w:t>6</w:t>
      </w:r>
      <w:r>
        <w:rPr>
          <w:rFonts w:hint="eastAsia"/>
        </w:rPr>
        <w:t>年环境监测项目</w:t>
      </w:r>
      <w:r>
        <w:t>”</w:t>
      </w:r>
      <w:r>
        <w:rPr>
          <w:rFonts w:hint="eastAsia"/>
        </w:rPr>
        <w:t xml:space="preserve">，收款开户行及账户见下： </w:t>
      </w:r>
    </w:p>
    <w:p>
      <w:pPr>
        <w:pStyle w:val="31"/>
        <w:spacing w:line="520" w:lineRule="exact"/>
        <w:ind w:firstLine="420"/>
        <w:rPr>
          <w:rFonts w:hAnsi="Courier New" w:eastAsia="宋体"/>
          <w:color w:val="auto"/>
          <w:sz w:val="21"/>
          <w:szCs w:val="20"/>
        </w:rPr>
      </w:pPr>
      <w:r>
        <w:rPr>
          <w:rFonts w:hint="eastAsia" w:hAnsi="Courier New" w:eastAsia="宋体"/>
          <w:color w:val="auto"/>
          <w:sz w:val="21"/>
          <w:szCs w:val="20"/>
        </w:rPr>
        <w:t>名称：</w:t>
      </w:r>
      <w:r>
        <w:t>中国重汽集团杭州发动机有限公司</w:t>
      </w:r>
    </w:p>
    <w:p>
      <w:pPr>
        <w:pStyle w:val="31"/>
        <w:spacing w:line="520" w:lineRule="exact"/>
        <w:ind w:firstLine="420"/>
        <w:rPr>
          <w:rFonts w:hAnsi="Courier New" w:eastAsia="宋体"/>
          <w:color w:val="auto"/>
          <w:sz w:val="21"/>
          <w:szCs w:val="20"/>
        </w:rPr>
      </w:pPr>
      <w:r>
        <w:rPr>
          <w:rFonts w:hint="eastAsia" w:hAnsi="Courier New" w:eastAsia="宋体"/>
          <w:color w:val="auto"/>
          <w:sz w:val="21"/>
          <w:szCs w:val="20"/>
        </w:rPr>
        <w:t>地址：</w:t>
      </w:r>
      <w:r>
        <w:t>萧山区萧山经济技术开发区红垦农场红泰六路699号</w:t>
      </w:r>
    </w:p>
    <w:p>
      <w:pPr>
        <w:pStyle w:val="31"/>
        <w:spacing w:line="520" w:lineRule="exact"/>
        <w:ind w:firstLine="420"/>
        <w:rPr>
          <w:rFonts w:hAnsi="Courier New" w:eastAsia="宋体"/>
          <w:color w:val="auto"/>
          <w:sz w:val="21"/>
          <w:szCs w:val="20"/>
        </w:rPr>
      </w:pPr>
      <w:r>
        <w:rPr>
          <w:rFonts w:hint="eastAsia" w:hAnsi="Courier New" w:eastAsia="宋体"/>
          <w:color w:val="auto"/>
          <w:sz w:val="21"/>
          <w:szCs w:val="20"/>
        </w:rPr>
        <w:t>账号：</w:t>
      </w:r>
      <w:r>
        <w:t>1202051439900007785</w:t>
      </w:r>
    </w:p>
    <w:p>
      <w:pPr>
        <w:pStyle w:val="31"/>
        <w:spacing w:line="520" w:lineRule="exact"/>
        <w:ind w:firstLine="420"/>
        <w:rPr>
          <w:rFonts w:hAnsi="Courier New" w:eastAsia="宋体"/>
          <w:color w:val="auto"/>
          <w:sz w:val="21"/>
          <w:szCs w:val="20"/>
        </w:rPr>
      </w:pPr>
      <w:r>
        <w:rPr>
          <w:rFonts w:hint="eastAsia" w:hAnsi="Courier New" w:eastAsia="宋体"/>
          <w:color w:val="auto"/>
          <w:sz w:val="21"/>
          <w:szCs w:val="20"/>
        </w:rPr>
        <w:t>开户行行号：</w:t>
      </w:r>
      <w:r>
        <w:t>102331005147</w:t>
      </w:r>
    </w:p>
    <w:p>
      <w:pPr>
        <w:pStyle w:val="31"/>
        <w:spacing w:line="520" w:lineRule="exact"/>
        <w:ind w:firstLine="420"/>
        <w:rPr>
          <w:rFonts w:hAnsi="Courier New" w:eastAsia="宋体"/>
          <w:color w:val="auto"/>
          <w:sz w:val="21"/>
          <w:szCs w:val="20"/>
        </w:rPr>
      </w:pPr>
      <w:r>
        <w:rPr>
          <w:rFonts w:hint="eastAsia" w:hAnsi="Courier New" w:eastAsia="宋体"/>
          <w:color w:val="auto"/>
          <w:sz w:val="21"/>
          <w:szCs w:val="20"/>
        </w:rPr>
        <w:t>开户行：</w:t>
      </w:r>
      <w:r>
        <w:t>工行半道红支行</w:t>
      </w:r>
    </w:p>
    <w:p>
      <w:pPr>
        <w:pStyle w:val="31"/>
        <w:spacing w:line="520" w:lineRule="exact"/>
        <w:ind w:firstLine="420"/>
        <w:rPr>
          <w:rFonts w:ascii="仿宋_GB2312" w:hAnsi="仿宋" w:eastAsia="仿宋_GB2312"/>
          <w:sz w:val="30"/>
          <w:szCs w:val="30"/>
        </w:rPr>
      </w:pPr>
      <w:r>
        <w:rPr>
          <w:rFonts w:hint="eastAsia" w:hAnsi="Courier New" w:eastAsia="宋体"/>
          <w:color w:val="auto"/>
          <w:sz w:val="21"/>
          <w:szCs w:val="20"/>
          <w:highlight w:val="green"/>
        </w:rPr>
        <w:t>投标人需在投标</w:t>
      </w:r>
      <w:r>
        <w:rPr>
          <w:rFonts w:hint="eastAsia" w:hAnsi="Courier New" w:eastAsia="宋体"/>
          <w:color w:val="auto"/>
          <w:sz w:val="21"/>
          <w:szCs w:val="20"/>
          <w:highlight w:val="green"/>
          <w:lang w:val="en-US" w:eastAsia="zh-CN"/>
        </w:rPr>
        <w:t>截止日之前</w:t>
      </w:r>
      <w:r>
        <w:rPr>
          <w:rFonts w:hint="eastAsia" w:hAnsi="Courier New" w:eastAsia="宋体"/>
          <w:color w:val="auto"/>
          <w:sz w:val="21"/>
          <w:szCs w:val="20"/>
          <w:highlight w:val="green"/>
        </w:rPr>
        <w:t>缴纳投标保证金，并在投标文件中上传相关证明</w:t>
      </w:r>
      <w:r>
        <w:rPr>
          <w:rFonts w:hint="eastAsia" w:hAnsi="Courier New" w:eastAsia="宋体"/>
          <w:color w:val="auto"/>
          <w:sz w:val="21"/>
          <w:szCs w:val="20"/>
        </w:rPr>
        <w:t>。开标时，投标人须向招标人提供付款证明。中标单位的招标保证金在合同签订后的下一付款周期返还到交纳账户；未中标单位的投标保证金在中标结果公布后的下一付款周期返还到交纳账户；开标现场被判定为否决单位的，其投标保证金在开标之后的下一付款周期返还到交纳账户。保证金均为无息返还。</w:t>
      </w:r>
    </w:p>
    <w:p>
      <w:pPr>
        <w:pStyle w:val="11"/>
        <w:spacing w:line="360" w:lineRule="auto"/>
        <w:ind w:firstLine="420" w:firstLineChars="200"/>
        <w:rPr>
          <w:rFonts w:hAnsi="宋体" w:cs="宋体"/>
        </w:rPr>
      </w:pPr>
      <w:r>
        <w:rPr>
          <w:rFonts w:hint="eastAsia" w:hAnsi="宋体" w:cs="宋体"/>
        </w:rPr>
        <w:t>2.说明：</w:t>
      </w:r>
    </w:p>
    <w:p>
      <w:pPr>
        <w:pStyle w:val="11"/>
        <w:spacing w:line="360" w:lineRule="auto"/>
        <w:ind w:firstLine="420" w:firstLineChars="200"/>
        <w:rPr>
          <w:rFonts w:hAnsi="宋体" w:cs="宋体"/>
        </w:rPr>
      </w:pPr>
      <w:r>
        <w:rPr>
          <w:rFonts w:hint="eastAsia" w:hAnsi="宋体" w:cs="宋体"/>
        </w:rPr>
        <w:t>(a)无正当理由随意放弃投标、撤销投标文件、中标后无正当理由拒签合同、在签订合同时向招标人或合同签订单位提出无理附加条件的，投标保证金不予返还，该投标人2年不得参与招标人组织的招投标项目。</w:t>
      </w:r>
    </w:p>
    <w:p>
      <w:pPr>
        <w:pStyle w:val="11"/>
        <w:spacing w:line="360" w:lineRule="auto"/>
        <w:ind w:firstLine="420" w:firstLineChars="200"/>
      </w:pPr>
      <w:r>
        <w:rPr>
          <w:rFonts w:hint="eastAsia"/>
        </w:rPr>
        <w:t>(b)投标人在向招标人出示《投标保证金缴纳凭证》后方可进行投标。</w:t>
      </w:r>
    </w:p>
    <w:p>
      <w:pPr>
        <w:pStyle w:val="11"/>
        <w:spacing w:line="360" w:lineRule="auto"/>
        <w:ind w:firstLine="420" w:firstLineChars="200"/>
        <w:rPr>
          <w:szCs w:val="22"/>
        </w:rPr>
      </w:pPr>
      <w:r>
        <w:rPr>
          <w:rFonts w:hint="eastAsia"/>
        </w:rPr>
        <w:t>(c)</w:t>
      </w:r>
      <w:r>
        <w:rPr>
          <w:rFonts w:hint="eastAsia"/>
          <w:szCs w:val="22"/>
        </w:rPr>
        <w:t>发生以下情况时，项目实施单位有权没收保证金：</w:t>
      </w:r>
    </w:p>
    <w:p>
      <w:pPr>
        <w:pStyle w:val="11"/>
        <w:spacing w:line="360" w:lineRule="auto"/>
        <w:ind w:firstLine="420" w:firstLineChars="200"/>
        <w:rPr>
          <w:szCs w:val="22"/>
        </w:rPr>
      </w:pPr>
      <w:r>
        <w:rPr>
          <w:rFonts w:hint="eastAsia"/>
          <w:szCs w:val="22"/>
        </w:rPr>
        <w:t>a）截至开标前3天，投标人无正当理由且未以书面形式递交说明而在投标截止日不来投标的；</w:t>
      </w:r>
    </w:p>
    <w:p>
      <w:pPr>
        <w:pStyle w:val="11"/>
        <w:spacing w:line="360" w:lineRule="auto"/>
        <w:ind w:firstLine="420" w:firstLineChars="200"/>
        <w:rPr>
          <w:szCs w:val="22"/>
        </w:rPr>
      </w:pPr>
      <w:r>
        <w:rPr>
          <w:rFonts w:hint="eastAsia"/>
          <w:szCs w:val="22"/>
        </w:rPr>
        <w:t>b）投标人递送投标文件后，无正当理由放弃投标的；</w:t>
      </w:r>
    </w:p>
    <w:p>
      <w:pPr>
        <w:pStyle w:val="11"/>
        <w:spacing w:line="360" w:lineRule="auto"/>
        <w:ind w:firstLine="420" w:firstLineChars="200"/>
        <w:rPr>
          <w:szCs w:val="22"/>
        </w:rPr>
      </w:pPr>
      <w:r>
        <w:rPr>
          <w:rFonts w:hint="eastAsia"/>
          <w:szCs w:val="22"/>
        </w:rPr>
        <w:t>c）自中标通知书发出之日起30日内，中标人无正当理由不签订合同的；</w:t>
      </w:r>
    </w:p>
    <w:p>
      <w:pPr>
        <w:pStyle w:val="11"/>
        <w:spacing w:line="360" w:lineRule="auto"/>
        <w:ind w:firstLine="420" w:firstLineChars="200"/>
        <w:rPr>
          <w:szCs w:val="22"/>
        </w:rPr>
      </w:pPr>
      <w:r>
        <w:rPr>
          <w:rFonts w:hint="eastAsia"/>
          <w:szCs w:val="22"/>
        </w:rPr>
        <w:t>d）投标人在投标过程中被查实有串标、围标、陪标等违规违纪行为的；</w:t>
      </w:r>
    </w:p>
    <w:p>
      <w:pPr>
        <w:pStyle w:val="11"/>
        <w:spacing w:line="360" w:lineRule="auto"/>
        <w:ind w:firstLine="420" w:firstLineChars="200"/>
      </w:pPr>
      <w:r>
        <w:rPr>
          <w:rFonts w:hint="eastAsia"/>
          <w:szCs w:val="22"/>
        </w:rPr>
        <w:t>e）投标人有违约违规行为或被投诉、举报的，在调查处理期间，保证金暂不退还，待调查处理结束后按有关规定处理。</w:t>
      </w:r>
    </w:p>
    <w:p>
      <w:pPr>
        <w:pStyle w:val="11"/>
        <w:spacing w:line="360" w:lineRule="auto"/>
        <w:ind w:firstLine="420" w:firstLineChars="200"/>
      </w:pPr>
      <w:r>
        <w:rPr>
          <w:rFonts w:hint="eastAsia"/>
        </w:rPr>
        <w:t>2.开评标：评标方法：资质标审核→商务标评审。原则上选取</w:t>
      </w:r>
      <w:r>
        <w:rPr>
          <w:rFonts w:hint="eastAsia"/>
          <w:b/>
          <w:bCs/>
          <w:highlight w:val="yellow"/>
        </w:rPr>
        <w:t>合理最低价中标</w:t>
      </w:r>
      <w:r>
        <w:rPr>
          <w:rFonts w:hint="eastAsia"/>
        </w:rPr>
        <w:t>。</w:t>
      </w:r>
    </w:p>
    <w:p>
      <w:pPr>
        <w:pStyle w:val="11"/>
        <w:spacing w:line="360" w:lineRule="auto"/>
        <w:ind w:firstLine="420" w:firstLineChars="200"/>
      </w:pPr>
      <w:bookmarkStart w:id="5" w:name="_Toc33266951"/>
      <w:bookmarkStart w:id="6" w:name="_Toc33266915"/>
      <w:bookmarkStart w:id="7" w:name="_Toc395116634"/>
      <w:bookmarkStart w:id="8" w:name="_Toc33267002"/>
      <w:bookmarkStart w:id="9" w:name="_Toc33265654"/>
      <w:bookmarkStart w:id="10" w:name="_Toc33265753"/>
      <w:bookmarkStart w:id="11" w:name="_Toc33266628"/>
      <w:bookmarkStart w:id="12" w:name="_Toc33285489"/>
      <w:r>
        <w:rPr>
          <w:rFonts w:hint="eastAsia"/>
        </w:rPr>
        <w:t>本着公平、公正、公开的原则，</w:t>
      </w:r>
      <w:r>
        <w:rPr>
          <w:rFonts w:hint="eastAsia"/>
          <w:highlight w:val="green"/>
        </w:rPr>
        <w:t>在满足技术要求的前提下</w:t>
      </w:r>
      <w:r>
        <w:rPr>
          <w:rFonts w:hint="eastAsia"/>
        </w:rPr>
        <w:t>，选择合理最低价确定中标人，对未中标单位不做任何解释。</w:t>
      </w:r>
      <w:bookmarkStart w:id="14" w:name="_GoBack"/>
      <w:bookmarkEnd w:id="14"/>
    </w:p>
    <w:bookmarkEnd w:id="5"/>
    <w:bookmarkEnd w:id="6"/>
    <w:bookmarkEnd w:id="7"/>
    <w:bookmarkEnd w:id="8"/>
    <w:bookmarkEnd w:id="9"/>
    <w:bookmarkEnd w:id="10"/>
    <w:bookmarkEnd w:id="11"/>
    <w:bookmarkEnd w:id="12"/>
    <w:p>
      <w:pPr>
        <w:pStyle w:val="11"/>
        <w:spacing w:line="360" w:lineRule="auto"/>
        <w:ind w:firstLine="420" w:firstLineChars="200"/>
      </w:pPr>
      <w:r>
        <w:rPr>
          <w:rFonts w:hint="eastAsia"/>
        </w:rPr>
        <w:t>评标流程：</w:t>
      </w:r>
    </w:p>
    <w:p>
      <w:pPr>
        <w:pStyle w:val="11"/>
        <w:spacing w:line="360" w:lineRule="auto"/>
        <w:ind w:firstLine="420" w:firstLineChars="200"/>
      </w:pPr>
      <w:r>
        <w:rPr>
          <w:rFonts w:hint="eastAsia"/>
        </w:rPr>
        <w:t>投标文件包含《投标文件（资质标）》、《投标文件（技术标）》、《投标文件（商务标）》（开标一览表），共计三个文件。</w:t>
      </w:r>
    </w:p>
    <w:p>
      <w:pPr>
        <w:pStyle w:val="11"/>
        <w:spacing w:line="360" w:lineRule="auto"/>
        <w:ind w:firstLine="420" w:firstLineChars="200"/>
      </w:pPr>
      <w:r>
        <w:rPr>
          <w:rFonts w:hint="eastAsia"/>
        </w:rPr>
        <w:t>应标资格审查：在“中国重汽e采通”应标报名时，按照前文应标文件组成资格证明文件中的要求准备资料，上传完毕后，等待审核；</w:t>
      </w:r>
    </w:p>
    <w:p>
      <w:pPr>
        <w:pStyle w:val="11"/>
        <w:spacing w:line="360" w:lineRule="auto"/>
        <w:ind w:firstLine="420" w:firstLineChars="200"/>
      </w:pPr>
      <w:r>
        <w:rPr>
          <w:rFonts w:hint="eastAsia"/>
        </w:rPr>
        <w:t>通过应标资格审查的单位进入投标环节，按照“SRM系统供应商用户手册”，在重汽e采通平台投递电子标书（包含资质标、技术标、商务标）；没有通过应标资质审查的单位不能进入投标环节；</w:t>
      </w:r>
    </w:p>
    <w:p>
      <w:pPr>
        <w:pStyle w:val="11"/>
        <w:spacing w:line="360" w:lineRule="auto"/>
        <w:ind w:firstLine="420" w:firstLineChars="200"/>
      </w:pPr>
      <w:r>
        <w:rPr>
          <w:rFonts w:hint="eastAsia"/>
        </w:rPr>
        <w:t>资质标评审：资质标审核通过的单位，可以进入公开唱标环节；</w:t>
      </w:r>
    </w:p>
    <w:p>
      <w:pPr>
        <w:pStyle w:val="11"/>
        <w:spacing w:line="360" w:lineRule="auto"/>
        <w:ind w:firstLine="420" w:firstLineChars="200"/>
      </w:pPr>
      <w:r>
        <w:rPr>
          <w:rFonts w:hint="eastAsia"/>
        </w:rPr>
        <w:t>公开唱标：公示资质标入围单位的开标价格及商务条款响应情况；</w:t>
      </w:r>
    </w:p>
    <w:p>
      <w:pPr>
        <w:pStyle w:val="11"/>
        <w:spacing w:line="360" w:lineRule="auto"/>
        <w:ind w:firstLine="420" w:firstLineChars="200"/>
      </w:pPr>
      <w:r>
        <w:rPr>
          <w:rFonts w:hint="eastAsia"/>
        </w:rPr>
        <w:t>商务标评审：公开唱标→商务条款相应确认→价格澄清→商务标评审；评审期间产生的商务价格澄清均由投标人在重汽e采通平台限时内完成提交；</w:t>
      </w:r>
    </w:p>
    <w:p>
      <w:pPr>
        <w:pStyle w:val="11"/>
        <w:spacing w:line="360" w:lineRule="auto"/>
        <w:ind w:firstLine="420" w:firstLineChars="200"/>
      </w:pPr>
      <w:r>
        <w:rPr>
          <w:rFonts w:hint="eastAsia"/>
        </w:rPr>
        <w:t>注意：投标人均需要自带笔记本电脑在重汽e采通进行自主投标和提交澄清函；投标和提交澄清函均有时间限制，超时未提交的按无效处理。</w:t>
      </w:r>
    </w:p>
    <w:p>
      <w:pPr>
        <w:pStyle w:val="11"/>
        <w:spacing w:line="360" w:lineRule="auto"/>
        <w:ind w:firstLine="420" w:firstLineChars="200"/>
      </w:pPr>
      <w:r>
        <w:rPr>
          <w:rFonts w:hint="eastAsia"/>
        </w:rPr>
        <w:t>中标人确定：技术方案讲解后，原则上合理最低价中标。</w:t>
      </w:r>
    </w:p>
    <w:p>
      <w:pPr>
        <w:pStyle w:val="11"/>
        <w:spacing w:line="360" w:lineRule="auto"/>
        <w:ind w:firstLine="420" w:firstLineChars="200"/>
      </w:pPr>
      <w:r>
        <w:rPr>
          <w:rFonts w:hint="eastAsia"/>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pPr>
        <w:pStyle w:val="11"/>
        <w:spacing w:line="360" w:lineRule="auto"/>
        <w:ind w:firstLine="420" w:firstLineChars="200"/>
      </w:pPr>
    </w:p>
    <w:p>
      <w:pPr>
        <w:pStyle w:val="11"/>
        <w:spacing w:line="360" w:lineRule="auto"/>
        <w:rPr>
          <w:rFonts w:ascii="黑体" w:eastAsia="黑体"/>
          <w:b/>
          <w:bCs/>
          <w:sz w:val="28"/>
        </w:rPr>
      </w:pPr>
      <w:r>
        <w:rPr>
          <w:rFonts w:hint="eastAsia" w:ascii="黑体" w:eastAsia="黑体"/>
          <w:b/>
          <w:bCs/>
          <w:sz w:val="28"/>
        </w:rPr>
        <w:t>八、合同签订</w:t>
      </w:r>
    </w:p>
    <w:p>
      <w:pPr>
        <w:spacing w:line="360" w:lineRule="auto"/>
        <w:ind w:right="2" w:firstLine="420" w:firstLineChars="200"/>
        <w:rPr>
          <w:rFonts w:ascii="宋体" w:hAnsi="Courier New"/>
          <w:szCs w:val="22"/>
        </w:rPr>
      </w:pPr>
      <w:r>
        <w:rPr>
          <w:rFonts w:hint="eastAsia" w:ascii="宋体" w:hAnsi="Courier New"/>
          <w:szCs w:val="22"/>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spacing w:line="360" w:lineRule="auto"/>
        <w:ind w:right="2" w:firstLine="420" w:firstLineChars="200"/>
        <w:rPr>
          <w:rFonts w:ascii="宋体" w:hAnsi="Courier New"/>
          <w:szCs w:val="22"/>
        </w:rPr>
      </w:pPr>
      <w:r>
        <w:rPr>
          <w:rFonts w:hint="eastAsia" w:ascii="宋体" w:hAnsi="Courier New"/>
          <w:szCs w:val="22"/>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pPr>
        <w:spacing w:line="360" w:lineRule="auto"/>
        <w:ind w:right="2" w:firstLine="420" w:firstLineChars="200"/>
        <w:rPr>
          <w:rFonts w:ascii="宋体" w:hAnsi="Courier New"/>
          <w:szCs w:val="22"/>
        </w:rPr>
      </w:pPr>
      <w:r>
        <w:rPr>
          <w:rFonts w:hint="eastAsia" w:ascii="宋体" w:hAnsi="Courier New"/>
          <w:szCs w:val="22"/>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pPr>
        <w:spacing w:line="360" w:lineRule="auto"/>
        <w:ind w:right="2" w:firstLine="420" w:firstLineChars="200"/>
        <w:rPr>
          <w:rFonts w:ascii="宋体" w:hAnsi="Courier New"/>
          <w:szCs w:val="22"/>
        </w:rPr>
      </w:pPr>
      <w:r>
        <w:rPr>
          <w:rFonts w:hint="eastAsia" w:ascii="宋体" w:hAnsi="Courier New"/>
          <w:szCs w:val="22"/>
        </w:rPr>
        <w:t>4.中标人应在保证质量的前提下完成中标项目，不得将中标项目转包或分包给他人，否则视为违约，招标人或相关单位有权解除合同。</w:t>
      </w:r>
    </w:p>
    <w:p>
      <w:pPr>
        <w:spacing w:line="360" w:lineRule="auto"/>
        <w:ind w:right="2" w:firstLine="420" w:firstLineChars="200"/>
        <w:rPr>
          <w:rFonts w:ascii="宋体" w:hAnsi="Courier New"/>
          <w:szCs w:val="22"/>
        </w:rPr>
      </w:pPr>
      <w:r>
        <w:rPr>
          <w:rFonts w:hint="eastAsia" w:ascii="宋体" w:hAnsi="Courier New"/>
          <w:szCs w:val="22"/>
        </w:rPr>
        <w:t>5.中标人由于履行义务的能力或信用有严重缺陷，招标人有权取消其中标资格，招标人将从剩余投标人中依序重新确定中标人，或重新组织招标。</w:t>
      </w:r>
    </w:p>
    <w:p>
      <w:pPr>
        <w:spacing w:line="360" w:lineRule="auto"/>
        <w:ind w:right="2" w:firstLine="420" w:firstLineChars="200"/>
        <w:rPr>
          <w:rFonts w:ascii="宋体" w:hAnsi="Courier New"/>
          <w:szCs w:val="22"/>
        </w:rPr>
      </w:pPr>
      <w:r>
        <w:rPr>
          <w:rFonts w:hint="eastAsia" w:ascii="宋体" w:hAnsi="Courier New"/>
          <w:szCs w:val="22"/>
        </w:rPr>
        <w:t>6.招标人有权指定招标人的关联单位作为合同签订人，与中标人签署相关合同，且具体权利义务以双方最终签署的合同为准。</w:t>
      </w:r>
    </w:p>
    <w:p>
      <w:pPr>
        <w:spacing w:line="360" w:lineRule="auto"/>
        <w:ind w:right="2" w:firstLine="420" w:firstLineChars="200"/>
        <w:rPr>
          <w:rFonts w:ascii="宋体" w:hAnsi="Courier New"/>
          <w:szCs w:val="22"/>
        </w:rPr>
      </w:pPr>
      <w:r>
        <w:rPr>
          <w:rFonts w:hint="eastAsia" w:ascii="宋体" w:hAnsi="Courier New"/>
          <w:szCs w:val="22"/>
        </w:rPr>
        <w:t>7.中标人须认可由于招标人上级集团公司政策变化引起的合同签订前终止项目的要求。</w:t>
      </w:r>
    </w:p>
    <w:p>
      <w:pPr>
        <w:pStyle w:val="2"/>
        <w:spacing w:line="360" w:lineRule="auto"/>
        <w:ind w:left="0" w:leftChars="0" w:firstLineChars="200"/>
        <w:rPr>
          <w:rFonts w:ascii="宋体" w:hAnsi="Courier New"/>
        </w:rPr>
      </w:pPr>
      <w:r>
        <w:rPr>
          <w:rFonts w:hint="eastAsia" w:ascii="宋体" w:hAnsi="Courier New"/>
        </w:rPr>
        <w:t>8.招标人有权指定招标人的关联单位作为合同签订人，与中标人签署相关合同，且具体权利义务以中标人与招标人的关联公司最终签署的合同为准</w:t>
      </w:r>
    </w:p>
    <w:p>
      <w:pPr>
        <w:pStyle w:val="11"/>
        <w:spacing w:line="360" w:lineRule="auto"/>
        <w:rPr>
          <w:rFonts w:ascii="黑体" w:eastAsia="黑体"/>
          <w:b/>
          <w:bCs/>
          <w:sz w:val="28"/>
        </w:rPr>
      </w:pPr>
      <w:r>
        <w:rPr>
          <w:rFonts w:hint="eastAsia" w:ascii="黑体" w:eastAsia="黑体"/>
          <w:b/>
          <w:bCs/>
          <w:sz w:val="28"/>
        </w:rPr>
        <w:t>九、废标及终止招标</w:t>
      </w:r>
    </w:p>
    <w:p>
      <w:pPr>
        <w:spacing w:line="360" w:lineRule="auto"/>
        <w:ind w:right="2" w:firstLine="420" w:firstLineChars="200"/>
        <w:rPr>
          <w:rFonts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20" w:firstLineChars="200"/>
        <w:jc w:val="left"/>
        <w:rPr>
          <w:rFonts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pPr>
        <w:spacing w:line="360" w:lineRule="auto"/>
        <w:ind w:right="2" w:firstLine="420" w:firstLineChars="200"/>
        <w:jc w:val="left"/>
        <w:rPr>
          <w:rFonts w:ascii="宋体" w:hAnsi="Courier New"/>
        </w:rPr>
      </w:pPr>
      <w:r>
        <w:rPr>
          <w:rFonts w:hint="eastAsia" w:ascii="宋体" w:hAnsi="宋体"/>
        </w:rPr>
        <w:t>⑵</w:t>
      </w:r>
      <w:r>
        <w:rPr>
          <w:rFonts w:hint="eastAsia" w:ascii="宋体" w:hAnsi="Courier New"/>
        </w:rPr>
        <w:t>投标人在报价有效期内撤回投标；</w:t>
      </w:r>
    </w:p>
    <w:p>
      <w:pPr>
        <w:spacing w:line="360" w:lineRule="auto"/>
        <w:ind w:right="2" w:firstLine="420" w:firstLineChars="200"/>
        <w:jc w:val="left"/>
        <w:rPr>
          <w:rFonts w:ascii="宋体" w:hAnsi="Courier New"/>
        </w:rPr>
      </w:pPr>
      <w:r>
        <w:rPr>
          <w:rFonts w:hint="eastAsia" w:ascii="宋体" w:hAnsi="宋体"/>
        </w:rPr>
        <w:t>⑶</w:t>
      </w:r>
      <w:r>
        <w:rPr>
          <w:rFonts w:hint="eastAsia" w:ascii="宋体" w:hAnsi="Courier New"/>
        </w:rPr>
        <w:t>在整个评标过程中，投标人有企图影响评标结果公正性的任何活动；</w:t>
      </w:r>
    </w:p>
    <w:p>
      <w:pPr>
        <w:spacing w:line="360" w:lineRule="auto"/>
        <w:ind w:right="2" w:firstLine="420" w:firstLineChars="200"/>
        <w:jc w:val="left"/>
        <w:rPr>
          <w:rFonts w:ascii="宋体" w:hAnsi="Courier New"/>
        </w:rPr>
      </w:pPr>
      <w:r>
        <w:rPr>
          <w:rFonts w:hint="eastAsia" w:ascii="宋体" w:hAnsi="宋体"/>
        </w:rPr>
        <w:t>⑷</w:t>
      </w:r>
      <w:r>
        <w:rPr>
          <w:rFonts w:hint="eastAsia" w:ascii="宋体" w:hAnsi="Courier New"/>
        </w:rPr>
        <w:t>投标人以任何方式诋毁其他投标人；</w:t>
      </w:r>
    </w:p>
    <w:p>
      <w:pPr>
        <w:spacing w:line="360" w:lineRule="auto"/>
        <w:ind w:right="2" w:firstLine="420" w:firstLineChars="200"/>
        <w:jc w:val="left"/>
        <w:rPr>
          <w:rFonts w:ascii="宋体" w:hAnsi="Courier New"/>
        </w:rPr>
      </w:pPr>
      <w:r>
        <w:rPr>
          <w:rFonts w:hint="eastAsia" w:ascii="宋体" w:hAnsi="宋体"/>
        </w:rPr>
        <w:t>⑸</w:t>
      </w:r>
      <w:r>
        <w:rPr>
          <w:rFonts w:hint="eastAsia" w:ascii="宋体" w:hAnsi="Courier New"/>
        </w:rPr>
        <w:t>投标人串通投标；</w:t>
      </w:r>
    </w:p>
    <w:p>
      <w:pPr>
        <w:spacing w:line="360" w:lineRule="auto"/>
        <w:ind w:right="2" w:firstLine="420" w:firstLineChars="200"/>
        <w:jc w:val="left"/>
        <w:rPr>
          <w:rFonts w:ascii="宋体" w:hAnsi="Courier New"/>
        </w:rPr>
      </w:pPr>
      <w:r>
        <w:rPr>
          <w:rFonts w:hint="eastAsia" w:ascii="宋体" w:hAnsi="宋体"/>
        </w:rPr>
        <w:t>⑹</w:t>
      </w:r>
      <w:r>
        <w:rPr>
          <w:rFonts w:hint="eastAsia" w:ascii="宋体" w:hAnsi="Courier New"/>
        </w:rPr>
        <w:t>以他人名义投标或者以其他方式弄虚作假，骗取中标的；</w:t>
      </w:r>
    </w:p>
    <w:p>
      <w:pPr>
        <w:spacing w:line="360" w:lineRule="auto"/>
        <w:ind w:right="2" w:firstLine="420" w:firstLineChars="200"/>
        <w:jc w:val="left"/>
      </w:pPr>
      <w:r>
        <w:rPr>
          <w:rFonts w:hint="eastAsia" w:ascii="宋体" w:hAnsi="宋体"/>
        </w:rPr>
        <w:t>⑺</w:t>
      </w:r>
      <w:r>
        <w:rPr>
          <w:rFonts w:hint="eastAsia" w:ascii="宋体" w:hAnsi="Courier New"/>
        </w:rPr>
        <w:t>中标人不按规定签订合同；</w:t>
      </w:r>
    </w:p>
    <w:p>
      <w:pPr>
        <w:spacing w:line="360" w:lineRule="auto"/>
        <w:ind w:right="2" w:firstLine="420" w:firstLineChars="200"/>
        <w:jc w:val="left"/>
        <w:rPr>
          <w:rFonts w:ascii="宋体" w:hAnsi="宋体"/>
        </w:rPr>
      </w:pPr>
      <w:r>
        <w:rPr>
          <w:rFonts w:hint="eastAsia" w:ascii="宋体" w:hAnsi="宋体"/>
        </w:rPr>
        <w:t>⑻投标单位负责人为同一人或者存在控股、管理关系的；</w:t>
      </w:r>
    </w:p>
    <w:p>
      <w:pPr>
        <w:tabs>
          <w:tab w:val="left" w:pos="560"/>
        </w:tabs>
        <w:spacing w:line="360" w:lineRule="auto"/>
        <w:ind w:right="2" w:firstLine="420" w:firstLineChars="200"/>
        <w:jc w:val="left"/>
        <w:rPr>
          <w:rFonts w:ascii="宋体" w:hAnsi="宋体"/>
        </w:rPr>
      </w:pPr>
      <w:r>
        <w:rPr>
          <w:rFonts w:hint="eastAsia" w:ascii="宋体" w:hAnsi="宋体"/>
        </w:rPr>
        <w:fldChar w:fldCharType="begin"/>
      </w:r>
      <w:r>
        <w:rPr>
          <w:rFonts w:hint="eastAsia" w:ascii="宋体" w:hAnsi="宋体"/>
        </w:rPr>
        <w:instrText xml:space="preserve"> = 9 \* GB2 \* MERGEFORMAT </w:instrText>
      </w:r>
      <w:r>
        <w:rPr>
          <w:rFonts w:hint="eastAsia" w:ascii="宋体" w:hAnsi="宋体"/>
        </w:rPr>
        <w:fldChar w:fldCharType="separate"/>
      </w:r>
      <w:r>
        <w:t>⑼</w:t>
      </w:r>
      <w:r>
        <w:rPr>
          <w:rFonts w:hint="eastAsia" w:ascii="宋体" w:hAnsi="宋体"/>
        </w:rPr>
        <w:fldChar w:fldCharType="end"/>
      </w:r>
      <w:r>
        <w:rPr>
          <w:rFonts w:hint="eastAsia" w:ascii="宋体" w:hAnsi="宋体"/>
        </w:rPr>
        <w:t>被其他投标人举报、检举，并经查实属实的</w:t>
      </w:r>
    </w:p>
    <w:p>
      <w:pPr>
        <w:spacing w:line="360" w:lineRule="auto"/>
        <w:ind w:right="2" w:firstLine="420" w:firstLineChars="200"/>
        <w:jc w:val="left"/>
      </w:pPr>
      <w:r>
        <w:rPr>
          <w:rFonts w:hint="eastAsia" w:ascii="宋体" w:hAnsi="Courier New"/>
        </w:rPr>
        <w:fldChar w:fldCharType="begin"/>
      </w:r>
      <w:r>
        <w:rPr>
          <w:rFonts w:hint="eastAsia" w:ascii="宋体" w:hAnsi="Courier New"/>
        </w:rPr>
        <w:instrText xml:space="preserve"> = 10 \* GB2 \* MERGEFORMAT </w:instrText>
      </w:r>
      <w:r>
        <w:rPr>
          <w:rFonts w:hint="eastAsia" w:ascii="宋体" w:hAnsi="Courier New"/>
        </w:rPr>
        <w:fldChar w:fldCharType="separate"/>
      </w:r>
      <w:r>
        <w:t>⑽</w:t>
      </w:r>
      <w:r>
        <w:rPr>
          <w:rFonts w:hint="eastAsia" w:ascii="宋体" w:hAnsi="Courier New"/>
        </w:rPr>
        <w:fldChar w:fldCharType="end"/>
      </w:r>
      <w:r>
        <w:rPr>
          <w:rFonts w:hint="eastAsia" w:ascii="宋体" w:hAnsi="Courier New"/>
        </w:rPr>
        <w:t>法律、法规规定的其他情况。</w:t>
      </w:r>
    </w:p>
    <w:p>
      <w:pPr>
        <w:spacing w:line="360" w:lineRule="auto"/>
        <w:ind w:right="2" w:firstLine="420" w:firstLineChars="200"/>
        <w:rPr>
          <w:rFonts w:ascii="宋体" w:hAnsi="Courier New"/>
        </w:rPr>
      </w:pPr>
      <w:r>
        <w:rPr>
          <w:rFonts w:hint="eastAsia" w:ascii="宋体" w:hAnsi="Courier New"/>
        </w:rPr>
        <w:t>2.出现下列情形之一，招标人有权否决所有投标人的投标，并终止招标。</w:t>
      </w:r>
    </w:p>
    <w:p>
      <w:pPr>
        <w:spacing w:line="360" w:lineRule="auto"/>
        <w:ind w:right="2" w:firstLine="420" w:firstLineChars="200"/>
        <w:rPr>
          <w:rFonts w:ascii="宋体" w:hAnsi="Courier New"/>
        </w:rPr>
      </w:pPr>
      <w:r>
        <w:rPr>
          <w:rFonts w:hint="eastAsia" w:ascii="宋体" w:hAnsi="Courier New"/>
        </w:rPr>
        <w:t>⑴出现影响采购公正的违法、违规行为的。</w:t>
      </w:r>
    </w:p>
    <w:p>
      <w:pPr>
        <w:spacing w:line="360" w:lineRule="auto"/>
        <w:ind w:right="2" w:firstLine="420" w:firstLineChars="200"/>
        <w:rPr>
          <w:rFonts w:ascii="宋体" w:hAnsi="Courier New"/>
        </w:rPr>
      </w:pPr>
      <w:r>
        <w:rPr>
          <w:rFonts w:hint="eastAsia" w:ascii="宋体" w:hAnsi="Courier New"/>
        </w:rPr>
        <w:t>⑵因重大变故，采购任务取消的。</w:t>
      </w:r>
    </w:p>
    <w:p>
      <w:pPr>
        <w:spacing w:line="360" w:lineRule="auto"/>
        <w:ind w:right="2" w:firstLine="420" w:firstLineChars="200"/>
        <w:rPr>
          <w:rFonts w:ascii="宋体" w:hAnsi="宋体"/>
        </w:rPr>
      </w:pPr>
      <w:r>
        <w:rPr>
          <w:rFonts w:hint="eastAsia" w:ascii="宋体" w:hAnsi="宋体"/>
        </w:rPr>
        <w:t>⑶招标人认为其他应终止招标的情形。</w:t>
      </w:r>
    </w:p>
    <w:p>
      <w:pPr>
        <w:numPr>
          <w:ilvl w:val="0"/>
          <w:numId w:val="4"/>
        </w:numPr>
        <w:spacing w:line="360" w:lineRule="auto"/>
        <w:ind w:right="2" w:firstLine="420" w:firstLineChars="200"/>
        <w:rPr>
          <w:rFonts w:ascii="宋体" w:hAnsi="宋体"/>
        </w:rPr>
      </w:pPr>
      <w:r>
        <w:rPr>
          <w:rFonts w:hint="eastAsia" w:ascii="宋体" w:hAnsi="宋体"/>
        </w:rPr>
        <w:t>终止招标条款补充：（1）符合条件的投标人或者对招标文件做实质响应的投标人不足三家的；（2）评标委员会经评审，认为所有投标都不符合招标文件要求的；（3）投标人承诺并同意因招标人公司政策变化引起的随时终止项目的情形，并自行承担由此带来的一切损失。</w:t>
      </w:r>
    </w:p>
    <w:p>
      <w:pPr>
        <w:pStyle w:val="11"/>
        <w:spacing w:line="360" w:lineRule="auto"/>
        <w:rPr>
          <w:rFonts w:ascii="黑体" w:eastAsia="黑体"/>
          <w:b/>
          <w:bCs/>
          <w:sz w:val="28"/>
        </w:rPr>
      </w:pPr>
      <w:r>
        <w:rPr>
          <w:rFonts w:hint="eastAsia" w:ascii="黑体" w:eastAsia="黑体"/>
          <w:b/>
          <w:bCs/>
          <w:sz w:val="28"/>
        </w:rPr>
        <w:t>十、中标人瑕疵滞后发现的处理原则</w:t>
      </w:r>
    </w:p>
    <w:p>
      <w:pPr>
        <w:spacing w:line="360" w:lineRule="auto"/>
        <w:ind w:right="2" w:firstLine="420" w:firstLineChars="200"/>
        <w:rPr>
          <w:rFonts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已签订合同的情形，招标人均有权拒绝或取消中标人资格，一旦中标人被拒绝或该中标人此前的评议结果被取消，相关的一切损失均由该中标人承担。本次招标最终解释权归中国重汽集团济南动力有限公司。</w:t>
      </w:r>
    </w:p>
    <w:p>
      <w:pPr>
        <w:spacing w:line="360" w:lineRule="auto"/>
        <w:ind w:right="2" w:firstLine="420" w:firstLineChars="200"/>
        <w:rPr>
          <w:rFonts w:ascii="宋体" w:hAnsi="Courier New"/>
        </w:rPr>
      </w:pPr>
    </w:p>
    <w:p>
      <w:pPr>
        <w:pStyle w:val="2"/>
      </w:pPr>
    </w:p>
    <w:p>
      <w:pPr>
        <w:pStyle w:val="11"/>
        <w:spacing w:line="360" w:lineRule="auto"/>
        <w:rPr>
          <w:rFonts w:ascii="黑体" w:eastAsia="黑体"/>
          <w:b/>
          <w:bCs/>
          <w:sz w:val="28"/>
        </w:rPr>
      </w:pPr>
      <w:r>
        <w:rPr>
          <w:rFonts w:hint="eastAsia" w:ascii="黑体" w:eastAsia="黑体"/>
          <w:b/>
          <w:bCs/>
          <w:sz w:val="28"/>
        </w:rPr>
        <w:t>十一、技术要求</w:t>
      </w:r>
    </w:p>
    <w:p>
      <w:pPr>
        <w:pStyle w:val="11"/>
        <w:spacing w:line="360" w:lineRule="auto"/>
        <w:ind w:left="420" w:hanging="420" w:hangingChars="200"/>
      </w:pPr>
      <w:r>
        <w:rPr>
          <w:rFonts w:hint="eastAsia"/>
        </w:rPr>
        <w:t xml:space="preserve">    见本招标文件“第三章 技术要求”，附后。</w:t>
      </w:r>
    </w:p>
    <w:p>
      <w:pPr>
        <w:bidi w:val="0"/>
      </w:pPr>
    </w:p>
    <w:p>
      <w:pPr>
        <w:bidi w:val="0"/>
      </w:pPr>
    </w:p>
    <w:p>
      <w:pPr>
        <w:rPr>
          <w:rFonts w:ascii="黑体" w:hAnsi="Courier New" w:eastAsia="黑体"/>
          <w:b/>
          <w:bCs/>
          <w:sz w:val="36"/>
          <w:szCs w:val="36"/>
        </w:rPr>
      </w:pPr>
      <w:r>
        <w:rPr>
          <w:rFonts w:hint="eastAsia" w:ascii="黑体" w:hAnsi="Courier New" w:eastAsia="黑体"/>
          <w:b/>
          <w:bCs/>
          <w:sz w:val="36"/>
          <w:szCs w:val="36"/>
        </w:rPr>
        <w:br w:type="page"/>
      </w:r>
    </w:p>
    <w:p>
      <w:pPr>
        <w:spacing w:line="360" w:lineRule="auto"/>
        <w:jc w:val="center"/>
        <w:outlineLvl w:val="0"/>
        <w:rPr>
          <w:rFonts w:ascii="黑体" w:hAnsi="Courier New" w:eastAsia="黑体"/>
          <w:b/>
          <w:bCs/>
          <w:sz w:val="36"/>
          <w:szCs w:val="36"/>
        </w:rPr>
      </w:pPr>
      <w:bookmarkStart w:id="13" w:name="_Toc20620"/>
      <w:r>
        <w:rPr>
          <w:rFonts w:hint="eastAsia" w:ascii="黑体" w:hAnsi="Courier New" w:eastAsia="黑体"/>
          <w:b/>
          <w:bCs/>
          <w:sz w:val="36"/>
          <w:szCs w:val="36"/>
        </w:rPr>
        <w:t>第二章  投标文件编制</w:t>
      </w:r>
      <w:bookmarkEnd w:id="13"/>
    </w:p>
    <w:p>
      <w:pPr>
        <w:pStyle w:val="11"/>
        <w:spacing w:line="360" w:lineRule="auto"/>
        <w:rPr>
          <w:rFonts w:ascii="黑体" w:hAnsi="黑体" w:eastAsia="黑体"/>
          <w:b/>
          <w:bCs/>
          <w:sz w:val="28"/>
          <w:szCs w:val="28"/>
        </w:rPr>
      </w:pPr>
      <w:r>
        <w:rPr>
          <w:rFonts w:hint="eastAsia" w:ascii="黑体" w:hAnsi="黑体" w:eastAsia="黑体"/>
          <w:b/>
          <w:bCs/>
          <w:sz w:val="28"/>
          <w:szCs w:val="28"/>
        </w:rPr>
        <w:t>一、投标文件签署</w:t>
      </w:r>
    </w:p>
    <w:p>
      <w:pPr>
        <w:pStyle w:val="11"/>
        <w:spacing w:line="360" w:lineRule="auto"/>
        <w:ind w:firstLine="420" w:firstLineChars="200"/>
        <w:rPr>
          <w:rFonts w:hAnsi="宋体"/>
          <w:szCs w:val="21"/>
        </w:rPr>
      </w:pPr>
      <w:r>
        <w:rPr>
          <w:rFonts w:hint="eastAsia" w:hAnsi="宋体"/>
          <w:szCs w:val="21"/>
        </w:rPr>
        <w:t>1.法定代表人或投标人授权代表必须按招标文件的规定在投标文件（正本、副本及各附件）、开标一览表上签字并加盖</w:t>
      </w:r>
      <w:r>
        <w:rPr>
          <w:rFonts w:hint="eastAsia" w:hAnsi="宋体"/>
          <w:b/>
          <w:bCs/>
          <w:szCs w:val="21"/>
        </w:rPr>
        <w:t>投标人单位公章</w:t>
      </w:r>
      <w:r>
        <w:rPr>
          <w:rFonts w:hint="eastAsia" w:hAnsi="宋体"/>
          <w:szCs w:val="21"/>
        </w:rPr>
        <w:t>，不得使用其它形式如带有“专用章”等字样的印章，否则投标将被视为无效。如投标人对投标文件进行了修改，则须由投标人的法定代表人或授权代表在修改的每一页上签字或加盖公章。</w:t>
      </w:r>
    </w:p>
    <w:p>
      <w:pPr>
        <w:pStyle w:val="11"/>
        <w:spacing w:line="360" w:lineRule="auto"/>
        <w:ind w:firstLine="420" w:firstLineChars="200"/>
        <w:rPr>
          <w:rFonts w:hAnsi="宋体"/>
          <w:szCs w:val="21"/>
        </w:rPr>
      </w:pPr>
      <w:r>
        <w:rPr>
          <w:rFonts w:hint="eastAsia" w:hAnsi="宋体"/>
          <w:szCs w:val="21"/>
        </w:rPr>
        <w:t>2.任何行间插字、涂改和增删，必须由投标人的法定代表人或授权代表签字或加盖公章后才有效。</w:t>
      </w:r>
    </w:p>
    <w:p>
      <w:pPr>
        <w:pStyle w:val="11"/>
        <w:spacing w:line="360" w:lineRule="auto"/>
        <w:rPr>
          <w:rFonts w:ascii="黑体" w:hAnsi="黑体" w:eastAsia="黑体"/>
          <w:b/>
          <w:bCs/>
          <w:sz w:val="28"/>
          <w:szCs w:val="28"/>
        </w:rPr>
      </w:pPr>
      <w:r>
        <w:rPr>
          <w:rFonts w:hint="eastAsia" w:ascii="黑体" w:hAnsi="黑体" w:eastAsia="黑体"/>
          <w:b/>
          <w:bCs/>
          <w:sz w:val="28"/>
          <w:szCs w:val="28"/>
        </w:rPr>
        <w:t>二、投标文件的编制</w:t>
      </w:r>
    </w:p>
    <w:p>
      <w:pPr>
        <w:spacing w:line="336" w:lineRule="auto"/>
        <w:ind w:firstLine="461" w:firstLineChars="185"/>
        <w:rPr>
          <w:rFonts w:ascii="宋体" w:hAnsi="宋体"/>
          <w:b/>
          <w:spacing w:val="4"/>
          <w:sz w:val="24"/>
        </w:rPr>
      </w:pPr>
      <w:r>
        <w:rPr>
          <w:rFonts w:hint="eastAsia" w:ascii="宋体" w:hAnsi="宋体"/>
          <w:b/>
          <w:spacing w:val="4"/>
          <w:sz w:val="24"/>
        </w:rPr>
        <w:t>1. 投标的语言及计量单位</w:t>
      </w:r>
    </w:p>
    <w:p>
      <w:pPr>
        <w:spacing w:line="336" w:lineRule="auto"/>
        <w:ind w:firstLine="403" w:firstLineChars="185"/>
        <w:rPr>
          <w:rFonts w:ascii="宋体" w:hAnsi="宋体"/>
          <w:spacing w:val="4"/>
          <w:szCs w:val="21"/>
        </w:rPr>
      </w:pPr>
      <w:r>
        <w:rPr>
          <w:rFonts w:hint="eastAsia" w:ascii="宋体" w:hAnsi="宋体"/>
          <w:spacing w:val="4"/>
          <w:szCs w:val="21"/>
        </w:rPr>
        <w:t>1.l  由投标人编写的投标文件、投标交换的文件和往来信件应以中文书写。</w:t>
      </w:r>
    </w:p>
    <w:p>
      <w:pPr>
        <w:spacing w:line="336" w:lineRule="auto"/>
        <w:ind w:firstLine="403" w:firstLineChars="185"/>
        <w:rPr>
          <w:rFonts w:ascii="宋体" w:hAnsi="宋体"/>
          <w:spacing w:val="4"/>
          <w:szCs w:val="21"/>
        </w:rPr>
      </w:pPr>
      <w:r>
        <w:rPr>
          <w:rFonts w:hint="eastAsia" w:ascii="宋体" w:hAnsi="宋体"/>
          <w:spacing w:val="4"/>
          <w:szCs w:val="21"/>
        </w:rPr>
        <w:t>1.2  投标文件中所使用的计量单位，除招标文件中有特殊要求外，应采用中华人民共和国国家法定计量单位。</w:t>
      </w:r>
    </w:p>
    <w:p>
      <w:pPr>
        <w:spacing w:line="336" w:lineRule="auto"/>
        <w:ind w:firstLine="461" w:firstLineChars="185"/>
        <w:rPr>
          <w:rFonts w:ascii="宋体" w:hAnsi="宋体"/>
          <w:b/>
          <w:spacing w:val="4"/>
          <w:sz w:val="24"/>
        </w:rPr>
      </w:pPr>
      <w:r>
        <w:rPr>
          <w:rFonts w:hint="eastAsia" w:ascii="宋体" w:hAnsi="宋体"/>
          <w:b/>
          <w:spacing w:val="4"/>
          <w:sz w:val="24"/>
        </w:rPr>
        <w:t>2. 投标文件构成</w:t>
      </w:r>
    </w:p>
    <w:p>
      <w:pPr>
        <w:spacing w:line="336" w:lineRule="auto"/>
        <w:ind w:firstLine="403" w:firstLineChars="185"/>
        <w:rPr>
          <w:rFonts w:ascii="宋体" w:hAnsi="宋体" w:cs="宋体"/>
          <w:spacing w:val="4"/>
          <w:szCs w:val="21"/>
        </w:rPr>
      </w:pPr>
      <w:r>
        <w:rPr>
          <w:rFonts w:hint="eastAsia" w:ascii="宋体" w:hAnsi="宋体" w:cs="宋体"/>
          <w:spacing w:val="4"/>
          <w:szCs w:val="21"/>
        </w:rPr>
        <w:t>投标人的投标文件由资格证明文件、投标文件商务部分和投标文件技术部分共三部分构成：</w:t>
      </w:r>
    </w:p>
    <w:p>
      <w:pPr>
        <w:spacing w:line="336" w:lineRule="auto"/>
        <w:ind w:firstLine="403" w:firstLineChars="185"/>
        <w:rPr>
          <w:rFonts w:ascii="宋体" w:hAnsi="宋体" w:cs="宋体"/>
          <w:spacing w:val="4"/>
          <w:szCs w:val="21"/>
        </w:rPr>
      </w:pPr>
      <w:r>
        <w:rPr>
          <w:rFonts w:hint="eastAsia" w:ascii="宋体" w:hAnsi="宋体" w:cs="宋体"/>
          <w:spacing w:val="4"/>
          <w:szCs w:val="21"/>
        </w:rPr>
        <w:t>2.1 投标文件商务部分</w:t>
      </w:r>
    </w:p>
    <w:p>
      <w:pPr>
        <w:spacing w:line="336" w:lineRule="auto"/>
        <w:ind w:firstLine="436" w:firstLineChars="200"/>
        <w:rPr>
          <w:rFonts w:ascii="宋体" w:hAnsi="宋体" w:cs="宋体"/>
          <w:spacing w:val="4"/>
          <w:szCs w:val="21"/>
        </w:rPr>
      </w:pPr>
      <w:r>
        <w:rPr>
          <w:rFonts w:hint="eastAsia" w:ascii="宋体" w:hAnsi="宋体" w:cs="宋体"/>
          <w:spacing w:val="4"/>
          <w:szCs w:val="21"/>
        </w:rPr>
        <w:t>（1）资格证明文件包括：</w:t>
      </w:r>
    </w:p>
    <w:p>
      <w:pPr>
        <w:pStyle w:val="11"/>
        <w:spacing w:line="360" w:lineRule="auto"/>
        <w:ind w:firstLine="428" w:firstLineChars="200"/>
        <w:rPr>
          <w:rFonts w:hAnsi="宋体"/>
          <w:spacing w:val="2"/>
        </w:rPr>
      </w:pPr>
      <w:r>
        <w:rPr>
          <w:rFonts w:hint="eastAsia" w:hAnsi="宋体"/>
          <w:spacing w:val="2"/>
        </w:rPr>
        <w:t>1.1统一社会信用代码的新版营业执照副本复印件；</w:t>
      </w:r>
    </w:p>
    <w:p>
      <w:pPr>
        <w:pStyle w:val="11"/>
        <w:spacing w:line="360" w:lineRule="auto"/>
        <w:ind w:firstLine="428" w:firstLineChars="200"/>
        <w:rPr>
          <w:rFonts w:hAnsi="宋体"/>
          <w:spacing w:val="2"/>
        </w:rPr>
      </w:pPr>
      <w:r>
        <w:rPr>
          <w:rFonts w:hint="eastAsia" w:hAnsi="宋体"/>
          <w:spacing w:val="2"/>
        </w:rPr>
        <w:t>1.2相关资质证书；</w:t>
      </w:r>
    </w:p>
    <w:p>
      <w:pPr>
        <w:pStyle w:val="11"/>
        <w:spacing w:line="360" w:lineRule="auto"/>
        <w:ind w:firstLine="428" w:firstLineChars="200"/>
        <w:rPr>
          <w:rFonts w:hAnsi="宋体"/>
          <w:spacing w:val="2"/>
        </w:rPr>
      </w:pPr>
      <w:r>
        <w:rPr>
          <w:rFonts w:hint="eastAsia" w:hAnsi="宋体"/>
          <w:spacing w:val="2"/>
        </w:rPr>
        <w:t>1.3法定代表人参加投标的，需提供法人身份证复印件；派授权人参加投标的，需提供法定代表人授权委托书及被授权人身份证复印件；</w:t>
      </w:r>
    </w:p>
    <w:p>
      <w:pPr>
        <w:pStyle w:val="11"/>
        <w:spacing w:line="360" w:lineRule="auto"/>
        <w:ind w:firstLine="428" w:firstLineChars="200"/>
        <w:rPr>
          <w:rFonts w:hAnsi="宋体"/>
          <w:spacing w:val="2"/>
        </w:rPr>
      </w:pPr>
      <w:r>
        <w:rPr>
          <w:rFonts w:hint="eastAsia" w:hAnsi="宋体"/>
          <w:spacing w:val="2"/>
        </w:rPr>
        <w:t>1.4</w:t>
      </w:r>
      <w:r>
        <w:rPr>
          <w:rFonts w:hint="eastAsia" w:hAnsi="宋体" w:cs="宋体"/>
        </w:rPr>
        <w:t>投标人须提供上一年度的财务报表（资产负债表、利润表）的复印件；</w:t>
      </w:r>
    </w:p>
    <w:p>
      <w:pPr>
        <w:pStyle w:val="11"/>
        <w:spacing w:line="360" w:lineRule="auto"/>
        <w:ind w:firstLine="428" w:firstLineChars="200"/>
        <w:rPr>
          <w:rFonts w:hAnsi="宋体"/>
          <w:spacing w:val="2"/>
        </w:rPr>
      </w:pPr>
      <w:r>
        <w:rPr>
          <w:rFonts w:hint="eastAsia" w:hAnsi="宋体"/>
          <w:spacing w:val="2"/>
        </w:rPr>
        <w:t>1.5近三年内在经营活动中没有违法违纪行为的声明。</w:t>
      </w:r>
    </w:p>
    <w:p>
      <w:pPr>
        <w:pStyle w:val="11"/>
        <w:spacing w:line="360" w:lineRule="auto"/>
        <w:ind w:firstLine="428" w:firstLineChars="200"/>
        <w:rPr>
          <w:rFonts w:hAnsi="宋体"/>
          <w:spacing w:val="2"/>
        </w:rPr>
      </w:pPr>
      <w:r>
        <w:rPr>
          <w:rFonts w:hint="eastAsia" w:hAnsi="宋体"/>
          <w:spacing w:val="2"/>
        </w:rPr>
        <w:t>1.6投标人自认为需提交的符合本招标文件总则第二章第1条所有内容的其他条款并附录。</w:t>
      </w:r>
    </w:p>
    <w:p>
      <w:pPr>
        <w:pStyle w:val="11"/>
        <w:spacing w:line="360" w:lineRule="auto"/>
        <w:ind w:firstLine="428" w:firstLineChars="200"/>
        <w:rPr>
          <w:rFonts w:hAnsi="宋体" w:cs="宋体"/>
        </w:rPr>
      </w:pPr>
      <w:r>
        <w:rPr>
          <w:rFonts w:hint="eastAsia" w:hAnsi="宋体"/>
          <w:spacing w:val="2"/>
        </w:rPr>
        <w:t>1.7</w:t>
      </w:r>
      <w:r>
        <w:rPr>
          <w:rFonts w:hint="eastAsia" w:hAnsi="宋体" w:cs="宋体"/>
        </w:rPr>
        <w:t>投标人应提交《投标文件》、《投标函》。</w:t>
      </w:r>
    </w:p>
    <w:p>
      <w:pPr>
        <w:pStyle w:val="11"/>
        <w:spacing w:line="360" w:lineRule="auto"/>
        <w:ind w:firstLine="420" w:firstLineChars="200"/>
        <w:rPr>
          <w:rFonts w:hAnsi="宋体" w:cs="宋体"/>
        </w:rPr>
      </w:pPr>
      <w:r>
        <w:rPr>
          <w:rFonts w:hint="eastAsia" w:hAnsi="宋体" w:cs="宋体"/>
        </w:rPr>
        <w:t>1.8信用中国截图（报名日期当日“信用中国”网站(www.creditchina.gov.cn）查询本单位未被列入联合惩戒失信人名单的网页截图）</w:t>
      </w:r>
    </w:p>
    <w:p>
      <w:pPr>
        <w:pStyle w:val="11"/>
        <w:spacing w:line="360" w:lineRule="auto"/>
        <w:ind w:firstLine="420" w:firstLineChars="200"/>
        <w:rPr>
          <w:rFonts w:hint="eastAsia" w:hAnsi="宋体" w:cs="宋体"/>
        </w:rPr>
      </w:pPr>
      <w:r>
        <w:rPr>
          <w:rFonts w:hint="eastAsia" w:hAnsi="宋体"/>
        </w:rPr>
        <w:t>1.9</w:t>
      </w:r>
      <w:r>
        <w:rPr>
          <w:rFonts w:hint="eastAsia" w:hAnsi="宋体" w:cs="宋体"/>
        </w:rPr>
        <w:t>企业概况一览表：包括人员、设备、技术、专利、工艺等；</w:t>
      </w:r>
    </w:p>
    <w:p>
      <w:pPr>
        <w:pStyle w:val="11"/>
        <w:spacing w:line="360" w:lineRule="auto"/>
        <w:ind w:firstLine="420" w:firstLineChars="200"/>
        <w:rPr>
          <w:rFonts w:hint="default" w:hAnsi="宋体" w:eastAsia="宋体" w:cs="宋体"/>
          <w:lang w:val="en-US" w:eastAsia="zh-CN"/>
        </w:rPr>
      </w:pPr>
      <w:r>
        <w:rPr>
          <w:rFonts w:hint="eastAsia" w:hAnsi="宋体" w:cs="宋体"/>
          <w:lang w:val="en-US" w:eastAsia="zh-CN"/>
        </w:rPr>
        <w:t>1.10 投标保证金缴纳凭证；</w:t>
      </w:r>
    </w:p>
    <w:p>
      <w:pPr>
        <w:widowControl/>
        <w:spacing w:line="360" w:lineRule="auto"/>
        <w:ind w:firstLine="430" w:firstLineChars="200"/>
        <w:rPr>
          <w:rFonts w:ascii="宋体" w:hAnsi="Courier New"/>
          <w:highlight w:val="yellow"/>
        </w:rPr>
      </w:pPr>
      <w:r>
        <w:rPr>
          <w:rFonts w:hint="eastAsia" w:hAnsi="宋体"/>
          <w:b/>
          <w:bCs/>
          <w:spacing w:val="2"/>
        </w:rPr>
        <w:t>重要提示：</w:t>
      </w:r>
      <w:r>
        <w:rPr>
          <w:rFonts w:hint="eastAsia" w:hAnsi="宋体"/>
          <w:spacing w:val="2"/>
        </w:rPr>
        <w:t>应标资格审核中，上述所列示的所有条款均属于</w:t>
      </w:r>
      <w:r>
        <w:rPr>
          <w:rFonts w:hint="eastAsia" w:hAnsi="宋体"/>
          <w:b/>
          <w:bCs/>
          <w:spacing w:val="2"/>
        </w:rPr>
        <w:t>否决项</w:t>
      </w:r>
      <w:r>
        <w:rPr>
          <w:rFonts w:hint="eastAsia" w:hAnsi="宋体"/>
          <w:spacing w:val="2"/>
        </w:rPr>
        <w:t>，对于任意一项或多项未达到资格审核要求的投标人，视为主动放弃投标，该投标人将不能进入后续的评标程序。对于未通过资格审核要求的投标人，不做任何解释。</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11"/>
        <w:spacing w:line="360" w:lineRule="auto"/>
        <w:ind w:firstLine="719"/>
        <w:jc w:val="center"/>
        <w:rPr>
          <w:rFonts w:ascii="黑体" w:eastAsia="黑体"/>
          <w:b/>
          <w:bCs/>
          <w:sz w:val="36"/>
          <w:szCs w:val="36"/>
        </w:rPr>
      </w:pPr>
      <w:r>
        <w:rPr>
          <w:rFonts w:hint="eastAsia" w:ascii="黑体" w:eastAsia="黑体"/>
          <w:b/>
          <w:bCs/>
          <w:sz w:val="36"/>
          <w:szCs w:val="36"/>
        </w:rPr>
        <w:t xml:space="preserve">第三章  </w:t>
      </w:r>
      <w:r>
        <w:rPr>
          <w:rFonts w:ascii="黑体" w:eastAsia="黑体"/>
          <w:b/>
          <w:bCs/>
          <w:sz w:val="36"/>
          <w:szCs w:val="36"/>
        </w:rPr>
        <w:t>技术</w:t>
      </w:r>
      <w:r>
        <w:rPr>
          <w:rFonts w:hint="eastAsia" w:ascii="黑体" w:eastAsia="黑体"/>
          <w:b/>
          <w:bCs/>
          <w:sz w:val="36"/>
          <w:szCs w:val="36"/>
        </w:rPr>
        <w:t>要求</w:t>
      </w:r>
    </w:p>
    <w:p>
      <w:pPr>
        <w:pStyle w:val="11"/>
        <w:spacing w:line="360" w:lineRule="auto"/>
        <w:rPr>
          <w:rFonts w:hint="eastAsia" w:hAnsi="宋体" w:cs="宋体"/>
          <w:b/>
          <w:bCs/>
          <w:sz w:val="30"/>
          <w:szCs w:val="30"/>
        </w:rPr>
      </w:pPr>
      <w:r>
        <w:rPr>
          <w:rFonts w:hint="eastAsia" w:hAnsi="宋体" w:cs="宋体"/>
          <w:b/>
          <w:bCs/>
          <w:sz w:val="30"/>
          <w:szCs w:val="30"/>
        </w:rPr>
        <w:t>一、项目名称</w:t>
      </w:r>
    </w:p>
    <w:p>
      <w:pPr>
        <w:pStyle w:val="11"/>
        <w:spacing w:line="360" w:lineRule="auto"/>
        <w:ind w:left="77"/>
        <w:rPr>
          <w:szCs w:val="24"/>
        </w:rPr>
      </w:pPr>
      <w:r>
        <w:rPr>
          <w:rFonts w:hint="eastAsia"/>
          <w:szCs w:val="24"/>
        </w:rPr>
        <w:t>中国重汽集团杭州发动机有限公司20</w:t>
      </w:r>
      <w:r>
        <w:rPr>
          <w:szCs w:val="24"/>
        </w:rPr>
        <w:t>26</w:t>
      </w:r>
      <w:r>
        <w:rPr>
          <w:rFonts w:hint="eastAsia"/>
          <w:szCs w:val="24"/>
        </w:rPr>
        <w:t>年环境检测项目</w:t>
      </w:r>
    </w:p>
    <w:p>
      <w:pPr>
        <w:pStyle w:val="11"/>
        <w:spacing w:line="360" w:lineRule="auto"/>
        <w:rPr>
          <w:rFonts w:hAnsi="宋体" w:cs="宋体"/>
          <w:b/>
          <w:bCs/>
          <w:sz w:val="30"/>
          <w:szCs w:val="30"/>
        </w:rPr>
      </w:pPr>
      <w:r>
        <w:rPr>
          <w:rFonts w:hint="eastAsia" w:hAnsi="宋体" w:cs="宋体"/>
          <w:b/>
          <w:bCs/>
          <w:sz w:val="30"/>
          <w:szCs w:val="30"/>
        </w:rPr>
        <w:t>二、项目内容</w:t>
      </w:r>
    </w:p>
    <w:p>
      <w:pPr>
        <w:pStyle w:val="11"/>
        <w:spacing w:line="360" w:lineRule="auto"/>
        <w:ind w:firstLine="420" w:firstLineChars="200"/>
        <w:rPr>
          <w:rFonts w:hAnsi="宋体" w:cs="宋体"/>
          <w:color w:val="000000"/>
          <w:szCs w:val="22"/>
          <w:shd w:val="clear" w:color="auto" w:fill="FCFCFC"/>
        </w:rPr>
      </w:pPr>
      <w:r>
        <w:rPr>
          <w:rFonts w:hint="eastAsia" w:hAnsi="宋体" w:cs="宋体"/>
          <w:color w:val="000000"/>
          <w:szCs w:val="22"/>
          <w:shd w:val="clear" w:color="auto" w:fill="FCFCFC"/>
        </w:rPr>
        <w:t>中国重汽集团杭州发动机有限公司202</w:t>
      </w:r>
      <w:r>
        <w:rPr>
          <w:rFonts w:hAnsi="宋体" w:cs="宋体"/>
          <w:color w:val="000000"/>
          <w:szCs w:val="22"/>
          <w:shd w:val="clear" w:color="auto" w:fill="FCFCFC"/>
        </w:rPr>
        <w:t>6</w:t>
      </w:r>
      <w:r>
        <w:rPr>
          <w:rFonts w:hint="eastAsia" w:hAnsi="宋体" w:cs="宋体"/>
          <w:color w:val="000000"/>
          <w:szCs w:val="22"/>
          <w:shd w:val="clear" w:color="auto" w:fill="FCFCFC"/>
        </w:rPr>
        <w:t>年环境检测项目按照《HJ 819-2017排污单位自行监测技术指南》和《国家重点监控企业自行监测及信息公开办法》等要求，现对排放污染物（废水、废气、噪声、土壤、地下水等）组织环境检测项目招标，本次招标包好废气比对业务。</w:t>
      </w:r>
    </w:p>
    <w:p>
      <w:pPr>
        <w:spacing w:line="420" w:lineRule="exact"/>
        <w:ind w:firstLine="420" w:firstLineChars="200"/>
        <w:jc w:val="left"/>
        <w:rPr>
          <w:rFonts w:ascii="宋体" w:hAnsi="宋体" w:cs="宋体"/>
          <w:color w:val="000000"/>
          <w:szCs w:val="22"/>
          <w:shd w:val="clear" w:color="auto" w:fill="FCFCFC"/>
        </w:rPr>
      </w:pPr>
      <w:r>
        <w:rPr>
          <w:rFonts w:hint="eastAsia" w:ascii="宋体" w:hAnsi="宋体" w:cs="宋体"/>
          <w:color w:val="000000"/>
          <w:szCs w:val="22"/>
          <w:shd w:val="clear" w:color="auto" w:fill="FCFCFC"/>
        </w:rPr>
        <w:t>我公司污染物排放现阶段执行标准及污染物检测方法以环评报告和排污许可证为准</w:t>
      </w:r>
      <w:r>
        <w:rPr>
          <w:rFonts w:hint="eastAsia" w:ascii="宋体" w:hAnsi="宋体" w:cs="宋体"/>
          <w:b/>
          <w:color w:val="000000"/>
          <w:szCs w:val="22"/>
          <w:shd w:val="clear" w:color="auto" w:fill="FCFCFC"/>
        </w:rPr>
        <w:t>（已公开）</w:t>
      </w:r>
      <w:r>
        <w:rPr>
          <w:rFonts w:hint="eastAsia" w:ascii="宋体" w:hAnsi="宋体" w:cs="宋体"/>
          <w:color w:val="000000"/>
          <w:szCs w:val="22"/>
          <w:shd w:val="clear" w:color="auto" w:fill="FCFCFC"/>
        </w:rPr>
        <w:t>，具体要求以政府环保政策或部门要求为准。</w:t>
      </w:r>
    </w:p>
    <w:p>
      <w:pPr>
        <w:pStyle w:val="11"/>
        <w:spacing w:line="360" w:lineRule="auto"/>
        <w:rPr>
          <w:rFonts w:hAnsi="宋体" w:cs="宋体"/>
          <w:b/>
          <w:bCs/>
          <w:sz w:val="30"/>
          <w:szCs w:val="30"/>
        </w:rPr>
      </w:pPr>
      <w:r>
        <w:rPr>
          <w:rFonts w:hint="eastAsia" w:hAnsi="宋体" w:cs="宋体"/>
          <w:b/>
          <w:bCs/>
          <w:sz w:val="30"/>
          <w:szCs w:val="30"/>
        </w:rPr>
        <w:t>三、技术要求</w:t>
      </w:r>
    </w:p>
    <w:p>
      <w:pPr>
        <w:spacing w:line="420" w:lineRule="exact"/>
        <w:ind w:firstLine="420" w:firstLineChars="200"/>
        <w:jc w:val="left"/>
        <w:rPr>
          <w:rFonts w:ascii="宋体" w:hAnsi="宋体" w:cs="宋体"/>
          <w:color w:val="000000"/>
          <w:szCs w:val="21"/>
          <w:shd w:val="clear" w:color="auto" w:fill="FCFCFC"/>
        </w:rPr>
      </w:pPr>
      <w:r>
        <w:rPr>
          <w:rFonts w:hint="eastAsia" w:ascii="宋体" w:hAnsi="宋体" w:cs="宋体"/>
          <w:color w:val="000000"/>
          <w:szCs w:val="21"/>
          <w:shd w:val="clear" w:color="auto" w:fill="FCFCFC"/>
        </w:rPr>
        <w:t>1.资质要求</w:t>
      </w:r>
    </w:p>
    <w:p>
      <w:pPr>
        <w:spacing w:line="420" w:lineRule="exact"/>
        <w:ind w:firstLine="420" w:firstLineChars="200"/>
        <w:jc w:val="left"/>
        <w:rPr>
          <w:rFonts w:ascii="宋体" w:hAnsi="宋体" w:cs="宋体"/>
          <w:color w:val="000000"/>
          <w:szCs w:val="21"/>
          <w:shd w:val="clear" w:color="auto" w:fill="FCFCFC"/>
        </w:rPr>
      </w:pPr>
      <w:r>
        <w:rPr>
          <w:rFonts w:hint="eastAsia" w:ascii="宋体" w:hAnsi="宋体" w:cs="宋体"/>
          <w:color w:val="000000"/>
          <w:szCs w:val="21"/>
          <w:shd w:val="clear" w:color="auto" w:fill="FCFCFC"/>
        </w:rPr>
        <w:t>投标人需满足“六、投标须知”中合格投标人资质。</w:t>
      </w:r>
    </w:p>
    <w:p>
      <w:pPr>
        <w:spacing w:line="420" w:lineRule="exact"/>
        <w:ind w:firstLine="420" w:firstLineChars="200"/>
        <w:jc w:val="left"/>
        <w:rPr>
          <w:rFonts w:ascii="宋体" w:hAnsi="宋体" w:cs="宋体"/>
          <w:color w:val="000000"/>
          <w:szCs w:val="21"/>
          <w:shd w:val="clear" w:color="auto" w:fill="FCFCFC"/>
        </w:rPr>
      </w:pPr>
      <w:r>
        <w:rPr>
          <w:rFonts w:hint="eastAsia" w:ascii="宋体" w:hAnsi="宋体" w:cs="宋体"/>
          <w:color w:val="000000"/>
          <w:szCs w:val="21"/>
          <w:shd w:val="clear" w:color="auto" w:fill="FCFCFC"/>
        </w:rPr>
        <w:t>2.服务要求</w:t>
      </w:r>
    </w:p>
    <w:p>
      <w:pPr>
        <w:spacing w:line="420" w:lineRule="exact"/>
        <w:ind w:firstLine="420" w:firstLineChars="200"/>
        <w:jc w:val="left"/>
        <w:rPr>
          <w:rFonts w:ascii="宋体" w:hAnsi="宋体" w:cs="宋体"/>
          <w:color w:val="000000"/>
          <w:szCs w:val="21"/>
          <w:shd w:val="clear" w:color="auto" w:fill="FCFCFC"/>
        </w:rPr>
      </w:pPr>
      <w:r>
        <w:rPr>
          <w:rFonts w:hint="eastAsia" w:ascii="宋体" w:hAnsi="宋体" w:cs="宋体"/>
          <w:color w:val="000000"/>
          <w:szCs w:val="21"/>
          <w:shd w:val="clear" w:color="auto" w:fill="FCFCFC"/>
        </w:rPr>
        <w:t>2.1检测业务每月开展一至多次，比对业务每季度开展一次，以招标人实际需求为准。</w:t>
      </w:r>
    </w:p>
    <w:p>
      <w:pPr>
        <w:spacing w:line="420" w:lineRule="exact"/>
        <w:ind w:firstLine="420" w:firstLineChars="200"/>
        <w:jc w:val="left"/>
        <w:rPr>
          <w:rFonts w:ascii="宋体" w:hAnsi="宋体" w:cs="宋体"/>
          <w:color w:val="000000"/>
          <w:szCs w:val="21"/>
          <w:shd w:val="clear" w:color="auto" w:fill="FCFCFC"/>
        </w:rPr>
      </w:pPr>
      <w:r>
        <w:rPr>
          <w:rFonts w:hint="eastAsia" w:ascii="宋体" w:hAnsi="宋体" w:cs="宋体"/>
          <w:color w:val="000000"/>
          <w:szCs w:val="21"/>
          <w:shd w:val="clear" w:color="auto" w:fill="FCFCFC"/>
        </w:rPr>
        <w:t>2.2中标人需</w:t>
      </w:r>
      <w:r>
        <w:rPr>
          <w:rFonts w:hint="eastAsia" w:ascii="宋体" w:hAnsi="宋体" w:cs="宋体"/>
          <w:b/>
          <w:bCs/>
          <w:color w:val="000000"/>
          <w:szCs w:val="21"/>
          <w:shd w:val="clear" w:color="auto" w:fill="FCFCFC"/>
        </w:rPr>
        <w:t>安排专人</w:t>
      </w:r>
      <w:r>
        <w:rPr>
          <w:rFonts w:hint="eastAsia" w:ascii="宋体" w:hAnsi="宋体" w:cs="宋体"/>
          <w:color w:val="000000"/>
          <w:szCs w:val="21"/>
          <w:shd w:val="clear" w:color="auto" w:fill="FCFCFC"/>
        </w:rPr>
        <w:t>负责本招标项目的联络、检测计划布置、检测现场指导工作，该负责人对于以上问题的响应时间不得超过2小时。</w:t>
      </w:r>
    </w:p>
    <w:p>
      <w:pPr>
        <w:spacing w:line="420" w:lineRule="exact"/>
        <w:ind w:firstLine="420" w:firstLineChars="200"/>
        <w:jc w:val="left"/>
        <w:rPr>
          <w:rFonts w:ascii="宋体" w:hAnsi="宋体" w:cs="宋体"/>
          <w:color w:val="000000"/>
          <w:szCs w:val="21"/>
          <w:shd w:val="clear" w:color="auto" w:fill="FCFCFC"/>
        </w:rPr>
      </w:pPr>
      <w:r>
        <w:rPr>
          <w:rFonts w:hint="eastAsia" w:ascii="宋体" w:hAnsi="宋体" w:cs="宋体"/>
          <w:color w:val="000000"/>
          <w:szCs w:val="21"/>
          <w:shd w:val="clear" w:color="auto" w:fill="FCFCFC"/>
        </w:rPr>
        <w:t>2.3招标人每月初将当月检测计划通知到中标人，中标人需立即安排检测工作（</w:t>
      </w:r>
      <w:r>
        <w:rPr>
          <w:rFonts w:hint="eastAsia" w:ascii="宋体" w:hAnsi="宋体" w:cs="宋体"/>
          <w:b/>
          <w:bCs/>
          <w:color w:val="000000"/>
          <w:szCs w:val="21"/>
          <w:shd w:val="clear" w:color="auto" w:fill="FCFCFC"/>
        </w:rPr>
        <w:t>5个自然日内</w:t>
      </w:r>
      <w:r>
        <w:rPr>
          <w:rFonts w:hint="eastAsia" w:ascii="宋体" w:hAnsi="宋体" w:cs="宋体"/>
          <w:color w:val="000000"/>
          <w:szCs w:val="21"/>
          <w:shd w:val="clear" w:color="auto" w:fill="FCFCFC"/>
        </w:rPr>
        <w:t>），不得以检测任务多为由拖延检查时间，</w:t>
      </w:r>
      <w:r>
        <w:rPr>
          <w:rFonts w:hint="eastAsia" w:ascii="宋体" w:hAnsi="宋体" w:cs="宋体"/>
          <w:b/>
          <w:bCs/>
          <w:color w:val="000000"/>
          <w:szCs w:val="21"/>
          <w:shd w:val="clear" w:color="auto" w:fill="FCFCFC"/>
        </w:rPr>
        <w:t>必须保证当月将检测计划完成</w:t>
      </w:r>
      <w:r>
        <w:rPr>
          <w:rFonts w:hint="eastAsia" w:ascii="宋体" w:hAnsi="宋体" w:cs="宋体"/>
          <w:color w:val="000000"/>
          <w:szCs w:val="21"/>
          <w:shd w:val="clear" w:color="auto" w:fill="FCFCFC"/>
        </w:rPr>
        <w:t>，月底前将检测数据报于招标人。</w:t>
      </w:r>
    </w:p>
    <w:p>
      <w:pPr>
        <w:spacing w:line="420" w:lineRule="exact"/>
        <w:ind w:firstLine="420" w:firstLineChars="200"/>
        <w:jc w:val="left"/>
        <w:rPr>
          <w:rFonts w:ascii="宋体" w:hAnsi="宋体" w:cs="宋体"/>
          <w:color w:val="000000"/>
          <w:szCs w:val="21"/>
          <w:shd w:val="clear" w:color="auto" w:fill="FCFCFC"/>
        </w:rPr>
      </w:pPr>
      <w:r>
        <w:rPr>
          <w:rFonts w:hint="eastAsia" w:ascii="宋体" w:hAnsi="宋体" w:cs="宋体"/>
          <w:color w:val="000000"/>
          <w:szCs w:val="21"/>
          <w:shd w:val="clear" w:color="auto" w:fill="FCFCFC"/>
        </w:rPr>
        <w:t>2.4中标人需在当月取样完成后承诺的交货期内出具</w:t>
      </w:r>
      <w:r>
        <w:rPr>
          <w:rFonts w:hint="eastAsia" w:ascii="宋体" w:hAnsi="宋体" w:cs="宋体"/>
          <w:b/>
          <w:bCs/>
          <w:color w:val="000000"/>
          <w:szCs w:val="21"/>
          <w:shd w:val="clear" w:color="auto" w:fill="FCFCFC"/>
        </w:rPr>
        <w:t>正式书面检测报告</w:t>
      </w:r>
      <w:r>
        <w:rPr>
          <w:rFonts w:hint="eastAsia" w:ascii="宋体" w:hAnsi="宋体" w:cs="宋体"/>
          <w:color w:val="000000"/>
          <w:szCs w:val="21"/>
          <w:shd w:val="clear" w:color="auto" w:fill="FCFCFC"/>
        </w:rPr>
        <w:t>（1正本1副本，其中比对监测报告2正本1副本）及电子版；检测报告按照水、气、比对等分别出具。</w:t>
      </w:r>
    </w:p>
    <w:p>
      <w:pPr>
        <w:spacing w:line="420" w:lineRule="exact"/>
        <w:ind w:firstLine="420" w:firstLineChars="200"/>
        <w:jc w:val="left"/>
        <w:rPr>
          <w:rFonts w:ascii="宋体" w:hAnsi="宋体" w:cs="宋体"/>
          <w:color w:val="000000"/>
          <w:szCs w:val="21"/>
          <w:shd w:val="clear" w:color="auto" w:fill="FCFCFC"/>
        </w:rPr>
      </w:pPr>
      <w:r>
        <w:rPr>
          <w:rFonts w:hint="eastAsia" w:ascii="宋体" w:hAnsi="宋体" w:cs="宋体"/>
          <w:color w:val="000000"/>
          <w:szCs w:val="21"/>
          <w:shd w:val="clear" w:color="auto" w:fill="FCFCFC"/>
        </w:rPr>
        <w:t>2.5中标人需在出具书面检测报告前将检测结果与招标人沟通，</w:t>
      </w:r>
      <w:r>
        <w:rPr>
          <w:rFonts w:hint="eastAsia" w:ascii="宋体" w:hAnsi="宋体" w:cs="宋体"/>
          <w:b/>
          <w:bCs/>
          <w:color w:val="000000"/>
          <w:szCs w:val="21"/>
          <w:shd w:val="clear" w:color="auto" w:fill="FCFCFC"/>
        </w:rPr>
        <w:t>确保检测结果与现场实际相符合</w:t>
      </w:r>
      <w:r>
        <w:rPr>
          <w:rFonts w:hint="eastAsia" w:ascii="宋体" w:hAnsi="宋体" w:cs="宋体"/>
          <w:color w:val="000000"/>
          <w:szCs w:val="21"/>
          <w:shd w:val="clear" w:color="auto" w:fill="FCFCFC"/>
        </w:rPr>
        <w:t>。</w:t>
      </w:r>
    </w:p>
    <w:p>
      <w:pPr>
        <w:spacing w:line="420" w:lineRule="exact"/>
        <w:ind w:firstLine="420" w:firstLineChars="200"/>
        <w:jc w:val="left"/>
        <w:rPr>
          <w:rFonts w:ascii="宋体" w:hAnsi="宋体" w:cs="宋体"/>
          <w:color w:val="000000"/>
          <w:szCs w:val="21"/>
          <w:shd w:val="clear" w:color="auto" w:fill="FCFCFC"/>
        </w:rPr>
      </w:pPr>
      <w:r>
        <w:rPr>
          <w:rFonts w:hint="eastAsia" w:ascii="宋体" w:hAnsi="宋体" w:cs="宋体"/>
          <w:color w:val="000000"/>
          <w:szCs w:val="21"/>
          <w:shd w:val="clear" w:color="auto" w:fill="FCFCFC"/>
        </w:rPr>
        <w:t>2.</w:t>
      </w:r>
      <w:r>
        <w:rPr>
          <w:rFonts w:ascii="宋体" w:hAnsi="宋体" w:cs="宋体"/>
          <w:color w:val="000000"/>
          <w:szCs w:val="21"/>
          <w:shd w:val="clear" w:color="auto" w:fill="FCFCFC"/>
        </w:rPr>
        <w:t>6</w:t>
      </w:r>
      <w:r>
        <w:rPr>
          <w:rFonts w:hint="eastAsia" w:ascii="宋体" w:hAnsi="宋体" w:cs="宋体"/>
          <w:color w:val="000000"/>
          <w:szCs w:val="21"/>
          <w:shd w:val="clear" w:color="auto" w:fill="FCFCFC"/>
        </w:rPr>
        <w:t>厂界、无组织检测均为</w:t>
      </w:r>
      <w:r>
        <w:rPr>
          <w:rFonts w:hint="eastAsia" w:ascii="宋体" w:hAnsi="宋体" w:cs="宋体"/>
          <w:b/>
          <w:bCs/>
          <w:color w:val="000000"/>
          <w:szCs w:val="21"/>
          <w:shd w:val="clear" w:color="auto" w:fill="FCFCFC"/>
        </w:rPr>
        <w:t>1处取样点位项目全套内容</w:t>
      </w:r>
      <w:r>
        <w:rPr>
          <w:rFonts w:hint="eastAsia" w:ascii="宋体" w:hAnsi="宋体" w:cs="宋体"/>
          <w:color w:val="000000"/>
          <w:szCs w:val="21"/>
          <w:shd w:val="clear" w:color="auto" w:fill="FCFCFC"/>
        </w:rPr>
        <w:t>，非1套，其中</w:t>
      </w:r>
      <w:r>
        <w:rPr>
          <w:rFonts w:hint="eastAsia" w:ascii="宋体" w:hAnsi="宋体" w:cs="宋体"/>
          <w:b/>
          <w:bCs/>
          <w:color w:val="000000"/>
          <w:szCs w:val="21"/>
          <w:shd w:val="clear" w:color="auto" w:fill="FCFCFC"/>
        </w:rPr>
        <w:t>噪声检测包含昼夜各一次</w:t>
      </w:r>
      <w:r>
        <w:rPr>
          <w:rFonts w:hint="eastAsia" w:ascii="宋体" w:hAnsi="宋体" w:cs="宋体"/>
          <w:color w:val="000000"/>
          <w:szCs w:val="21"/>
          <w:shd w:val="clear" w:color="auto" w:fill="FCFCFC"/>
        </w:rPr>
        <w:t>。</w:t>
      </w:r>
    </w:p>
    <w:p>
      <w:pPr>
        <w:spacing w:line="420" w:lineRule="exact"/>
        <w:ind w:firstLine="420" w:firstLineChars="200"/>
        <w:jc w:val="left"/>
        <w:rPr>
          <w:rFonts w:ascii="宋体" w:hAnsi="宋体" w:cs="宋体"/>
          <w:color w:val="000000"/>
          <w:szCs w:val="21"/>
          <w:shd w:val="clear" w:color="auto" w:fill="FCFCFC"/>
        </w:rPr>
      </w:pPr>
      <w:r>
        <w:rPr>
          <w:rFonts w:hint="eastAsia" w:ascii="宋体" w:hAnsi="宋体" w:cs="宋体"/>
          <w:color w:val="000000"/>
          <w:szCs w:val="21"/>
          <w:shd w:val="clear" w:color="auto" w:fill="FCFCFC"/>
        </w:rPr>
        <w:t>2.</w:t>
      </w:r>
      <w:r>
        <w:rPr>
          <w:rFonts w:ascii="宋体" w:hAnsi="宋体" w:cs="宋体"/>
          <w:color w:val="000000"/>
          <w:szCs w:val="21"/>
          <w:shd w:val="clear" w:color="auto" w:fill="FCFCFC"/>
        </w:rPr>
        <w:t>7</w:t>
      </w:r>
      <w:r>
        <w:rPr>
          <w:rFonts w:hint="eastAsia" w:ascii="宋体" w:hAnsi="宋体" w:cs="宋体"/>
          <w:color w:val="000000"/>
          <w:szCs w:val="21"/>
          <w:shd w:val="clear" w:color="auto" w:fill="FCFCFC"/>
        </w:rPr>
        <w:t>投标人应承诺遵循相关法规要求开展检测业务，数据真实准确，出具鉴定报告真实有效。</w:t>
      </w:r>
    </w:p>
    <w:p>
      <w:pPr>
        <w:spacing w:line="420" w:lineRule="exact"/>
        <w:ind w:firstLine="420" w:firstLineChars="200"/>
        <w:jc w:val="left"/>
        <w:rPr>
          <w:rFonts w:ascii="宋体" w:hAnsi="宋体" w:cs="宋体"/>
          <w:color w:val="000000"/>
          <w:szCs w:val="21"/>
          <w:shd w:val="clear" w:color="auto" w:fill="FCFCFC"/>
        </w:rPr>
      </w:pPr>
      <w:r>
        <w:rPr>
          <w:rFonts w:hint="eastAsia" w:ascii="宋体" w:hAnsi="宋体" w:cs="宋体"/>
          <w:color w:val="000000"/>
          <w:szCs w:val="21"/>
          <w:shd w:val="clear" w:color="auto" w:fill="FCFCFC"/>
        </w:rPr>
        <w:t>2.</w:t>
      </w:r>
      <w:r>
        <w:rPr>
          <w:rFonts w:ascii="宋体" w:hAnsi="宋体" w:cs="宋体"/>
          <w:color w:val="000000"/>
          <w:szCs w:val="21"/>
          <w:shd w:val="clear" w:color="auto" w:fill="FCFCFC"/>
        </w:rPr>
        <w:t>8</w:t>
      </w:r>
      <w:r>
        <w:rPr>
          <w:rFonts w:hint="eastAsia" w:ascii="宋体" w:hAnsi="宋体" w:cs="宋体"/>
          <w:color w:val="000000"/>
          <w:szCs w:val="21"/>
          <w:shd w:val="clear" w:color="auto" w:fill="FCFCFC"/>
        </w:rPr>
        <w:t>投标人需自备交通工具、各种检测设备（包括电源）及食宿等检测必须品。</w:t>
      </w:r>
    </w:p>
    <w:p>
      <w:pPr>
        <w:spacing w:line="420" w:lineRule="exact"/>
        <w:ind w:firstLine="420" w:firstLineChars="200"/>
        <w:jc w:val="left"/>
        <w:rPr>
          <w:rFonts w:ascii="宋体" w:hAnsi="宋体" w:cs="宋体"/>
          <w:color w:val="000000"/>
          <w:szCs w:val="21"/>
          <w:shd w:val="clear" w:color="auto" w:fill="FCFCFC"/>
        </w:rPr>
      </w:pPr>
      <w:r>
        <w:rPr>
          <w:rFonts w:hint="eastAsia" w:ascii="宋体" w:hAnsi="宋体" w:cs="宋体"/>
          <w:color w:val="000000"/>
          <w:szCs w:val="21"/>
          <w:shd w:val="clear" w:color="auto" w:fill="FCFCFC"/>
        </w:rPr>
        <w:t>2.</w:t>
      </w:r>
      <w:r>
        <w:rPr>
          <w:rFonts w:ascii="宋体" w:hAnsi="宋体" w:cs="宋体"/>
          <w:color w:val="000000"/>
          <w:szCs w:val="21"/>
          <w:shd w:val="clear" w:color="auto" w:fill="FCFCFC"/>
        </w:rPr>
        <w:t>9</w:t>
      </w:r>
      <w:r>
        <w:rPr>
          <w:rFonts w:hint="eastAsia" w:ascii="宋体" w:hAnsi="宋体" w:cs="宋体"/>
          <w:color w:val="000000"/>
          <w:szCs w:val="21"/>
          <w:shd w:val="clear" w:color="auto" w:fill="FCFCFC"/>
        </w:rPr>
        <w:t>为保证投标人有效进行技术服务工作，招标人当向投标人提供下列工作条件和协作事项：</w:t>
      </w:r>
    </w:p>
    <w:p>
      <w:pPr>
        <w:spacing w:line="420" w:lineRule="exact"/>
        <w:ind w:firstLine="420" w:firstLineChars="200"/>
        <w:jc w:val="left"/>
        <w:rPr>
          <w:rFonts w:ascii="宋体" w:hAnsi="宋体" w:cs="宋体"/>
          <w:color w:val="000000"/>
          <w:szCs w:val="21"/>
          <w:shd w:val="clear" w:color="auto" w:fill="FCFCFC"/>
        </w:rPr>
      </w:pPr>
      <w:r>
        <w:rPr>
          <w:rFonts w:hint="eastAsia" w:ascii="宋体" w:hAnsi="宋体" w:cs="宋体"/>
          <w:color w:val="000000"/>
          <w:szCs w:val="21"/>
          <w:shd w:val="clear" w:color="auto" w:fill="FCFCFC"/>
        </w:rPr>
        <w:t>①提供污染物排放口及在线监测设施的相关技术资料。</w:t>
      </w:r>
    </w:p>
    <w:p>
      <w:pPr>
        <w:spacing w:line="420" w:lineRule="exact"/>
        <w:ind w:firstLine="420" w:firstLineChars="200"/>
        <w:jc w:val="left"/>
        <w:rPr>
          <w:rFonts w:ascii="宋体" w:hAnsi="宋体" w:cs="宋体"/>
          <w:color w:val="000000"/>
          <w:szCs w:val="21"/>
          <w:shd w:val="clear" w:color="auto" w:fill="FCFCFC"/>
        </w:rPr>
      </w:pPr>
      <w:r>
        <w:rPr>
          <w:rFonts w:hint="eastAsia" w:ascii="宋体" w:hAnsi="宋体" w:cs="宋体"/>
          <w:color w:val="000000"/>
          <w:szCs w:val="21"/>
          <w:shd w:val="clear" w:color="auto" w:fill="FCFCFC"/>
        </w:rPr>
        <w:t xml:space="preserve">②确保现场采样时生产工况正常，各处理设施正常运行。 </w:t>
      </w:r>
    </w:p>
    <w:p>
      <w:pPr>
        <w:spacing w:line="420" w:lineRule="exact"/>
        <w:ind w:firstLine="420" w:firstLineChars="200"/>
        <w:jc w:val="left"/>
        <w:rPr>
          <w:rFonts w:ascii="宋体" w:hAnsi="宋体" w:cs="宋体"/>
          <w:color w:val="000000"/>
          <w:szCs w:val="21"/>
          <w:shd w:val="clear" w:color="auto" w:fill="FCFCFC"/>
        </w:rPr>
      </w:pPr>
      <w:r>
        <w:rPr>
          <w:rFonts w:hint="eastAsia" w:ascii="宋体" w:hAnsi="宋体" w:cs="宋体"/>
          <w:color w:val="000000"/>
          <w:szCs w:val="21"/>
          <w:shd w:val="clear" w:color="auto" w:fill="FCFCFC"/>
        </w:rPr>
        <w:t xml:space="preserve">③采样期间招标人需派人现场协助，提供爬梯、检测平台等条件。 </w:t>
      </w:r>
    </w:p>
    <w:p>
      <w:pPr>
        <w:spacing w:line="420" w:lineRule="exact"/>
        <w:ind w:firstLine="420" w:firstLineChars="200"/>
        <w:jc w:val="left"/>
        <w:rPr>
          <w:rFonts w:ascii="宋体" w:hAnsi="宋体" w:cs="宋体"/>
          <w:color w:val="000000"/>
          <w:szCs w:val="21"/>
          <w:shd w:val="clear" w:color="auto" w:fill="FCFCFC"/>
        </w:rPr>
      </w:pPr>
      <w:r>
        <w:rPr>
          <w:rFonts w:hint="eastAsia" w:ascii="宋体" w:hAnsi="宋体" w:cs="宋体"/>
          <w:color w:val="000000"/>
          <w:szCs w:val="21"/>
          <w:shd w:val="clear" w:color="auto" w:fill="FCFCFC"/>
        </w:rPr>
        <w:t>2.1</w:t>
      </w:r>
      <w:r>
        <w:rPr>
          <w:rFonts w:ascii="宋体" w:hAnsi="宋体" w:cs="宋体"/>
          <w:color w:val="000000"/>
          <w:szCs w:val="21"/>
          <w:shd w:val="clear" w:color="auto" w:fill="FCFCFC"/>
        </w:rPr>
        <w:t>0</w:t>
      </w:r>
      <w:r>
        <w:rPr>
          <w:rFonts w:hint="eastAsia" w:ascii="宋体" w:hAnsi="宋体" w:cs="宋体"/>
          <w:color w:val="000000"/>
          <w:szCs w:val="21"/>
          <w:shd w:val="clear" w:color="auto" w:fill="FCFCFC"/>
        </w:rPr>
        <w:t>中标方需对招标人提供的数据及企业资料进行保密，并不得向第三方扩散。因泄密对招标人造成的损失由中标方承担相应全部责任。</w:t>
      </w:r>
    </w:p>
    <w:p>
      <w:pPr>
        <w:spacing w:line="420" w:lineRule="exact"/>
        <w:ind w:firstLine="420" w:firstLineChars="200"/>
        <w:jc w:val="left"/>
        <w:rPr>
          <w:rFonts w:ascii="宋体" w:hAnsi="宋体" w:cs="宋体"/>
          <w:color w:val="000000"/>
          <w:szCs w:val="21"/>
          <w:shd w:val="clear" w:color="auto" w:fill="FCFCFC"/>
        </w:rPr>
      </w:pPr>
      <w:r>
        <w:rPr>
          <w:rFonts w:hint="eastAsia" w:ascii="宋体" w:hAnsi="宋体" w:cs="宋体"/>
          <w:color w:val="000000"/>
          <w:szCs w:val="21"/>
          <w:shd w:val="clear" w:color="auto" w:fill="FCFCFC"/>
        </w:rPr>
        <w:t>3</w:t>
      </w:r>
      <w:r>
        <w:rPr>
          <w:rFonts w:ascii="宋体" w:hAnsi="宋体" w:cs="宋体"/>
          <w:color w:val="000000"/>
          <w:szCs w:val="21"/>
          <w:shd w:val="clear" w:color="auto" w:fill="FCFCFC"/>
        </w:rPr>
        <w:t>.</w:t>
      </w:r>
      <w:r>
        <w:rPr>
          <w:rFonts w:hint="eastAsia" w:ascii="仿宋_GB2312" w:hAnsi="宋体" w:eastAsia="仿宋_GB2312"/>
          <w:bCs/>
          <w:szCs w:val="21"/>
        </w:rPr>
        <w:t xml:space="preserve"> </w:t>
      </w:r>
      <w:r>
        <w:rPr>
          <w:rFonts w:hint="eastAsia" w:ascii="宋体" w:hAnsi="宋体" w:cs="宋体"/>
          <w:color w:val="000000"/>
          <w:szCs w:val="21"/>
          <w:shd w:val="clear" w:color="auto" w:fill="FCFCFC"/>
        </w:rPr>
        <w:t>中标方必须按照环保法律法规要求，采用符合要求的采样设备进行污染物排放取样，并使用标准规定的检测仪器和检测方法，保证检测数据的准确性。</w:t>
      </w:r>
    </w:p>
    <w:p>
      <w:pPr>
        <w:spacing w:line="420" w:lineRule="exact"/>
        <w:ind w:firstLine="420" w:firstLineChars="200"/>
        <w:jc w:val="left"/>
        <w:rPr>
          <w:rFonts w:ascii="宋体" w:hAnsi="宋体" w:cs="宋体"/>
          <w:color w:val="000000"/>
          <w:szCs w:val="21"/>
          <w:shd w:val="clear" w:color="auto" w:fill="FCFCFC"/>
        </w:rPr>
      </w:pPr>
      <w:r>
        <w:rPr>
          <w:rFonts w:ascii="宋体" w:hAnsi="宋体" w:cs="宋体"/>
          <w:color w:val="000000"/>
          <w:szCs w:val="21"/>
          <w:shd w:val="clear" w:color="auto" w:fill="FCFCFC"/>
        </w:rPr>
        <w:t>4</w:t>
      </w:r>
      <w:r>
        <w:rPr>
          <w:rFonts w:hint="eastAsia" w:ascii="宋体" w:hAnsi="宋体" w:cs="宋体"/>
          <w:color w:val="000000"/>
          <w:szCs w:val="21"/>
          <w:shd w:val="clear" w:color="auto" w:fill="FCFCFC"/>
        </w:rPr>
        <w:t>．因投标方原因未能及时完成项目的，或因乙方其他原因造成损失的，应赔偿由此给我司造成的损失。</w:t>
      </w:r>
    </w:p>
    <w:p/>
    <w:p>
      <w:pPr>
        <w:pStyle w:val="11"/>
        <w:outlineLvl w:val="2"/>
        <w:rPr>
          <w:rFonts w:ascii="宋体" w:hAnsi="宋体"/>
          <w:b/>
          <w:color w:val="000000"/>
          <w:sz w:val="28"/>
        </w:rPr>
      </w:pPr>
      <w:r>
        <w:rPr>
          <w:rFonts w:hint="eastAsia" w:eastAsia="黑体"/>
          <w:b/>
          <w:bCs/>
          <w:sz w:val="28"/>
        </w:rPr>
        <w:br w:type="page"/>
      </w:r>
      <w:r>
        <w:rPr>
          <w:rFonts w:hint="eastAsia" w:ascii="宋体" w:hAnsi="宋体" w:eastAsia="宋体" w:cs="宋体"/>
          <w:b/>
          <w:bCs/>
          <w:color w:val="000000"/>
          <w:kern w:val="2"/>
          <w:sz w:val="24"/>
          <w:szCs w:val="24"/>
          <w:lang w:val="en-US" w:eastAsia="zh-CN" w:bidi="ar-SA"/>
        </w:rPr>
        <w:t>附件一：</w:t>
      </w:r>
    </w:p>
    <w:p>
      <w:pPr>
        <w:spacing w:line="400" w:lineRule="exact"/>
        <w:rPr>
          <w:rFonts w:ascii="宋体" w:hAnsi="宋体"/>
          <w:bCs/>
          <w:color w:val="000000"/>
          <w:sz w:val="28"/>
        </w:rPr>
      </w:pPr>
    </w:p>
    <w:p>
      <w:pPr>
        <w:spacing w:line="400" w:lineRule="exact"/>
        <w:rPr>
          <w:rFonts w:ascii="宋体" w:hAnsi="宋体"/>
          <w:color w:val="000000"/>
        </w:rPr>
      </w:pPr>
    </w:p>
    <w:p>
      <w:pPr>
        <w:bidi w:val="0"/>
        <w:jc w:val="center"/>
        <w:rPr>
          <w:b/>
          <w:bCs/>
          <w:sz w:val="52"/>
          <w:szCs w:val="48"/>
        </w:rPr>
      </w:pPr>
      <w:r>
        <w:rPr>
          <w:rFonts w:hint="eastAsia"/>
          <w:b/>
          <w:bCs/>
          <w:sz w:val="52"/>
          <w:szCs w:val="48"/>
        </w:rPr>
        <w:t>中国重汽杭发公司</w:t>
      </w:r>
    </w:p>
    <w:p>
      <w:pPr>
        <w:bidi w:val="0"/>
        <w:jc w:val="center"/>
        <w:rPr>
          <w:b/>
          <w:bCs/>
          <w:sz w:val="52"/>
          <w:szCs w:val="48"/>
        </w:rPr>
      </w:pPr>
      <w:r>
        <w:rPr>
          <w:rFonts w:hint="eastAsia"/>
          <w:b/>
          <w:bCs/>
          <w:sz w:val="52"/>
          <w:szCs w:val="48"/>
        </w:rPr>
        <w:t>2026年环境监测项目</w:t>
      </w:r>
      <w:r>
        <w:rPr>
          <w:b/>
          <w:bCs/>
          <w:sz w:val="52"/>
          <w:szCs w:val="48"/>
        </w:rPr>
        <w:t>投标文件</w:t>
      </w:r>
    </w:p>
    <w:p>
      <w:pPr>
        <w:bidi w:val="0"/>
        <w:jc w:val="center"/>
        <w:rPr>
          <w:b/>
          <w:bCs/>
          <w:sz w:val="52"/>
          <w:szCs w:val="48"/>
        </w:rPr>
      </w:pPr>
    </w:p>
    <w:p>
      <w:pPr>
        <w:rPr>
          <w:rFonts w:ascii="宋体" w:hAnsi="宋体"/>
          <w:color w:val="000000"/>
          <w:sz w:val="28"/>
          <w:szCs w:val="28"/>
        </w:rPr>
      </w:pPr>
    </w:p>
    <w:p>
      <w:pPr>
        <w:rPr>
          <w:rFonts w:ascii="宋体" w:hAnsi="宋体"/>
          <w:color w:val="000000"/>
          <w:sz w:val="28"/>
          <w:szCs w:val="28"/>
        </w:rPr>
      </w:pPr>
    </w:p>
    <w:p>
      <w:pPr>
        <w:jc w:val="center"/>
        <w:rPr>
          <w:rFonts w:ascii="宋体" w:hAnsi="宋体"/>
          <w:color w:val="000000"/>
          <w:sz w:val="28"/>
          <w:szCs w:val="28"/>
        </w:rPr>
      </w:pPr>
      <w:r>
        <w:rPr>
          <w:rFonts w:ascii="宋体" w:hAnsi="宋体"/>
          <w:color w:val="000000"/>
          <w:sz w:val="28"/>
          <w:szCs w:val="28"/>
        </w:rPr>
        <w:t>投标单位：</w:t>
      </w: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ascii="宋体" w:hAnsi="宋体"/>
          <w:color w:val="000000"/>
          <w:sz w:val="28"/>
          <w:szCs w:val="28"/>
        </w:rPr>
        <w:t>（盖章）</w:t>
      </w:r>
    </w:p>
    <w:p>
      <w:pPr>
        <w:jc w:val="center"/>
        <w:rPr>
          <w:rFonts w:ascii="宋体" w:hAnsi="宋体"/>
          <w:color w:val="000000"/>
          <w:sz w:val="28"/>
          <w:szCs w:val="28"/>
        </w:rPr>
      </w:pPr>
    </w:p>
    <w:p>
      <w:pPr>
        <w:jc w:val="center"/>
        <w:rPr>
          <w:rFonts w:ascii="宋体" w:hAnsi="宋体"/>
          <w:color w:val="000000"/>
          <w:sz w:val="28"/>
          <w:szCs w:val="28"/>
          <w:u w:val="single"/>
        </w:rPr>
      </w:pPr>
    </w:p>
    <w:p>
      <w:pPr>
        <w:jc w:val="center"/>
        <w:rPr>
          <w:rFonts w:ascii="宋体" w:hAnsi="宋体"/>
          <w:color w:val="000000"/>
          <w:sz w:val="28"/>
          <w:szCs w:val="28"/>
        </w:rPr>
      </w:pPr>
      <w:r>
        <w:rPr>
          <w:rFonts w:ascii="宋体" w:hAnsi="宋体"/>
          <w:color w:val="000000"/>
          <w:sz w:val="28"/>
          <w:szCs w:val="28"/>
        </w:rPr>
        <w:t>法定代表人或其委托代理人：</w:t>
      </w:r>
      <w:r>
        <w:rPr>
          <w:rFonts w:ascii="宋体" w:hAnsi="宋体"/>
          <w:color w:val="000000"/>
          <w:sz w:val="28"/>
          <w:szCs w:val="28"/>
          <w:u w:val="single"/>
        </w:rPr>
        <w:t xml:space="preserve">                </w:t>
      </w:r>
      <w:r>
        <w:rPr>
          <w:rFonts w:ascii="宋体" w:hAnsi="宋体"/>
          <w:color w:val="000000"/>
          <w:sz w:val="28"/>
          <w:szCs w:val="28"/>
        </w:rPr>
        <w:t>（签字）</w:t>
      </w:r>
    </w:p>
    <w:p>
      <w:pPr>
        <w:jc w:val="center"/>
        <w:rPr>
          <w:rFonts w:ascii="宋体" w:hAnsi="宋体"/>
          <w:color w:val="000000"/>
          <w:sz w:val="28"/>
          <w:szCs w:val="28"/>
        </w:rPr>
      </w:pPr>
    </w:p>
    <w:p>
      <w:pPr>
        <w:jc w:val="center"/>
        <w:rPr>
          <w:rFonts w:ascii="宋体" w:hAnsi="宋体"/>
          <w:color w:val="000000"/>
          <w:sz w:val="28"/>
          <w:szCs w:val="28"/>
        </w:rPr>
      </w:pPr>
    </w:p>
    <w:p>
      <w:pPr>
        <w:wordWrap w:val="0"/>
        <w:jc w:val="center"/>
        <w:rPr>
          <w:rFonts w:ascii="宋体" w:hAnsi="宋体"/>
          <w:color w:val="000000"/>
          <w:sz w:val="28"/>
          <w:szCs w:val="28"/>
        </w:rPr>
      </w:pP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rPr>
        <w:t>年</w:t>
      </w:r>
      <w:r>
        <w:rPr>
          <w:rFonts w:ascii="宋体" w:hAnsi="宋体"/>
          <w:color w:val="000000"/>
          <w:sz w:val="28"/>
          <w:szCs w:val="28"/>
          <w:u w:val="single"/>
        </w:rPr>
        <w:t xml:space="preserve">       </w:t>
      </w:r>
      <w:r>
        <w:rPr>
          <w:rFonts w:ascii="宋体" w:hAnsi="宋体"/>
          <w:color w:val="000000"/>
          <w:sz w:val="28"/>
          <w:szCs w:val="28"/>
        </w:rPr>
        <w:t>月</w:t>
      </w:r>
      <w:r>
        <w:rPr>
          <w:rFonts w:ascii="宋体" w:hAnsi="宋体"/>
          <w:color w:val="000000"/>
          <w:sz w:val="28"/>
          <w:szCs w:val="28"/>
          <w:u w:val="single"/>
        </w:rPr>
        <w:t xml:space="preserve">       </w:t>
      </w:r>
      <w:r>
        <w:rPr>
          <w:rFonts w:ascii="宋体" w:hAnsi="宋体"/>
          <w:color w:val="000000"/>
          <w:sz w:val="28"/>
          <w:szCs w:val="28"/>
        </w:rPr>
        <w:t>日</w:t>
      </w:r>
    </w:p>
    <w:p>
      <w:pPr>
        <w:spacing w:line="440" w:lineRule="exact"/>
        <w:rPr>
          <w:rFonts w:hint="eastAsia" w:ascii="宋体" w:hAnsi="宋体" w:eastAsia="宋体" w:cs="宋体"/>
          <w:b/>
          <w:bCs/>
          <w:color w:val="000000"/>
          <w:kern w:val="2"/>
          <w:sz w:val="24"/>
          <w:szCs w:val="24"/>
          <w:lang w:val="en-US" w:eastAsia="zh-CN" w:bidi="ar-SA"/>
        </w:rPr>
      </w:pPr>
      <w:r>
        <w:rPr>
          <w:rFonts w:ascii="宋体" w:hAnsi="宋体"/>
          <w:color w:val="000000"/>
          <w:sz w:val="32"/>
          <w:szCs w:val="32"/>
        </w:rPr>
        <w:br w:type="page"/>
      </w:r>
      <w:r>
        <w:rPr>
          <w:rFonts w:hint="eastAsia" w:ascii="宋体" w:hAnsi="宋体" w:eastAsia="宋体" w:cs="宋体"/>
          <w:b/>
          <w:bCs/>
          <w:color w:val="000000"/>
          <w:kern w:val="2"/>
          <w:sz w:val="24"/>
          <w:szCs w:val="24"/>
          <w:lang w:val="en-US" w:eastAsia="zh-CN" w:bidi="ar-SA"/>
        </w:rPr>
        <w:t>附件二：</w:t>
      </w:r>
    </w:p>
    <w:p>
      <w:pPr>
        <w:bidi w:val="0"/>
        <w:jc w:val="center"/>
        <w:rPr>
          <w:b/>
          <w:bCs/>
          <w:sz w:val="44"/>
          <w:szCs w:val="40"/>
        </w:rPr>
      </w:pPr>
      <w:r>
        <w:rPr>
          <w:b/>
          <w:bCs/>
          <w:sz w:val="44"/>
          <w:szCs w:val="40"/>
        </w:rPr>
        <w:t>投</w:t>
      </w:r>
      <w:r>
        <w:rPr>
          <w:rFonts w:hint="eastAsia"/>
          <w:b/>
          <w:bCs/>
          <w:sz w:val="44"/>
          <w:szCs w:val="40"/>
        </w:rPr>
        <w:t xml:space="preserve"> </w:t>
      </w:r>
      <w:r>
        <w:rPr>
          <w:b/>
          <w:bCs/>
          <w:sz w:val="44"/>
          <w:szCs w:val="40"/>
        </w:rPr>
        <w:t>标</w:t>
      </w:r>
      <w:r>
        <w:rPr>
          <w:rFonts w:hint="eastAsia"/>
          <w:b/>
          <w:bCs/>
          <w:sz w:val="44"/>
          <w:szCs w:val="40"/>
        </w:rPr>
        <w:t xml:space="preserve"> </w:t>
      </w:r>
      <w:r>
        <w:rPr>
          <w:b/>
          <w:bCs/>
          <w:sz w:val="44"/>
          <w:szCs w:val="40"/>
        </w:rPr>
        <w:t>函</w:t>
      </w:r>
    </w:p>
    <w:p>
      <w:pPr>
        <w:spacing w:line="360" w:lineRule="auto"/>
        <w:rPr>
          <w:rFonts w:ascii="仿宋" w:hAnsi="仿宋" w:eastAsia="仿宋" w:cs="仿宋"/>
          <w:color w:val="000000"/>
        </w:rPr>
      </w:pPr>
      <w:r>
        <w:rPr>
          <w:rFonts w:hint="eastAsia" w:ascii="仿宋" w:hAnsi="仿宋" w:eastAsia="仿宋" w:cs="仿宋"/>
          <w:color w:val="000000"/>
          <w:u w:val="single"/>
        </w:rPr>
        <w:t>中国重汽集团杭州发动机有限公司</w:t>
      </w:r>
      <w:r>
        <w:rPr>
          <w:rFonts w:hint="eastAsia" w:ascii="仿宋" w:hAnsi="仿宋" w:eastAsia="仿宋" w:cs="仿宋"/>
          <w:color w:val="000000"/>
        </w:rPr>
        <w:t>：</w:t>
      </w:r>
    </w:p>
    <w:p>
      <w:pPr>
        <w:rPr>
          <w:rFonts w:ascii="仿宋" w:hAnsi="仿宋" w:eastAsia="仿宋" w:cs="仿宋"/>
          <w:color w:val="000000"/>
        </w:rPr>
      </w:pPr>
      <w:r>
        <w:rPr>
          <w:rFonts w:hint="eastAsia" w:ascii="仿宋" w:hAnsi="仿宋" w:eastAsia="仿宋" w:cs="仿宋"/>
          <w:color w:val="000000"/>
        </w:rPr>
        <w:t xml:space="preserve">    1．我方已仔细研究了</w:t>
      </w:r>
      <w:r>
        <w:rPr>
          <w:rFonts w:hint="eastAsia" w:ascii="仿宋" w:hAnsi="仿宋" w:eastAsia="仿宋" w:cs="仿宋"/>
          <w:color w:val="000000"/>
          <w:u w:val="single"/>
        </w:rPr>
        <w:t>中国重汽杭发公司2026年环境监测项目</w:t>
      </w:r>
      <w:r>
        <w:rPr>
          <w:rFonts w:hint="eastAsia" w:ascii="仿宋" w:hAnsi="仿宋" w:eastAsia="仿宋" w:cs="仿宋"/>
          <w:color w:val="000000"/>
        </w:rPr>
        <w:t>招标文件的全部内容，并同意将投标单位必须遵循的内容做为合同条款，同意按合同约定实施承包项目。</w:t>
      </w:r>
    </w:p>
    <w:p>
      <w:pPr>
        <w:spacing w:line="360" w:lineRule="auto"/>
        <w:ind w:firstLine="420" w:firstLineChars="200"/>
        <w:rPr>
          <w:rFonts w:ascii="仿宋" w:hAnsi="仿宋" w:eastAsia="仿宋" w:cs="仿宋"/>
          <w:color w:val="000000"/>
        </w:rPr>
      </w:pPr>
      <w:r>
        <w:rPr>
          <w:rFonts w:hint="eastAsia" w:ascii="仿宋" w:hAnsi="仿宋" w:eastAsia="仿宋" w:cs="仿宋"/>
          <w:color w:val="000000"/>
        </w:rPr>
        <w:t>2．我方承诺在招标文件规定的投标有效期内不修改、撤销投标文件。</w:t>
      </w:r>
    </w:p>
    <w:p>
      <w:pPr>
        <w:spacing w:line="360" w:lineRule="auto"/>
        <w:ind w:firstLine="420" w:firstLineChars="200"/>
        <w:rPr>
          <w:rFonts w:ascii="仿宋" w:hAnsi="仿宋" w:eastAsia="仿宋" w:cs="仿宋"/>
          <w:color w:val="000000"/>
        </w:rPr>
      </w:pPr>
      <w:r>
        <w:rPr>
          <w:rFonts w:hint="eastAsia" w:ascii="仿宋" w:hAnsi="仿宋" w:eastAsia="仿宋" w:cs="仿宋"/>
          <w:color w:val="000000"/>
        </w:rPr>
        <w:t>3．如我方中标：</w:t>
      </w:r>
    </w:p>
    <w:p>
      <w:pPr>
        <w:spacing w:line="360" w:lineRule="auto"/>
        <w:ind w:firstLine="315" w:firstLineChars="150"/>
        <w:rPr>
          <w:rFonts w:ascii="仿宋" w:hAnsi="仿宋" w:eastAsia="仿宋" w:cs="仿宋"/>
          <w:color w:val="000000"/>
        </w:rPr>
      </w:pPr>
      <w:r>
        <w:rPr>
          <w:rFonts w:hint="eastAsia" w:ascii="仿宋" w:hAnsi="仿宋" w:eastAsia="仿宋" w:cs="仿宋"/>
          <w:color w:val="000000"/>
        </w:rPr>
        <w:t>（1）我方承诺在收到中标通知书后，在中标通知书规定的期限内与你方签订合同。</w:t>
      </w:r>
    </w:p>
    <w:p>
      <w:pPr>
        <w:spacing w:line="360" w:lineRule="auto"/>
        <w:ind w:firstLine="315" w:firstLineChars="150"/>
        <w:rPr>
          <w:rFonts w:ascii="仿宋" w:hAnsi="仿宋" w:eastAsia="仿宋" w:cs="仿宋"/>
          <w:color w:val="000000"/>
        </w:rPr>
      </w:pPr>
      <w:r>
        <w:rPr>
          <w:rFonts w:hint="eastAsia" w:ascii="仿宋" w:hAnsi="仿宋" w:eastAsia="仿宋" w:cs="仿宋"/>
          <w:color w:val="000000"/>
        </w:rPr>
        <w:t>（2）随同本投标函递交的投标函附件属于合同文件的组成部分。</w:t>
      </w:r>
    </w:p>
    <w:p>
      <w:pPr>
        <w:spacing w:line="360" w:lineRule="auto"/>
        <w:ind w:firstLine="315" w:firstLineChars="150"/>
        <w:rPr>
          <w:rFonts w:ascii="仿宋" w:hAnsi="仿宋" w:eastAsia="仿宋" w:cs="仿宋"/>
          <w:color w:val="000000"/>
        </w:rPr>
      </w:pPr>
      <w:r>
        <w:rPr>
          <w:rFonts w:hint="eastAsia" w:ascii="仿宋" w:hAnsi="仿宋" w:eastAsia="仿宋" w:cs="仿宋"/>
          <w:color w:val="000000"/>
        </w:rPr>
        <w:t>（3）我方承诺在合同约定的期限内完成全部合同项目。</w:t>
      </w:r>
    </w:p>
    <w:p>
      <w:pPr>
        <w:spacing w:line="360" w:lineRule="auto"/>
        <w:ind w:firstLine="420" w:firstLineChars="200"/>
        <w:rPr>
          <w:rFonts w:ascii="仿宋" w:hAnsi="仿宋" w:eastAsia="仿宋" w:cs="仿宋"/>
          <w:color w:val="000000"/>
        </w:rPr>
      </w:pPr>
      <w:r>
        <w:rPr>
          <w:rFonts w:hint="eastAsia" w:ascii="仿宋" w:hAnsi="仿宋" w:eastAsia="仿宋" w:cs="仿宋"/>
          <w:color w:val="000000"/>
        </w:rPr>
        <w:t>4．我方在此声明，所递交的投标文件及有关资料内容完整、真实和准确。</w:t>
      </w:r>
    </w:p>
    <w:p>
      <w:pPr>
        <w:spacing w:line="360" w:lineRule="auto"/>
        <w:ind w:firstLine="420" w:firstLineChars="200"/>
        <w:rPr>
          <w:rFonts w:ascii="仿宋" w:hAnsi="仿宋" w:eastAsia="仿宋" w:cs="仿宋"/>
          <w:color w:val="000000"/>
        </w:rPr>
      </w:pPr>
      <w:r>
        <w:rPr>
          <w:rFonts w:hint="eastAsia" w:ascii="仿宋" w:hAnsi="仿宋" w:eastAsia="仿宋" w:cs="仿宋"/>
          <w:color w:val="000000"/>
        </w:rPr>
        <w:t>5．</w:t>
      </w:r>
      <w:r>
        <w:rPr>
          <w:rFonts w:hint="eastAsia" w:ascii="仿宋" w:hAnsi="仿宋" w:eastAsia="仿宋" w:cs="仿宋"/>
          <w:color w:val="000000"/>
          <w:u w:val="single"/>
        </w:rPr>
        <w:t xml:space="preserve">                                       </w:t>
      </w:r>
      <w:r>
        <w:rPr>
          <w:rFonts w:hint="eastAsia" w:ascii="仿宋" w:hAnsi="仿宋" w:eastAsia="仿宋" w:cs="仿宋"/>
          <w:color w:val="000000"/>
        </w:rPr>
        <w:t>（其他补充说明）。</w:t>
      </w:r>
    </w:p>
    <w:p>
      <w:pPr>
        <w:spacing w:line="360" w:lineRule="auto"/>
        <w:rPr>
          <w:rFonts w:ascii="仿宋" w:hAnsi="仿宋" w:eastAsia="仿宋" w:cs="仿宋"/>
          <w:color w:val="000000"/>
        </w:rPr>
      </w:pPr>
    </w:p>
    <w:p>
      <w:pPr>
        <w:spacing w:line="360" w:lineRule="auto"/>
        <w:rPr>
          <w:rFonts w:ascii="仿宋" w:hAnsi="仿宋" w:eastAsia="仿宋" w:cs="仿宋"/>
          <w:color w:val="000000"/>
        </w:rPr>
      </w:pPr>
    </w:p>
    <w:p>
      <w:pPr>
        <w:spacing w:line="360" w:lineRule="auto"/>
        <w:ind w:firstLine="2520" w:firstLineChars="1200"/>
        <w:rPr>
          <w:rFonts w:ascii="仿宋" w:hAnsi="仿宋" w:eastAsia="仿宋" w:cs="仿宋"/>
          <w:color w:val="000000"/>
        </w:rPr>
      </w:pPr>
      <w:r>
        <w:rPr>
          <w:rFonts w:hint="eastAsia" w:ascii="仿宋" w:hAnsi="仿宋" w:eastAsia="仿宋" w:cs="仿宋"/>
          <w:color w:val="000000"/>
        </w:rPr>
        <w:t>投标单位：</w:t>
      </w:r>
      <w:r>
        <w:rPr>
          <w:rFonts w:hint="eastAsia" w:ascii="仿宋" w:hAnsi="仿宋" w:eastAsia="仿宋" w:cs="仿宋"/>
          <w:color w:val="000000"/>
          <w:u w:val="single"/>
        </w:rPr>
        <w:t xml:space="preserve">                      </w:t>
      </w:r>
      <w:r>
        <w:rPr>
          <w:rFonts w:hint="eastAsia" w:ascii="仿宋" w:hAnsi="仿宋" w:eastAsia="仿宋" w:cs="仿宋"/>
          <w:color w:val="000000"/>
        </w:rPr>
        <w:t>（盖单位章）</w:t>
      </w:r>
    </w:p>
    <w:p>
      <w:pPr>
        <w:spacing w:line="360" w:lineRule="auto"/>
        <w:ind w:firstLine="2520" w:firstLineChars="1200"/>
        <w:rPr>
          <w:rFonts w:ascii="仿宋" w:hAnsi="仿宋" w:eastAsia="仿宋" w:cs="仿宋"/>
          <w:color w:val="000000"/>
        </w:rPr>
      </w:pPr>
      <w:r>
        <w:rPr>
          <w:rFonts w:hint="eastAsia" w:ascii="仿宋" w:hAnsi="仿宋" w:eastAsia="仿宋" w:cs="仿宋"/>
          <w:color w:val="000000"/>
        </w:rPr>
        <w:t>法定代表人或其委托代理人：</w:t>
      </w:r>
      <w:r>
        <w:rPr>
          <w:rFonts w:hint="eastAsia" w:ascii="仿宋" w:hAnsi="仿宋" w:eastAsia="仿宋" w:cs="仿宋"/>
          <w:color w:val="000000"/>
          <w:u w:val="single"/>
        </w:rPr>
        <w:t xml:space="preserve">          </w:t>
      </w:r>
      <w:r>
        <w:rPr>
          <w:rFonts w:hint="eastAsia" w:ascii="仿宋" w:hAnsi="仿宋" w:eastAsia="仿宋" w:cs="仿宋"/>
          <w:color w:val="000000"/>
        </w:rPr>
        <w:t>（签字）</w:t>
      </w:r>
    </w:p>
    <w:p>
      <w:pPr>
        <w:spacing w:line="360" w:lineRule="auto"/>
        <w:ind w:firstLine="2520" w:firstLineChars="1200"/>
        <w:rPr>
          <w:rFonts w:ascii="仿宋" w:hAnsi="仿宋" w:eastAsia="仿宋" w:cs="仿宋"/>
          <w:color w:val="000000"/>
        </w:rPr>
      </w:pPr>
      <w:r>
        <w:rPr>
          <w:rFonts w:hint="eastAsia" w:ascii="仿宋" w:hAnsi="仿宋" w:eastAsia="仿宋" w:cs="仿宋"/>
          <w:color w:val="000000"/>
        </w:rPr>
        <w:t>地址：</w:t>
      </w:r>
      <w:r>
        <w:rPr>
          <w:rFonts w:hint="eastAsia" w:ascii="仿宋" w:hAnsi="仿宋" w:eastAsia="仿宋" w:cs="仿宋"/>
          <w:color w:val="000000"/>
          <w:u w:val="single"/>
        </w:rPr>
        <w:t xml:space="preserve">                                     </w:t>
      </w:r>
    </w:p>
    <w:p>
      <w:pPr>
        <w:spacing w:line="360" w:lineRule="auto"/>
        <w:ind w:firstLine="2520" w:firstLineChars="1200"/>
        <w:rPr>
          <w:rFonts w:ascii="仿宋" w:hAnsi="仿宋" w:eastAsia="仿宋" w:cs="仿宋"/>
          <w:color w:val="000000"/>
        </w:rPr>
      </w:pPr>
      <w:r>
        <w:rPr>
          <w:rFonts w:hint="eastAsia" w:ascii="仿宋" w:hAnsi="仿宋" w:eastAsia="仿宋" w:cs="仿宋"/>
          <w:color w:val="000000"/>
        </w:rPr>
        <w:t>网址：</w:t>
      </w:r>
      <w:r>
        <w:rPr>
          <w:rFonts w:hint="eastAsia" w:ascii="仿宋" w:hAnsi="仿宋" w:eastAsia="仿宋" w:cs="仿宋"/>
          <w:color w:val="000000"/>
          <w:u w:val="single"/>
        </w:rPr>
        <w:t xml:space="preserve">                                     </w:t>
      </w:r>
    </w:p>
    <w:p>
      <w:pPr>
        <w:spacing w:line="360" w:lineRule="auto"/>
        <w:ind w:firstLine="2520" w:firstLineChars="1200"/>
        <w:rPr>
          <w:rFonts w:ascii="仿宋" w:hAnsi="仿宋" w:eastAsia="仿宋" w:cs="仿宋"/>
          <w:color w:val="000000"/>
        </w:rPr>
      </w:pPr>
      <w:r>
        <w:rPr>
          <w:rFonts w:hint="eastAsia" w:ascii="仿宋" w:hAnsi="仿宋" w:eastAsia="仿宋" w:cs="仿宋"/>
          <w:color w:val="000000"/>
        </w:rPr>
        <w:t>电话：</w:t>
      </w:r>
      <w:r>
        <w:rPr>
          <w:rFonts w:hint="eastAsia" w:ascii="仿宋" w:hAnsi="仿宋" w:eastAsia="仿宋" w:cs="仿宋"/>
          <w:color w:val="000000"/>
          <w:u w:val="single"/>
        </w:rPr>
        <w:t xml:space="preserve">                                     </w:t>
      </w:r>
    </w:p>
    <w:p>
      <w:pPr>
        <w:spacing w:line="360" w:lineRule="auto"/>
        <w:ind w:firstLine="2520" w:firstLineChars="1200"/>
        <w:rPr>
          <w:rFonts w:ascii="仿宋" w:hAnsi="仿宋" w:eastAsia="仿宋" w:cs="仿宋"/>
          <w:color w:val="000000"/>
        </w:rPr>
      </w:pPr>
      <w:r>
        <w:rPr>
          <w:rFonts w:hint="eastAsia" w:ascii="仿宋" w:hAnsi="仿宋" w:eastAsia="仿宋" w:cs="仿宋"/>
          <w:color w:val="000000"/>
        </w:rPr>
        <w:t>传真：</w:t>
      </w:r>
      <w:r>
        <w:rPr>
          <w:rFonts w:hint="eastAsia" w:ascii="仿宋" w:hAnsi="仿宋" w:eastAsia="仿宋" w:cs="仿宋"/>
          <w:color w:val="000000"/>
          <w:u w:val="single"/>
        </w:rPr>
        <w:t xml:space="preserve">                                     </w:t>
      </w:r>
    </w:p>
    <w:p>
      <w:pPr>
        <w:spacing w:line="360" w:lineRule="auto"/>
        <w:ind w:firstLine="2520" w:firstLineChars="1200"/>
        <w:rPr>
          <w:rFonts w:ascii="仿宋" w:hAnsi="仿宋" w:eastAsia="仿宋" w:cs="仿宋"/>
          <w:color w:val="000000"/>
          <w:u w:val="single"/>
        </w:rPr>
      </w:pPr>
      <w:r>
        <w:rPr>
          <w:rFonts w:hint="eastAsia" w:ascii="仿宋" w:hAnsi="仿宋" w:eastAsia="仿宋" w:cs="仿宋"/>
          <w:color w:val="000000"/>
        </w:rPr>
        <w:t>邮政编码：</w:t>
      </w:r>
      <w:r>
        <w:rPr>
          <w:rFonts w:hint="eastAsia" w:ascii="仿宋" w:hAnsi="仿宋" w:eastAsia="仿宋" w:cs="仿宋"/>
          <w:color w:val="000000"/>
          <w:u w:val="single"/>
        </w:rPr>
        <w:t xml:space="preserve">                                 </w:t>
      </w:r>
    </w:p>
    <w:p>
      <w:pPr>
        <w:spacing w:line="360" w:lineRule="auto"/>
        <w:ind w:firstLine="2520" w:firstLineChars="1200"/>
        <w:rPr>
          <w:rFonts w:ascii="仿宋" w:hAnsi="仿宋" w:eastAsia="仿宋" w:cs="仿宋"/>
          <w:color w:val="000000"/>
          <w:u w:val="single"/>
        </w:rPr>
      </w:pPr>
    </w:p>
    <w:p>
      <w:pPr>
        <w:spacing w:line="360" w:lineRule="auto"/>
        <w:ind w:firstLine="3360" w:firstLineChars="1600"/>
        <w:rPr>
          <w:rFonts w:ascii="仿宋" w:hAnsi="仿宋" w:eastAsia="仿宋" w:cs="仿宋"/>
          <w:color w:val="000000"/>
        </w:rPr>
      </w:pPr>
      <w:r>
        <w:rPr>
          <w:rFonts w:hint="eastAsia" w:ascii="仿宋" w:hAnsi="仿宋" w:eastAsia="仿宋" w:cs="仿宋"/>
          <w:color w:val="000000"/>
        </w:rPr>
        <w:t xml:space="preserve">       年      月      日</w:t>
      </w:r>
    </w:p>
    <w:p>
      <w:pPr>
        <w:spacing w:line="400" w:lineRule="exact"/>
        <w:rPr>
          <w:rFonts w:ascii="宋体" w:hAnsi="宋体"/>
          <w:b/>
          <w:color w:val="000000"/>
          <w:sz w:val="28"/>
        </w:rPr>
      </w:pPr>
      <w:r>
        <w:rPr>
          <w:rFonts w:ascii="宋体" w:hAnsi="宋体"/>
          <w:color w:val="000000"/>
          <w:sz w:val="32"/>
          <w:szCs w:val="32"/>
        </w:rPr>
        <w:br w:type="page"/>
      </w:r>
      <w:r>
        <w:rPr>
          <w:rFonts w:hint="eastAsia" w:ascii="宋体" w:hAnsi="宋体" w:eastAsia="宋体" w:cs="宋体"/>
          <w:b/>
          <w:bCs/>
          <w:color w:val="000000"/>
          <w:kern w:val="2"/>
          <w:sz w:val="24"/>
          <w:szCs w:val="24"/>
          <w:lang w:val="en-US" w:eastAsia="zh-CN" w:bidi="ar-SA"/>
        </w:rPr>
        <w:t>附件三：</w:t>
      </w:r>
    </w:p>
    <w:p>
      <w:pPr>
        <w:spacing w:line="440" w:lineRule="exact"/>
        <w:ind w:firstLine="880" w:firstLineChars="200"/>
        <w:jc w:val="center"/>
        <w:rPr>
          <w:rFonts w:ascii="宋体" w:hAnsi="宋体"/>
          <w:color w:val="000000"/>
          <w:sz w:val="44"/>
          <w:szCs w:val="44"/>
        </w:rPr>
      </w:pPr>
    </w:p>
    <w:p>
      <w:pPr>
        <w:spacing w:line="440" w:lineRule="exact"/>
        <w:ind w:firstLine="880" w:firstLineChars="200"/>
        <w:jc w:val="center"/>
        <w:rPr>
          <w:rFonts w:ascii="宋体" w:hAnsi="宋体"/>
          <w:color w:val="000000"/>
          <w:sz w:val="44"/>
          <w:szCs w:val="44"/>
        </w:rPr>
      </w:pPr>
    </w:p>
    <w:p>
      <w:pPr>
        <w:bidi w:val="0"/>
        <w:jc w:val="center"/>
        <w:rPr>
          <w:rFonts w:hint="eastAsia" w:ascii="黑体" w:hAnsi="黑体" w:eastAsia="黑体" w:cs="黑体"/>
          <w:sz w:val="32"/>
          <w:szCs w:val="28"/>
        </w:rPr>
      </w:pPr>
      <w:r>
        <w:rPr>
          <w:rFonts w:hint="eastAsia" w:ascii="黑体" w:hAnsi="黑体" w:eastAsia="黑体" w:cs="黑体"/>
          <w:sz w:val="32"/>
          <w:szCs w:val="28"/>
        </w:rPr>
        <w:t>法定代表人身份证明</w:t>
      </w:r>
    </w:p>
    <w:p>
      <w:pPr>
        <w:spacing w:line="360" w:lineRule="auto"/>
        <w:rPr>
          <w:rFonts w:ascii="宋体" w:hAnsi="宋体"/>
          <w:color w:val="000000"/>
        </w:rPr>
      </w:pPr>
    </w:p>
    <w:p>
      <w:pPr>
        <w:spacing w:line="360" w:lineRule="auto"/>
        <w:rPr>
          <w:rFonts w:ascii="仿宋" w:hAnsi="仿宋" w:eastAsia="仿宋" w:cs="仿宋"/>
          <w:color w:val="000000"/>
        </w:rPr>
      </w:pPr>
      <w:r>
        <w:rPr>
          <w:rFonts w:hint="eastAsia" w:ascii="仿宋" w:hAnsi="仿宋" w:eastAsia="仿宋" w:cs="仿宋"/>
          <w:color w:val="000000"/>
        </w:rPr>
        <w:t>投标单位名称：</w:t>
      </w:r>
      <w:r>
        <w:rPr>
          <w:rFonts w:hint="eastAsia" w:ascii="仿宋" w:hAnsi="仿宋" w:eastAsia="仿宋" w:cs="仿宋"/>
          <w:color w:val="000000"/>
          <w:u w:val="single"/>
        </w:rPr>
        <w:t xml:space="preserve">                            </w:t>
      </w:r>
      <w:r>
        <w:rPr>
          <w:rFonts w:hint="eastAsia" w:ascii="仿宋" w:hAnsi="仿宋" w:eastAsia="仿宋" w:cs="仿宋"/>
          <w:color w:val="000000"/>
        </w:rPr>
        <w:t xml:space="preserve"> </w:t>
      </w:r>
    </w:p>
    <w:p>
      <w:pPr>
        <w:spacing w:line="360" w:lineRule="auto"/>
        <w:rPr>
          <w:rFonts w:ascii="仿宋" w:hAnsi="仿宋" w:eastAsia="仿宋" w:cs="仿宋"/>
          <w:color w:val="000000"/>
        </w:rPr>
      </w:pPr>
    </w:p>
    <w:p>
      <w:pPr>
        <w:spacing w:line="360" w:lineRule="auto"/>
        <w:rPr>
          <w:rFonts w:ascii="仿宋" w:hAnsi="仿宋" w:eastAsia="仿宋" w:cs="仿宋"/>
          <w:color w:val="000000"/>
        </w:rPr>
      </w:pPr>
    </w:p>
    <w:p>
      <w:pPr>
        <w:spacing w:line="360" w:lineRule="auto"/>
        <w:rPr>
          <w:rFonts w:ascii="仿宋" w:hAnsi="仿宋" w:eastAsia="仿宋" w:cs="仿宋"/>
          <w:color w:val="000000"/>
          <w:u w:val="single"/>
        </w:rPr>
      </w:pPr>
      <w:r>
        <w:rPr>
          <w:rFonts w:hint="eastAsia" w:ascii="仿宋" w:hAnsi="仿宋" w:eastAsia="仿宋" w:cs="仿宋"/>
          <w:color w:val="000000"/>
        </w:rPr>
        <w:t>姓名：</w:t>
      </w:r>
      <w:r>
        <w:rPr>
          <w:rFonts w:hint="eastAsia" w:ascii="仿宋" w:hAnsi="仿宋" w:eastAsia="仿宋" w:cs="仿宋"/>
          <w:color w:val="000000"/>
          <w:u w:val="single"/>
        </w:rPr>
        <w:t xml:space="preserve">        </w:t>
      </w:r>
      <w:r>
        <w:rPr>
          <w:rFonts w:hint="eastAsia" w:ascii="仿宋" w:hAnsi="仿宋" w:eastAsia="仿宋" w:cs="仿宋"/>
          <w:color w:val="000000"/>
        </w:rPr>
        <w:t xml:space="preserve"> 性别：</w:t>
      </w:r>
      <w:r>
        <w:rPr>
          <w:rFonts w:hint="eastAsia" w:ascii="仿宋" w:hAnsi="仿宋" w:eastAsia="仿宋" w:cs="仿宋"/>
          <w:color w:val="000000"/>
          <w:u w:val="single"/>
        </w:rPr>
        <w:t xml:space="preserve">        </w:t>
      </w:r>
      <w:r>
        <w:rPr>
          <w:rFonts w:hint="eastAsia" w:ascii="仿宋" w:hAnsi="仿宋" w:eastAsia="仿宋" w:cs="仿宋"/>
          <w:color w:val="000000"/>
        </w:rPr>
        <w:t>年龄：</w:t>
      </w:r>
      <w:r>
        <w:rPr>
          <w:rFonts w:hint="eastAsia" w:ascii="仿宋" w:hAnsi="仿宋" w:eastAsia="仿宋" w:cs="仿宋"/>
          <w:color w:val="000000"/>
          <w:u w:val="single"/>
        </w:rPr>
        <w:t xml:space="preserve">        </w:t>
      </w:r>
      <w:r>
        <w:rPr>
          <w:rFonts w:hint="eastAsia" w:ascii="仿宋" w:hAnsi="仿宋" w:eastAsia="仿宋" w:cs="仿宋"/>
          <w:color w:val="000000"/>
        </w:rPr>
        <w:t>职务：</w:t>
      </w:r>
      <w:r>
        <w:rPr>
          <w:rFonts w:hint="eastAsia" w:ascii="仿宋" w:hAnsi="仿宋" w:eastAsia="仿宋" w:cs="仿宋"/>
          <w:color w:val="000000"/>
          <w:u w:val="single"/>
        </w:rPr>
        <w:t xml:space="preserve">        </w:t>
      </w:r>
    </w:p>
    <w:p>
      <w:pPr>
        <w:spacing w:line="360" w:lineRule="auto"/>
        <w:rPr>
          <w:rFonts w:ascii="仿宋" w:hAnsi="仿宋" w:eastAsia="仿宋" w:cs="仿宋"/>
          <w:color w:val="000000"/>
        </w:rPr>
      </w:pPr>
      <w:r>
        <w:rPr>
          <w:rFonts w:hint="eastAsia" w:ascii="仿宋" w:hAnsi="仿宋" w:eastAsia="仿宋" w:cs="仿宋"/>
          <w:color w:val="000000"/>
        </w:rPr>
        <w:t>身份证号：</w:t>
      </w:r>
      <w:r>
        <w:rPr>
          <w:rFonts w:hint="eastAsia" w:ascii="仿宋" w:hAnsi="仿宋" w:eastAsia="仿宋" w:cs="仿宋"/>
          <w:color w:val="000000"/>
          <w:u w:val="single"/>
        </w:rPr>
        <w:t xml:space="preserve">                             </w:t>
      </w:r>
      <w:r>
        <w:rPr>
          <w:rFonts w:hint="eastAsia" w:ascii="仿宋" w:hAnsi="仿宋" w:eastAsia="仿宋" w:cs="仿宋"/>
          <w:color w:val="000000"/>
        </w:rPr>
        <w:t xml:space="preserve"> </w:t>
      </w:r>
    </w:p>
    <w:p>
      <w:pPr>
        <w:spacing w:line="360" w:lineRule="auto"/>
        <w:rPr>
          <w:rFonts w:ascii="仿宋" w:hAnsi="仿宋" w:eastAsia="仿宋" w:cs="仿宋"/>
          <w:color w:val="000000"/>
        </w:rPr>
      </w:pPr>
      <w:r>
        <w:rPr>
          <w:rFonts w:hint="eastAsia" w:ascii="仿宋" w:hAnsi="仿宋" w:eastAsia="仿宋" w:cs="仿宋"/>
          <w:color w:val="000000"/>
        </w:rPr>
        <w:t>系</w:t>
      </w:r>
      <w:r>
        <w:rPr>
          <w:rFonts w:hint="eastAsia" w:ascii="仿宋" w:hAnsi="仿宋" w:eastAsia="仿宋" w:cs="仿宋"/>
          <w:color w:val="000000"/>
          <w:u w:val="single"/>
        </w:rPr>
        <w:t xml:space="preserve">                             </w:t>
      </w:r>
      <w:r>
        <w:rPr>
          <w:rFonts w:hint="eastAsia" w:ascii="仿宋" w:hAnsi="仿宋" w:eastAsia="仿宋" w:cs="仿宋"/>
          <w:color w:val="000000"/>
        </w:rPr>
        <w:t xml:space="preserve"> （投标单位名称）的法定代表人。</w:t>
      </w:r>
    </w:p>
    <w:p>
      <w:pPr>
        <w:spacing w:line="360" w:lineRule="auto"/>
        <w:ind w:firstLine="420" w:firstLineChars="200"/>
        <w:rPr>
          <w:rFonts w:ascii="仿宋" w:hAnsi="仿宋" w:eastAsia="仿宋" w:cs="仿宋"/>
          <w:color w:val="000000"/>
        </w:rPr>
      </w:pPr>
      <w:r>
        <w:rPr>
          <w:rFonts w:hint="eastAsia" w:ascii="仿宋" w:hAnsi="仿宋" w:eastAsia="仿宋" w:cs="仿宋"/>
          <w:color w:val="000000"/>
        </w:rPr>
        <w:t>特此证明。</w:t>
      </w:r>
    </w:p>
    <w:p>
      <w:pPr>
        <w:spacing w:line="360" w:lineRule="auto"/>
        <w:rPr>
          <w:rFonts w:ascii="仿宋" w:hAnsi="仿宋" w:eastAsia="仿宋" w:cs="仿宋"/>
          <w:color w:val="000000"/>
        </w:rPr>
      </w:pPr>
    </w:p>
    <w:p>
      <w:pPr>
        <w:spacing w:line="360" w:lineRule="auto"/>
        <w:rPr>
          <w:rFonts w:ascii="仿宋" w:hAnsi="仿宋" w:eastAsia="仿宋" w:cs="仿宋"/>
          <w:color w:val="000000"/>
        </w:rPr>
      </w:pPr>
      <w:r>
        <w:rPr>
          <w:rFonts w:hint="eastAsia" w:ascii="仿宋" w:hAnsi="仿宋" w:eastAsia="仿宋" w:cs="仿宋"/>
          <w:color w:val="000000"/>
        </w:rPr>
        <w:t>附：法定代表人身份证复印件。</w:t>
      </w:r>
    </w:p>
    <w:p>
      <w:pPr>
        <w:spacing w:line="360" w:lineRule="auto"/>
        <w:rPr>
          <w:rFonts w:ascii="仿宋" w:hAnsi="仿宋" w:eastAsia="仿宋" w:cs="仿宋"/>
          <w:color w:val="000000"/>
        </w:rPr>
      </w:pPr>
    </w:p>
    <w:p>
      <w:pPr>
        <w:spacing w:line="360" w:lineRule="auto"/>
        <w:rPr>
          <w:rFonts w:ascii="仿宋" w:hAnsi="仿宋" w:eastAsia="仿宋" w:cs="仿宋"/>
          <w:color w:val="000000"/>
        </w:rPr>
      </w:pPr>
    </w:p>
    <w:p>
      <w:pPr>
        <w:spacing w:line="360" w:lineRule="auto"/>
        <w:rPr>
          <w:rFonts w:ascii="仿宋" w:hAnsi="仿宋" w:eastAsia="仿宋" w:cs="仿宋"/>
          <w:color w:val="000000"/>
        </w:rPr>
      </w:pPr>
      <w:r>
        <w:rPr>
          <w:rFonts w:hint="eastAsia" w:ascii="仿宋" w:hAnsi="仿宋" w:eastAsia="仿宋" w:cs="仿宋"/>
          <w:color w:val="000000"/>
        </w:rPr>
        <w:t xml:space="preserve">                          投标单位：</w:t>
      </w:r>
      <w:r>
        <w:rPr>
          <w:rFonts w:hint="eastAsia" w:ascii="仿宋" w:hAnsi="仿宋" w:eastAsia="仿宋" w:cs="仿宋"/>
          <w:color w:val="000000"/>
          <w:u w:val="single"/>
        </w:rPr>
        <w:t xml:space="preserve">                   </w:t>
      </w:r>
      <w:r>
        <w:rPr>
          <w:rFonts w:hint="eastAsia" w:ascii="仿宋" w:hAnsi="仿宋" w:eastAsia="仿宋" w:cs="仿宋"/>
          <w:color w:val="000000"/>
        </w:rPr>
        <w:t>（盖章）</w:t>
      </w:r>
    </w:p>
    <w:p>
      <w:pPr>
        <w:spacing w:line="360" w:lineRule="auto"/>
        <w:ind w:right="280"/>
        <w:jc w:val="center"/>
        <w:rPr>
          <w:rFonts w:ascii="仿宋" w:hAnsi="仿宋" w:eastAsia="仿宋" w:cs="仿宋"/>
          <w:color w:val="000000"/>
        </w:rPr>
      </w:pPr>
    </w:p>
    <w:p>
      <w:pPr>
        <w:spacing w:line="360" w:lineRule="auto"/>
        <w:ind w:right="280"/>
        <w:jc w:val="center"/>
        <w:rPr>
          <w:rFonts w:ascii="仿宋" w:hAnsi="仿宋" w:eastAsia="仿宋" w:cs="仿宋"/>
          <w:color w:val="000000"/>
        </w:rPr>
      </w:pPr>
      <w:r>
        <w:rPr>
          <w:rFonts w:hint="eastAsia" w:ascii="仿宋" w:hAnsi="仿宋" w:eastAsia="仿宋" w:cs="仿宋"/>
          <w:color w:val="000000"/>
        </w:rPr>
        <w:t xml:space="preserve">                      年    月    日   </w:t>
      </w:r>
    </w:p>
    <w:p>
      <w:pPr>
        <w:spacing w:line="400" w:lineRule="exact"/>
        <w:rPr>
          <w:rFonts w:ascii="宋体" w:hAnsi="宋体"/>
          <w:b/>
          <w:color w:val="000000"/>
          <w:sz w:val="28"/>
        </w:rPr>
      </w:pPr>
      <w:r>
        <w:rPr>
          <w:rFonts w:ascii="宋体" w:hAnsi="宋体"/>
          <w:color w:val="000000"/>
          <w:sz w:val="32"/>
          <w:szCs w:val="32"/>
        </w:rPr>
        <w:br w:type="page"/>
      </w:r>
      <w:r>
        <w:rPr>
          <w:rFonts w:hint="eastAsia" w:ascii="宋体" w:hAnsi="宋体" w:eastAsia="宋体" w:cs="宋体"/>
          <w:b/>
          <w:bCs/>
          <w:color w:val="000000"/>
          <w:kern w:val="2"/>
          <w:sz w:val="24"/>
          <w:szCs w:val="24"/>
          <w:lang w:val="en-US" w:eastAsia="zh-CN" w:bidi="ar-SA"/>
        </w:rPr>
        <w:t>附件四：</w:t>
      </w:r>
    </w:p>
    <w:p>
      <w:pPr>
        <w:bidi w:val="0"/>
        <w:jc w:val="center"/>
        <w:rPr>
          <w:rFonts w:hint="eastAsia" w:ascii="黑体" w:hAnsi="黑体" w:eastAsia="黑体" w:cs="黑体"/>
          <w:b/>
          <w:bCs/>
          <w:sz w:val="32"/>
          <w:szCs w:val="28"/>
        </w:rPr>
      </w:pPr>
      <w:r>
        <w:rPr>
          <w:rFonts w:hint="eastAsia" w:ascii="黑体" w:hAnsi="黑体" w:eastAsia="黑体" w:cs="黑体"/>
          <w:b/>
          <w:bCs/>
          <w:sz w:val="32"/>
          <w:szCs w:val="28"/>
        </w:rPr>
        <w:t>授权委托书</w:t>
      </w:r>
    </w:p>
    <w:p>
      <w:pPr>
        <w:topLinePunct/>
        <w:spacing w:line="360" w:lineRule="auto"/>
        <w:ind w:firstLine="420" w:firstLineChars="200"/>
        <w:rPr>
          <w:rFonts w:ascii="仿宋" w:hAnsi="仿宋" w:eastAsia="仿宋" w:cs="仿宋"/>
          <w:color w:val="000000"/>
        </w:rPr>
      </w:pPr>
      <w:r>
        <w:rPr>
          <w:rFonts w:hint="eastAsia" w:ascii="仿宋" w:hAnsi="仿宋" w:eastAsia="仿宋" w:cs="仿宋"/>
          <w:color w:val="000000"/>
        </w:rPr>
        <w:t>本人</w:t>
      </w:r>
      <w:r>
        <w:rPr>
          <w:rFonts w:hint="eastAsia" w:ascii="仿宋" w:hAnsi="仿宋" w:eastAsia="仿宋" w:cs="仿宋"/>
          <w:color w:val="000000"/>
          <w:u w:val="single"/>
        </w:rPr>
        <w:t xml:space="preserve">       </w:t>
      </w:r>
      <w:r>
        <w:rPr>
          <w:rFonts w:hint="eastAsia" w:ascii="仿宋" w:hAnsi="仿宋" w:eastAsia="仿宋" w:cs="仿宋"/>
          <w:color w:val="000000"/>
        </w:rPr>
        <w:t>（姓名）系</w:t>
      </w:r>
      <w:r>
        <w:rPr>
          <w:rFonts w:hint="eastAsia" w:ascii="仿宋" w:hAnsi="仿宋" w:eastAsia="仿宋" w:cs="仿宋"/>
          <w:color w:val="000000"/>
          <w:u w:val="single"/>
        </w:rPr>
        <w:t xml:space="preserve">                         </w:t>
      </w:r>
      <w:r>
        <w:rPr>
          <w:rFonts w:hint="eastAsia" w:ascii="仿宋" w:hAnsi="仿宋" w:eastAsia="仿宋" w:cs="仿宋"/>
          <w:color w:val="000000"/>
        </w:rPr>
        <w:t>（投标单位名称）的法定代表人，现委托</w:t>
      </w:r>
      <w:r>
        <w:rPr>
          <w:rFonts w:hint="eastAsia" w:ascii="仿宋" w:hAnsi="仿宋" w:eastAsia="仿宋" w:cs="仿宋"/>
          <w:color w:val="000000"/>
          <w:u w:val="single"/>
        </w:rPr>
        <w:t xml:space="preserve">        </w:t>
      </w:r>
      <w:r>
        <w:rPr>
          <w:rFonts w:hint="eastAsia" w:ascii="仿宋" w:hAnsi="仿宋" w:eastAsia="仿宋" w:cs="仿宋"/>
          <w:color w:val="000000"/>
        </w:rPr>
        <w:t>（姓名）为我方代理人。代理人根据授权，以我方名义签署、澄清、说明、补正、递交、撤回、修改</w:t>
      </w:r>
      <w:r>
        <w:rPr>
          <w:rFonts w:hint="eastAsia" w:ascii="仿宋" w:hAnsi="仿宋" w:eastAsia="仿宋" w:cs="仿宋"/>
          <w:color w:val="000000"/>
          <w:u w:val="single"/>
        </w:rPr>
        <w:t>中国重汽杭发公司2026年环境监测项目</w:t>
      </w:r>
      <w:r>
        <w:rPr>
          <w:rFonts w:hint="eastAsia" w:ascii="仿宋" w:hAnsi="仿宋" w:eastAsia="仿宋" w:cs="仿宋"/>
          <w:color w:val="000000"/>
        </w:rPr>
        <w:t>总承包投标文件、签订合同和处理有关事宜，其法律后果由我方承担。</w:t>
      </w:r>
    </w:p>
    <w:p>
      <w:pPr>
        <w:spacing w:line="360" w:lineRule="auto"/>
        <w:rPr>
          <w:rFonts w:ascii="仿宋" w:hAnsi="仿宋" w:eastAsia="仿宋" w:cs="仿宋"/>
          <w:color w:val="000000"/>
        </w:rPr>
      </w:pPr>
      <w:r>
        <w:rPr>
          <w:rFonts w:hint="eastAsia" w:ascii="仿宋" w:hAnsi="仿宋" w:eastAsia="仿宋" w:cs="仿宋"/>
          <w:color w:val="000000"/>
        </w:rPr>
        <w:t xml:space="preserve">    委托期限：</w:t>
      </w:r>
      <w:r>
        <w:rPr>
          <w:rFonts w:hint="eastAsia" w:ascii="仿宋" w:hAnsi="仿宋" w:eastAsia="仿宋" w:cs="仿宋"/>
          <w:color w:val="000000"/>
          <w:u w:val="single"/>
        </w:rPr>
        <w:t xml:space="preserve">             </w:t>
      </w:r>
      <w:r>
        <w:rPr>
          <w:rFonts w:hint="eastAsia" w:ascii="仿宋" w:hAnsi="仿宋" w:eastAsia="仿宋" w:cs="仿宋"/>
          <w:color w:val="000000"/>
        </w:rPr>
        <w:t>。</w:t>
      </w:r>
    </w:p>
    <w:p>
      <w:pPr>
        <w:spacing w:line="360" w:lineRule="auto"/>
        <w:ind w:firstLine="420" w:firstLineChars="200"/>
        <w:rPr>
          <w:rFonts w:ascii="仿宋" w:hAnsi="仿宋" w:eastAsia="仿宋" w:cs="仿宋"/>
          <w:color w:val="000000"/>
        </w:rPr>
      </w:pPr>
      <w:r>
        <w:rPr>
          <w:rFonts w:hint="eastAsia" w:ascii="仿宋" w:hAnsi="仿宋" w:eastAsia="仿宋" w:cs="仿宋"/>
          <w:color w:val="000000"/>
        </w:rPr>
        <w:t>代理人无转委托权。</w:t>
      </w:r>
    </w:p>
    <w:p>
      <w:pPr>
        <w:spacing w:line="360" w:lineRule="auto"/>
        <w:ind w:firstLine="420" w:firstLineChars="200"/>
        <w:rPr>
          <w:rFonts w:ascii="仿宋" w:hAnsi="仿宋" w:eastAsia="仿宋" w:cs="仿宋"/>
          <w:color w:val="000000"/>
        </w:rPr>
      </w:pPr>
    </w:p>
    <w:p>
      <w:pPr>
        <w:spacing w:line="360" w:lineRule="auto"/>
        <w:rPr>
          <w:rFonts w:ascii="仿宋" w:hAnsi="仿宋" w:eastAsia="仿宋" w:cs="仿宋"/>
          <w:color w:val="000000"/>
        </w:rPr>
      </w:pPr>
    </w:p>
    <w:p>
      <w:pPr>
        <w:spacing w:line="360" w:lineRule="auto"/>
        <w:rPr>
          <w:rFonts w:ascii="仿宋" w:hAnsi="仿宋" w:eastAsia="仿宋" w:cs="仿宋"/>
          <w:color w:val="000000"/>
        </w:rPr>
      </w:pPr>
      <w:r>
        <w:rPr>
          <w:rFonts w:hint="eastAsia" w:ascii="仿宋" w:hAnsi="仿宋" w:eastAsia="仿宋" w:cs="仿宋"/>
          <w:color w:val="000000"/>
        </w:rPr>
        <w:t>委托代理人：</w:t>
      </w:r>
      <w:r>
        <w:rPr>
          <w:rFonts w:hint="eastAsia" w:ascii="仿宋" w:hAnsi="仿宋" w:eastAsia="仿宋" w:cs="仿宋"/>
          <w:color w:val="000000"/>
          <w:u w:val="single"/>
        </w:rPr>
        <w:t xml:space="preserve">                                 </w:t>
      </w:r>
      <w:r>
        <w:rPr>
          <w:rFonts w:hint="eastAsia" w:ascii="仿宋" w:hAnsi="仿宋" w:eastAsia="仿宋" w:cs="仿宋"/>
          <w:color w:val="000000"/>
        </w:rPr>
        <w:t xml:space="preserve">（签字） </w:t>
      </w:r>
    </w:p>
    <w:p>
      <w:pPr>
        <w:spacing w:line="360" w:lineRule="auto"/>
        <w:rPr>
          <w:rFonts w:ascii="仿宋" w:hAnsi="仿宋" w:eastAsia="仿宋" w:cs="仿宋"/>
          <w:color w:val="000000"/>
        </w:rPr>
      </w:pPr>
    </w:p>
    <w:p>
      <w:pPr>
        <w:spacing w:line="360" w:lineRule="auto"/>
        <w:rPr>
          <w:rFonts w:ascii="仿宋" w:hAnsi="仿宋" w:eastAsia="仿宋" w:cs="仿宋"/>
          <w:color w:val="000000"/>
        </w:rPr>
      </w:pPr>
      <w:r>
        <w:rPr>
          <w:rFonts w:hint="eastAsia" w:ascii="仿宋" w:hAnsi="仿宋" w:eastAsia="仿宋" w:cs="仿宋"/>
          <w:color w:val="000000"/>
        </w:rPr>
        <w:t>身份证号码：</w:t>
      </w:r>
      <w:r>
        <w:rPr>
          <w:rFonts w:hint="eastAsia" w:ascii="仿宋" w:hAnsi="仿宋" w:eastAsia="仿宋" w:cs="仿宋"/>
          <w:color w:val="000000"/>
          <w:u w:val="single"/>
        </w:rPr>
        <w:t xml:space="preserve">                                 </w:t>
      </w:r>
      <w:r>
        <w:rPr>
          <w:rFonts w:hint="eastAsia" w:ascii="仿宋" w:hAnsi="仿宋" w:eastAsia="仿宋" w:cs="仿宋"/>
          <w:color w:val="000000"/>
        </w:rPr>
        <w:t>（附身份证复印件）</w:t>
      </w:r>
    </w:p>
    <w:p>
      <w:pPr>
        <w:spacing w:line="360" w:lineRule="auto"/>
        <w:rPr>
          <w:rFonts w:ascii="仿宋" w:hAnsi="仿宋" w:eastAsia="仿宋" w:cs="仿宋"/>
          <w:color w:val="000000"/>
        </w:rPr>
      </w:pPr>
    </w:p>
    <w:p>
      <w:pPr>
        <w:spacing w:line="360" w:lineRule="auto"/>
        <w:rPr>
          <w:rFonts w:ascii="仿宋" w:hAnsi="仿宋" w:eastAsia="仿宋" w:cs="仿宋"/>
          <w:color w:val="000000"/>
        </w:rPr>
      </w:pPr>
      <w:r>
        <w:rPr>
          <w:rFonts w:hint="eastAsia" w:ascii="仿宋" w:hAnsi="仿宋" w:eastAsia="仿宋" w:cs="仿宋"/>
          <w:color w:val="000000"/>
        </w:rPr>
        <w:t>投标单位：</w:t>
      </w:r>
      <w:r>
        <w:rPr>
          <w:rFonts w:hint="eastAsia" w:ascii="仿宋" w:hAnsi="仿宋" w:eastAsia="仿宋" w:cs="仿宋"/>
          <w:color w:val="000000"/>
          <w:u w:val="single"/>
        </w:rPr>
        <w:t xml:space="preserve">                                   </w:t>
      </w:r>
      <w:r>
        <w:rPr>
          <w:rFonts w:hint="eastAsia" w:ascii="仿宋" w:hAnsi="仿宋" w:eastAsia="仿宋" w:cs="仿宋"/>
          <w:color w:val="000000"/>
        </w:rPr>
        <w:t>（盖章）</w:t>
      </w:r>
    </w:p>
    <w:p>
      <w:pPr>
        <w:spacing w:line="360" w:lineRule="auto"/>
        <w:rPr>
          <w:rFonts w:ascii="仿宋" w:hAnsi="仿宋" w:eastAsia="仿宋" w:cs="仿宋"/>
          <w:color w:val="000000"/>
        </w:rPr>
      </w:pPr>
    </w:p>
    <w:p>
      <w:pPr>
        <w:spacing w:line="360" w:lineRule="auto"/>
        <w:rPr>
          <w:rFonts w:ascii="仿宋" w:hAnsi="仿宋" w:eastAsia="仿宋" w:cs="仿宋"/>
          <w:color w:val="000000"/>
        </w:rPr>
      </w:pPr>
      <w:r>
        <w:rPr>
          <w:rFonts w:hint="eastAsia" w:ascii="仿宋" w:hAnsi="仿宋" w:eastAsia="仿宋" w:cs="仿宋"/>
          <w:color w:val="000000"/>
        </w:rPr>
        <w:t>法定代表人：</w:t>
      </w:r>
      <w:r>
        <w:rPr>
          <w:rFonts w:hint="eastAsia" w:ascii="仿宋" w:hAnsi="仿宋" w:eastAsia="仿宋" w:cs="仿宋"/>
          <w:color w:val="000000"/>
          <w:u w:val="single"/>
        </w:rPr>
        <w:t xml:space="preserve">                                 </w:t>
      </w:r>
      <w:r>
        <w:rPr>
          <w:rFonts w:hint="eastAsia" w:ascii="仿宋" w:hAnsi="仿宋" w:eastAsia="仿宋" w:cs="仿宋"/>
          <w:color w:val="000000"/>
        </w:rPr>
        <w:t>（签字）</w:t>
      </w:r>
    </w:p>
    <w:p>
      <w:pPr>
        <w:spacing w:line="360" w:lineRule="auto"/>
        <w:rPr>
          <w:rFonts w:ascii="仿宋" w:hAnsi="仿宋" w:eastAsia="仿宋" w:cs="仿宋"/>
          <w:color w:val="000000"/>
        </w:rPr>
      </w:pPr>
    </w:p>
    <w:p>
      <w:pPr>
        <w:spacing w:line="360" w:lineRule="auto"/>
        <w:ind w:firstLine="4200" w:firstLineChars="2000"/>
        <w:rPr>
          <w:rFonts w:ascii="仿宋" w:hAnsi="仿宋" w:eastAsia="仿宋" w:cs="仿宋"/>
          <w:color w:val="000000"/>
        </w:rPr>
      </w:pPr>
      <w:r>
        <w:rPr>
          <w:rFonts w:hint="eastAsia" w:ascii="仿宋" w:hAnsi="仿宋" w:eastAsia="仿宋" w:cs="仿宋"/>
          <w:color w:val="000000"/>
        </w:rPr>
        <w:t>年     月     日</w:t>
      </w:r>
    </w:p>
    <w:p>
      <w:pPr>
        <w:spacing w:line="360" w:lineRule="auto"/>
        <w:rPr>
          <w:rFonts w:ascii="宋体" w:hAnsi="宋体"/>
          <w:bCs/>
          <w:color w:val="000000"/>
        </w:rPr>
      </w:pPr>
    </w:p>
    <w:p>
      <w:pPr>
        <w:spacing w:line="360" w:lineRule="auto"/>
        <w:rPr>
          <w:rFonts w:ascii="仿宋" w:hAnsi="仿宋" w:eastAsia="仿宋" w:cs="仿宋"/>
          <w:color w:val="000000"/>
        </w:rPr>
      </w:pPr>
    </w:p>
    <w:p>
      <w:pPr>
        <w:spacing w:line="360" w:lineRule="auto"/>
      </w:pPr>
    </w:p>
    <w:p>
      <w:pPr>
        <w:spacing w:line="360" w:lineRule="auto"/>
      </w:pPr>
    </w:p>
    <w:p>
      <w:pPr>
        <w:spacing w:line="360" w:lineRule="auto"/>
      </w:pPr>
    </w:p>
    <w:p>
      <w:pPr>
        <w:pStyle w:val="2"/>
        <w:ind w:firstLine="480"/>
      </w:pPr>
    </w:p>
    <w:p>
      <w:pPr>
        <w:spacing w:line="360" w:lineRule="auto"/>
      </w:pPr>
    </w:p>
    <w:p>
      <w:pPr>
        <w:spacing w:line="360" w:lineRule="auto"/>
      </w:pPr>
    </w:p>
    <w:p>
      <w:pPr>
        <w:rPr>
          <w:rFonts w:ascii="宋体" w:hAnsi="宋体"/>
          <w:b/>
          <w:color w:val="000000"/>
          <w:sz w:val="28"/>
        </w:rPr>
      </w:pPr>
      <w:r>
        <w:rPr>
          <w:rFonts w:hint="eastAsia" w:ascii="宋体" w:hAnsi="宋体"/>
          <w:b/>
          <w:color w:val="000000"/>
          <w:sz w:val="28"/>
        </w:rPr>
        <w:br w:type="page"/>
      </w:r>
    </w:p>
    <w:p>
      <w:pPr>
        <w:pStyle w:val="11"/>
        <w:outlineLvl w:val="2"/>
        <w:rPr>
          <w:rFonts w:hint="eastAsia" w:hAnsi="宋体" w:cs="宋体"/>
          <w:b/>
          <w:bCs/>
          <w:color w:val="000000"/>
          <w:sz w:val="24"/>
          <w:szCs w:val="24"/>
        </w:rPr>
      </w:pPr>
      <w:r>
        <w:rPr>
          <w:rFonts w:hint="eastAsia" w:hAnsi="宋体" w:cs="宋体"/>
          <w:b/>
          <w:bCs/>
          <w:color w:val="000000"/>
          <w:sz w:val="24"/>
          <w:szCs w:val="24"/>
        </w:rPr>
        <w:t>附件五：</w:t>
      </w:r>
    </w:p>
    <w:p>
      <w:pPr>
        <w:rPr>
          <w:rFonts w:ascii="仿宋" w:hAnsi="仿宋" w:eastAsia="仿宋" w:cs="仿宋"/>
          <w:color w:val="FF0000"/>
          <w:u w:val="single"/>
        </w:rPr>
      </w:pPr>
      <w:r>
        <w:rPr>
          <w:rFonts w:hint="eastAsia" w:ascii="仿宋" w:hAnsi="仿宋" w:eastAsia="仿宋" w:cs="仿宋"/>
        </w:rPr>
        <w:t>项目名称：</w:t>
      </w:r>
      <w:r>
        <w:rPr>
          <w:rFonts w:hint="eastAsia" w:ascii="宋体" w:hAnsi="宋体"/>
        </w:rPr>
        <w:t>中国重汽杭发公司2026年环境监测项目</w:t>
      </w:r>
    </w:p>
    <w:p>
      <w:pPr>
        <w:rPr>
          <w:rFonts w:ascii="仿宋" w:hAnsi="仿宋" w:eastAsia="仿宋" w:cs="仿宋"/>
          <w:u w:val="single"/>
        </w:rPr>
      </w:pPr>
    </w:p>
    <w:p>
      <w:pPr>
        <w:rPr>
          <w:rFonts w:ascii="仿宋" w:hAnsi="仿宋" w:eastAsia="仿宋" w:cs="仿宋"/>
          <w:szCs w:val="21"/>
        </w:rPr>
      </w:pPr>
      <w:r>
        <w:rPr>
          <w:rFonts w:hint="eastAsia" w:ascii="仿宋" w:hAnsi="仿宋" w:eastAsia="仿宋" w:cs="仿宋"/>
          <w:szCs w:val="21"/>
        </w:rPr>
        <w:t>日    期：  年   月   日</w:t>
      </w:r>
    </w:p>
    <w:p>
      <w:pPr>
        <w:jc w:val="center"/>
        <w:rPr>
          <w:rFonts w:ascii="黑体" w:eastAsia="黑体"/>
          <w:sz w:val="30"/>
        </w:rPr>
      </w:pPr>
      <w:r>
        <w:rPr>
          <w:rFonts w:hint="eastAsia" w:ascii="黑体" w:eastAsia="黑体"/>
          <w:sz w:val="30"/>
        </w:rPr>
        <w:t>分项报价单</w:t>
      </w:r>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18"/>
        <w:gridCol w:w="766"/>
        <w:gridCol w:w="851"/>
        <w:gridCol w:w="2268"/>
        <w:gridCol w:w="1134"/>
        <w:gridCol w:w="992"/>
        <w:gridCol w:w="1134"/>
        <w:gridCol w:w="11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序号</w:t>
            </w:r>
          </w:p>
        </w:tc>
        <w:tc>
          <w:tcPr>
            <w:tcW w:w="766" w:type="dxa"/>
            <w:shd w:val="clear" w:color="auto" w:fill="auto"/>
          </w:tcPr>
          <w:p>
            <w:pPr>
              <w:jc w:val="center"/>
              <w:rPr>
                <w:rFonts w:ascii="黑体" w:hAnsi="黑体" w:eastAsia="黑体"/>
                <w:szCs w:val="21"/>
              </w:rPr>
            </w:pPr>
            <w:r>
              <w:rPr>
                <w:rFonts w:hint="eastAsia" w:ascii="黑体" w:hAnsi="黑体" w:eastAsia="黑体"/>
                <w:szCs w:val="21"/>
              </w:rPr>
              <w:t>检测项目</w:t>
            </w:r>
          </w:p>
        </w:tc>
        <w:tc>
          <w:tcPr>
            <w:tcW w:w="851" w:type="dxa"/>
            <w:shd w:val="clear" w:color="auto" w:fill="auto"/>
          </w:tcPr>
          <w:p>
            <w:pPr>
              <w:jc w:val="center"/>
              <w:rPr>
                <w:rFonts w:ascii="黑体" w:hAnsi="黑体" w:eastAsia="黑体"/>
                <w:szCs w:val="21"/>
              </w:rPr>
            </w:pPr>
            <w:r>
              <w:rPr>
                <w:rFonts w:hint="eastAsia" w:ascii="黑体" w:hAnsi="黑体" w:eastAsia="黑体"/>
                <w:szCs w:val="21"/>
              </w:rPr>
              <w:t>排放口编号</w:t>
            </w:r>
          </w:p>
        </w:tc>
        <w:tc>
          <w:tcPr>
            <w:tcW w:w="2268" w:type="dxa"/>
            <w:shd w:val="clear" w:color="auto" w:fill="auto"/>
          </w:tcPr>
          <w:p>
            <w:pPr>
              <w:jc w:val="center"/>
              <w:rPr>
                <w:rFonts w:ascii="黑体" w:hAnsi="黑体" w:eastAsia="黑体"/>
                <w:szCs w:val="21"/>
              </w:rPr>
            </w:pPr>
            <w:r>
              <w:rPr>
                <w:rFonts w:hint="eastAsia" w:ascii="黑体" w:hAnsi="黑体" w:eastAsia="黑体"/>
                <w:szCs w:val="21"/>
              </w:rPr>
              <w:t>检测指标</w:t>
            </w:r>
          </w:p>
        </w:tc>
        <w:tc>
          <w:tcPr>
            <w:tcW w:w="1134" w:type="dxa"/>
            <w:shd w:val="clear" w:color="auto" w:fill="auto"/>
          </w:tcPr>
          <w:p>
            <w:pPr>
              <w:jc w:val="center"/>
              <w:rPr>
                <w:rFonts w:ascii="黑体" w:hAnsi="黑体" w:eastAsia="黑体"/>
                <w:szCs w:val="21"/>
              </w:rPr>
            </w:pPr>
            <w:r>
              <w:rPr>
                <w:rFonts w:hint="eastAsia" w:ascii="黑体" w:hAnsi="黑体" w:eastAsia="黑体"/>
                <w:szCs w:val="21"/>
              </w:rPr>
              <w:t>检测频次</w:t>
            </w:r>
          </w:p>
        </w:tc>
        <w:tc>
          <w:tcPr>
            <w:tcW w:w="992" w:type="dxa"/>
            <w:shd w:val="clear" w:color="auto" w:fill="auto"/>
          </w:tcPr>
          <w:p>
            <w:pPr>
              <w:jc w:val="center"/>
              <w:rPr>
                <w:rFonts w:ascii="黑体" w:hAnsi="黑体" w:eastAsia="黑体"/>
                <w:szCs w:val="21"/>
              </w:rPr>
            </w:pPr>
            <w:r>
              <w:rPr>
                <w:rFonts w:hint="eastAsia" w:ascii="黑体" w:hAnsi="黑体" w:eastAsia="黑体"/>
                <w:szCs w:val="21"/>
              </w:rPr>
              <w:t>年检测总次数</w:t>
            </w:r>
          </w:p>
        </w:tc>
        <w:tc>
          <w:tcPr>
            <w:tcW w:w="1134" w:type="dxa"/>
            <w:shd w:val="clear" w:color="auto" w:fill="auto"/>
          </w:tcPr>
          <w:p>
            <w:pPr>
              <w:jc w:val="center"/>
              <w:rPr>
                <w:rFonts w:ascii="黑体" w:hAnsi="黑体" w:eastAsia="黑体"/>
                <w:szCs w:val="21"/>
              </w:rPr>
            </w:pPr>
            <w:r>
              <w:rPr>
                <w:rFonts w:hint="eastAsia" w:ascii="黑体" w:hAnsi="黑体" w:eastAsia="黑体"/>
                <w:szCs w:val="21"/>
              </w:rPr>
              <w:t>单价（元，未税）</w:t>
            </w:r>
          </w:p>
        </w:tc>
        <w:tc>
          <w:tcPr>
            <w:tcW w:w="1185" w:type="dxa"/>
            <w:shd w:val="clear" w:color="auto" w:fill="auto"/>
          </w:tcPr>
          <w:p>
            <w:pPr>
              <w:jc w:val="center"/>
              <w:rPr>
                <w:rFonts w:ascii="黑体" w:hAnsi="黑体" w:eastAsia="黑体"/>
                <w:szCs w:val="21"/>
              </w:rPr>
            </w:pPr>
            <w:r>
              <w:rPr>
                <w:rFonts w:hint="eastAsia" w:ascii="黑体" w:hAnsi="黑体" w:eastAsia="黑体"/>
                <w:szCs w:val="21"/>
              </w:rPr>
              <w:t>小计（元，未税）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trPr>
        <w:tc>
          <w:tcPr>
            <w:tcW w:w="618" w:type="dxa"/>
            <w:shd w:val="clear" w:color="auto" w:fill="auto"/>
          </w:tcPr>
          <w:p>
            <w:pPr>
              <w:jc w:val="center"/>
              <w:rPr>
                <w:rFonts w:ascii="黑体" w:hAnsi="黑体" w:eastAsia="黑体"/>
                <w:szCs w:val="21"/>
              </w:rPr>
            </w:pPr>
            <w:r>
              <w:rPr>
                <w:rFonts w:hint="eastAsia" w:ascii="黑体" w:hAnsi="黑体" w:eastAsia="黑体"/>
                <w:szCs w:val="21"/>
              </w:rPr>
              <w:t>1</w:t>
            </w:r>
          </w:p>
        </w:tc>
        <w:tc>
          <w:tcPr>
            <w:tcW w:w="766" w:type="dxa"/>
            <w:vMerge w:val="restart"/>
            <w:shd w:val="clear" w:color="auto" w:fill="auto"/>
          </w:tcPr>
          <w:p>
            <w:pPr>
              <w:jc w:val="center"/>
              <w:rPr>
                <w:rFonts w:ascii="黑体" w:hAnsi="黑体" w:eastAsia="黑体"/>
                <w:szCs w:val="21"/>
              </w:rPr>
            </w:pPr>
          </w:p>
          <w:p>
            <w:pPr>
              <w:jc w:val="center"/>
              <w:rPr>
                <w:rFonts w:ascii="黑体" w:hAnsi="黑体" w:eastAsia="黑体"/>
                <w:szCs w:val="21"/>
              </w:rPr>
            </w:pPr>
          </w:p>
          <w:p>
            <w:pPr>
              <w:rPr>
                <w:rFonts w:ascii="黑体" w:hAnsi="黑体" w:eastAsia="黑体"/>
                <w:szCs w:val="21"/>
              </w:rPr>
            </w:pPr>
          </w:p>
          <w:p>
            <w:pPr>
              <w:jc w:val="center"/>
              <w:rPr>
                <w:rFonts w:ascii="黑体" w:hAnsi="黑体" w:eastAsia="黑体"/>
                <w:szCs w:val="21"/>
              </w:rPr>
            </w:pPr>
            <w:r>
              <w:rPr>
                <w:rFonts w:hint="eastAsia" w:ascii="黑体" w:hAnsi="黑体" w:eastAsia="黑体"/>
                <w:szCs w:val="21"/>
              </w:rPr>
              <w:t>污水检测</w:t>
            </w:r>
          </w:p>
        </w:tc>
        <w:tc>
          <w:tcPr>
            <w:tcW w:w="851" w:type="dxa"/>
            <w:vMerge w:val="restart"/>
            <w:shd w:val="clear" w:color="auto" w:fill="auto"/>
          </w:tcPr>
          <w:p>
            <w:pPr>
              <w:jc w:val="center"/>
              <w:rPr>
                <w:rFonts w:ascii="黑体" w:hAnsi="黑体" w:eastAsia="黑体"/>
                <w:szCs w:val="21"/>
              </w:rPr>
            </w:pPr>
          </w:p>
          <w:p>
            <w:pPr>
              <w:rPr>
                <w:rFonts w:ascii="黑体" w:hAnsi="黑体" w:eastAsia="黑体"/>
                <w:szCs w:val="21"/>
              </w:rPr>
            </w:pPr>
            <w:r>
              <w:rPr>
                <w:rFonts w:ascii="黑体" w:hAnsi="黑体" w:eastAsia="黑体"/>
                <w:szCs w:val="21"/>
              </w:rPr>
              <w:t>DW001</w:t>
            </w:r>
          </w:p>
        </w:tc>
        <w:tc>
          <w:tcPr>
            <w:tcW w:w="2268" w:type="dxa"/>
            <w:shd w:val="clear" w:color="auto" w:fill="auto"/>
          </w:tcPr>
          <w:p>
            <w:pPr>
              <w:jc w:val="center"/>
              <w:rPr>
                <w:rFonts w:ascii="黑体" w:hAnsi="黑体" w:eastAsia="黑体"/>
                <w:szCs w:val="21"/>
              </w:rPr>
            </w:pPr>
            <w:r>
              <w:rPr>
                <w:rFonts w:hint="eastAsia" w:ascii="黑体" w:hAnsi="黑体" w:eastAsia="黑体"/>
                <w:szCs w:val="21"/>
              </w:rPr>
              <w:t>化学需氧量</w:t>
            </w:r>
          </w:p>
        </w:tc>
        <w:tc>
          <w:tcPr>
            <w:tcW w:w="1134" w:type="dxa"/>
            <w:vMerge w:val="restart"/>
            <w:shd w:val="clear" w:color="auto" w:fill="auto"/>
          </w:tcPr>
          <w:p>
            <w:pPr>
              <w:rPr>
                <w:rFonts w:ascii="黑体" w:hAnsi="黑体" w:eastAsia="黑体"/>
                <w:szCs w:val="21"/>
              </w:rPr>
            </w:pPr>
          </w:p>
          <w:p>
            <w:pPr>
              <w:jc w:val="center"/>
              <w:rPr>
                <w:rFonts w:ascii="黑体" w:hAnsi="黑体" w:eastAsia="黑体"/>
                <w:szCs w:val="21"/>
              </w:rPr>
            </w:pPr>
            <w:r>
              <w:rPr>
                <w:rFonts w:hint="eastAsia" w:ascii="黑体" w:hAnsi="黑体" w:eastAsia="黑体"/>
                <w:szCs w:val="21"/>
              </w:rPr>
              <w:t>1次/季</w:t>
            </w:r>
          </w:p>
        </w:tc>
        <w:tc>
          <w:tcPr>
            <w:tcW w:w="992" w:type="dxa"/>
            <w:shd w:val="clear" w:color="auto" w:fill="auto"/>
          </w:tcPr>
          <w:p>
            <w:pPr>
              <w:jc w:val="center"/>
              <w:rPr>
                <w:rFonts w:ascii="黑体" w:hAnsi="黑体" w:eastAsia="黑体"/>
                <w:szCs w:val="21"/>
              </w:rPr>
            </w:pPr>
            <w:r>
              <w:rPr>
                <w:rFonts w:ascii="黑体" w:hAnsi="黑体" w:eastAsia="黑体"/>
                <w:szCs w:val="21"/>
              </w:rPr>
              <w:t>12</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2</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氨氮（NH3-N）</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12</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3</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总磷（以P计）</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12</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4</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五日生化需氧量</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2</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5</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总氮</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2</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7</w:t>
            </w:r>
          </w:p>
        </w:tc>
        <w:tc>
          <w:tcPr>
            <w:tcW w:w="766" w:type="dxa"/>
            <w:vMerge w:val="continue"/>
            <w:shd w:val="clear" w:color="auto" w:fill="auto"/>
          </w:tcPr>
          <w:p>
            <w:pPr>
              <w:jc w:val="center"/>
              <w:rPr>
                <w:rFonts w:ascii="黑体" w:hAnsi="黑体" w:eastAsia="黑体"/>
                <w:szCs w:val="21"/>
              </w:rPr>
            </w:pPr>
          </w:p>
        </w:tc>
        <w:tc>
          <w:tcPr>
            <w:tcW w:w="851" w:type="dxa"/>
            <w:vMerge w:val="restart"/>
            <w:shd w:val="clear" w:color="auto" w:fill="auto"/>
          </w:tcPr>
          <w:p>
            <w:pPr>
              <w:rPr>
                <w:rFonts w:ascii="黑体" w:hAnsi="黑体" w:eastAsia="黑体"/>
                <w:szCs w:val="21"/>
              </w:rPr>
            </w:pPr>
          </w:p>
          <w:p>
            <w:pPr>
              <w:jc w:val="center"/>
              <w:rPr>
                <w:rFonts w:ascii="黑体" w:hAnsi="黑体" w:eastAsia="黑体"/>
                <w:szCs w:val="21"/>
              </w:rPr>
            </w:pPr>
            <w:r>
              <w:rPr>
                <w:rFonts w:ascii="黑体" w:hAnsi="黑体" w:eastAsia="黑体"/>
                <w:szCs w:val="21"/>
              </w:rPr>
              <w:t>DW002</w:t>
            </w:r>
          </w:p>
        </w:tc>
        <w:tc>
          <w:tcPr>
            <w:tcW w:w="2268" w:type="dxa"/>
            <w:shd w:val="clear" w:color="auto" w:fill="auto"/>
          </w:tcPr>
          <w:p>
            <w:pPr>
              <w:jc w:val="center"/>
              <w:rPr>
                <w:rFonts w:ascii="黑体" w:hAnsi="黑体" w:eastAsia="黑体"/>
                <w:szCs w:val="21"/>
              </w:rPr>
            </w:pPr>
            <w:r>
              <w:rPr>
                <w:rFonts w:hint="eastAsia" w:ascii="黑体" w:hAnsi="黑体" w:eastAsia="黑体"/>
                <w:szCs w:val="21"/>
              </w:rPr>
              <w:t>化学需氧量</w:t>
            </w:r>
          </w:p>
        </w:tc>
        <w:tc>
          <w:tcPr>
            <w:tcW w:w="1134" w:type="dxa"/>
            <w:vMerge w:val="restart"/>
            <w:shd w:val="clear" w:color="auto" w:fill="auto"/>
          </w:tcPr>
          <w:p>
            <w:pPr>
              <w:rPr>
                <w:rFonts w:ascii="黑体" w:hAnsi="黑体" w:eastAsia="黑体"/>
                <w:szCs w:val="21"/>
              </w:rPr>
            </w:pPr>
          </w:p>
          <w:p>
            <w:pPr>
              <w:jc w:val="center"/>
              <w:rPr>
                <w:rFonts w:ascii="黑体" w:hAnsi="黑体" w:eastAsia="黑体"/>
                <w:szCs w:val="21"/>
              </w:rPr>
            </w:pPr>
            <w:r>
              <w:rPr>
                <w:rFonts w:hint="eastAsia" w:ascii="黑体" w:hAnsi="黑体" w:eastAsia="黑体"/>
                <w:szCs w:val="21"/>
              </w:rPr>
              <w:t>1次/季</w:t>
            </w:r>
          </w:p>
        </w:tc>
        <w:tc>
          <w:tcPr>
            <w:tcW w:w="992" w:type="dxa"/>
            <w:shd w:val="clear" w:color="auto" w:fill="auto"/>
          </w:tcPr>
          <w:p>
            <w:pPr>
              <w:jc w:val="center"/>
              <w:rPr>
                <w:rFonts w:ascii="黑体" w:hAnsi="黑体" w:eastAsia="黑体"/>
                <w:szCs w:val="21"/>
              </w:rPr>
            </w:pPr>
            <w:r>
              <w:rPr>
                <w:rFonts w:ascii="黑体" w:hAnsi="黑体" w:eastAsia="黑体"/>
                <w:szCs w:val="21"/>
              </w:rPr>
              <w:t>12</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8</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氨氮（NH3-N）</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12</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9</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总磷（以P计）</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12</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0</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五日生化需氧量</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2</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1</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总氮</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2</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12</w:t>
            </w:r>
          </w:p>
        </w:tc>
        <w:tc>
          <w:tcPr>
            <w:tcW w:w="766" w:type="dxa"/>
            <w:vMerge w:val="continue"/>
            <w:shd w:val="clear" w:color="auto" w:fill="auto"/>
          </w:tcPr>
          <w:p>
            <w:pPr>
              <w:jc w:val="center"/>
              <w:rPr>
                <w:rFonts w:ascii="黑体" w:hAnsi="黑体" w:eastAsia="黑体"/>
                <w:szCs w:val="21"/>
              </w:rPr>
            </w:pPr>
          </w:p>
        </w:tc>
        <w:tc>
          <w:tcPr>
            <w:tcW w:w="851" w:type="dxa"/>
            <w:vMerge w:val="restart"/>
            <w:shd w:val="clear" w:color="auto" w:fill="auto"/>
          </w:tcPr>
          <w:p>
            <w:pPr>
              <w:jc w:val="center"/>
              <w:rPr>
                <w:rFonts w:ascii="黑体" w:hAnsi="黑体" w:eastAsia="黑体"/>
                <w:szCs w:val="21"/>
              </w:rPr>
            </w:pPr>
          </w:p>
          <w:p>
            <w:pPr>
              <w:rPr>
                <w:rFonts w:ascii="黑体" w:hAnsi="黑体" w:eastAsia="黑体"/>
                <w:szCs w:val="21"/>
              </w:rPr>
            </w:pPr>
          </w:p>
          <w:p>
            <w:pPr>
              <w:jc w:val="center"/>
              <w:rPr>
                <w:rFonts w:ascii="黑体" w:hAnsi="黑体" w:eastAsia="黑体"/>
                <w:szCs w:val="21"/>
              </w:rPr>
            </w:pPr>
            <w:r>
              <w:rPr>
                <w:rFonts w:ascii="黑体" w:hAnsi="黑体" w:eastAsia="黑体"/>
                <w:szCs w:val="21"/>
              </w:rPr>
              <w:t>DW003</w:t>
            </w:r>
          </w:p>
        </w:tc>
        <w:tc>
          <w:tcPr>
            <w:tcW w:w="2268" w:type="dxa"/>
            <w:shd w:val="clear" w:color="auto" w:fill="auto"/>
          </w:tcPr>
          <w:p>
            <w:pPr>
              <w:jc w:val="center"/>
              <w:rPr>
                <w:rFonts w:ascii="黑体" w:hAnsi="黑体" w:eastAsia="黑体"/>
                <w:szCs w:val="21"/>
              </w:rPr>
            </w:pPr>
            <w:r>
              <w:rPr>
                <w:rFonts w:hint="eastAsia" w:ascii="黑体" w:hAnsi="黑体" w:eastAsia="黑体"/>
                <w:szCs w:val="21"/>
              </w:rPr>
              <w:t>悬浮物</w:t>
            </w:r>
          </w:p>
        </w:tc>
        <w:tc>
          <w:tcPr>
            <w:tcW w:w="1134" w:type="dxa"/>
            <w:vMerge w:val="restart"/>
            <w:shd w:val="clear" w:color="auto" w:fill="auto"/>
          </w:tcPr>
          <w:p>
            <w:pPr>
              <w:jc w:val="center"/>
              <w:rPr>
                <w:rFonts w:ascii="黑体" w:hAnsi="黑体" w:eastAsia="黑体"/>
                <w:szCs w:val="21"/>
              </w:rPr>
            </w:pPr>
          </w:p>
          <w:p>
            <w:pPr>
              <w:rPr>
                <w:rFonts w:ascii="黑体" w:hAnsi="黑体" w:eastAsia="黑体"/>
                <w:szCs w:val="21"/>
              </w:rPr>
            </w:pPr>
          </w:p>
          <w:p>
            <w:pPr>
              <w:jc w:val="cente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13</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五日生化需氧量</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14</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总磷（以P计）</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5</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总氮</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6</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阴离子表面活性剂</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7</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石油类</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8</w:t>
            </w:r>
          </w:p>
        </w:tc>
        <w:tc>
          <w:tcPr>
            <w:tcW w:w="766" w:type="dxa"/>
            <w:vMerge w:val="restart"/>
            <w:shd w:val="clear" w:color="auto" w:fill="auto"/>
          </w:tcPr>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r>
              <w:rPr>
                <w:rFonts w:hint="eastAsia" w:ascii="黑体" w:hAnsi="黑体" w:eastAsia="黑体"/>
                <w:szCs w:val="21"/>
              </w:rPr>
              <w:t>雨水检测</w:t>
            </w:r>
          </w:p>
        </w:tc>
        <w:tc>
          <w:tcPr>
            <w:tcW w:w="851" w:type="dxa"/>
            <w:vMerge w:val="restart"/>
            <w:shd w:val="clear" w:color="auto" w:fill="auto"/>
          </w:tcPr>
          <w:p>
            <w:pPr>
              <w:rPr>
                <w:rFonts w:ascii="黑体" w:hAnsi="黑体" w:eastAsia="黑体"/>
                <w:szCs w:val="21"/>
              </w:rPr>
            </w:pPr>
            <w:r>
              <w:rPr>
                <w:rFonts w:ascii="黑体" w:hAnsi="黑体" w:eastAsia="黑体"/>
                <w:szCs w:val="21"/>
              </w:rPr>
              <w:t>DW004</w:t>
            </w:r>
          </w:p>
        </w:tc>
        <w:tc>
          <w:tcPr>
            <w:tcW w:w="2268" w:type="dxa"/>
            <w:shd w:val="clear" w:color="auto" w:fill="auto"/>
          </w:tcPr>
          <w:p>
            <w:pPr>
              <w:jc w:val="center"/>
              <w:rPr>
                <w:rFonts w:ascii="黑体" w:hAnsi="黑体" w:eastAsia="黑体"/>
                <w:szCs w:val="21"/>
              </w:rPr>
            </w:pPr>
            <w:r>
              <w:rPr>
                <w:rFonts w:hint="eastAsia" w:ascii="黑体" w:hAnsi="黑体" w:eastAsia="黑体"/>
                <w:szCs w:val="21"/>
              </w:rPr>
              <w:t>悬浮物</w:t>
            </w:r>
          </w:p>
        </w:tc>
        <w:tc>
          <w:tcPr>
            <w:tcW w:w="1134" w:type="dxa"/>
            <w:vMerge w:val="restart"/>
            <w:shd w:val="clear" w:color="auto" w:fill="auto"/>
          </w:tcPr>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9</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化学需氧量</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20</w:t>
            </w:r>
          </w:p>
        </w:tc>
        <w:tc>
          <w:tcPr>
            <w:tcW w:w="766" w:type="dxa"/>
            <w:vMerge w:val="continue"/>
            <w:shd w:val="clear" w:color="auto" w:fill="auto"/>
          </w:tcPr>
          <w:p>
            <w:pPr>
              <w:jc w:val="center"/>
              <w:rPr>
                <w:rFonts w:ascii="黑体" w:hAnsi="黑体" w:eastAsia="黑体"/>
                <w:szCs w:val="21"/>
              </w:rPr>
            </w:pPr>
          </w:p>
        </w:tc>
        <w:tc>
          <w:tcPr>
            <w:tcW w:w="851" w:type="dxa"/>
            <w:vMerge w:val="restart"/>
            <w:shd w:val="clear" w:color="auto" w:fill="auto"/>
          </w:tcPr>
          <w:p>
            <w:pPr>
              <w:rPr>
                <w:rFonts w:ascii="黑体" w:hAnsi="黑体" w:eastAsia="黑体"/>
                <w:szCs w:val="21"/>
              </w:rPr>
            </w:pPr>
            <w:r>
              <w:rPr>
                <w:rFonts w:ascii="黑体" w:hAnsi="黑体" w:eastAsia="黑体"/>
                <w:szCs w:val="21"/>
              </w:rPr>
              <w:t>DW005</w:t>
            </w:r>
          </w:p>
        </w:tc>
        <w:tc>
          <w:tcPr>
            <w:tcW w:w="2268" w:type="dxa"/>
            <w:shd w:val="clear" w:color="auto" w:fill="auto"/>
          </w:tcPr>
          <w:p>
            <w:pPr>
              <w:jc w:val="center"/>
              <w:rPr>
                <w:rFonts w:ascii="黑体" w:hAnsi="黑体" w:eastAsia="黑体"/>
                <w:szCs w:val="21"/>
              </w:rPr>
            </w:pPr>
            <w:r>
              <w:rPr>
                <w:rFonts w:hint="eastAsia" w:ascii="黑体" w:hAnsi="黑体" w:eastAsia="黑体"/>
                <w:szCs w:val="21"/>
              </w:rPr>
              <w:t>悬浮物</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21</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化学需氧量</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22</w:t>
            </w:r>
          </w:p>
        </w:tc>
        <w:tc>
          <w:tcPr>
            <w:tcW w:w="766" w:type="dxa"/>
            <w:vMerge w:val="continue"/>
            <w:shd w:val="clear" w:color="auto" w:fill="auto"/>
          </w:tcPr>
          <w:p>
            <w:pPr>
              <w:jc w:val="center"/>
              <w:rPr>
                <w:rFonts w:ascii="黑体" w:hAnsi="黑体" w:eastAsia="黑体"/>
                <w:szCs w:val="21"/>
              </w:rPr>
            </w:pPr>
          </w:p>
        </w:tc>
        <w:tc>
          <w:tcPr>
            <w:tcW w:w="851" w:type="dxa"/>
            <w:vMerge w:val="restart"/>
            <w:shd w:val="clear" w:color="auto" w:fill="auto"/>
          </w:tcPr>
          <w:p>
            <w:pPr>
              <w:jc w:val="center"/>
              <w:rPr>
                <w:rFonts w:ascii="黑体" w:hAnsi="黑体" w:eastAsia="黑体"/>
                <w:szCs w:val="21"/>
              </w:rPr>
            </w:pPr>
            <w:r>
              <w:rPr>
                <w:rFonts w:ascii="黑体" w:hAnsi="黑体" w:eastAsia="黑体"/>
                <w:szCs w:val="21"/>
              </w:rPr>
              <w:t>DW006</w:t>
            </w:r>
          </w:p>
        </w:tc>
        <w:tc>
          <w:tcPr>
            <w:tcW w:w="2268" w:type="dxa"/>
            <w:shd w:val="clear" w:color="auto" w:fill="auto"/>
          </w:tcPr>
          <w:p>
            <w:pPr>
              <w:jc w:val="center"/>
              <w:rPr>
                <w:rFonts w:ascii="黑体" w:hAnsi="黑体" w:eastAsia="黑体"/>
                <w:szCs w:val="21"/>
              </w:rPr>
            </w:pPr>
            <w:r>
              <w:rPr>
                <w:rFonts w:hint="eastAsia" w:ascii="黑体" w:hAnsi="黑体" w:eastAsia="黑体"/>
                <w:szCs w:val="21"/>
              </w:rPr>
              <w:t>悬浮物</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23</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化学需氧量</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24</w:t>
            </w:r>
          </w:p>
        </w:tc>
        <w:tc>
          <w:tcPr>
            <w:tcW w:w="766" w:type="dxa"/>
            <w:vMerge w:val="continue"/>
            <w:shd w:val="clear" w:color="auto" w:fill="auto"/>
          </w:tcPr>
          <w:p>
            <w:pPr>
              <w:jc w:val="center"/>
              <w:rPr>
                <w:rFonts w:ascii="黑体" w:hAnsi="黑体" w:eastAsia="黑体"/>
                <w:szCs w:val="21"/>
              </w:rPr>
            </w:pPr>
          </w:p>
        </w:tc>
        <w:tc>
          <w:tcPr>
            <w:tcW w:w="851" w:type="dxa"/>
            <w:vMerge w:val="restart"/>
            <w:shd w:val="clear" w:color="auto" w:fill="auto"/>
          </w:tcPr>
          <w:p>
            <w:pPr>
              <w:jc w:val="center"/>
              <w:rPr>
                <w:rFonts w:ascii="黑体" w:hAnsi="黑体" w:eastAsia="黑体"/>
                <w:szCs w:val="21"/>
              </w:rPr>
            </w:pPr>
            <w:r>
              <w:rPr>
                <w:rFonts w:ascii="黑体" w:hAnsi="黑体" w:eastAsia="黑体"/>
                <w:szCs w:val="21"/>
              </w:rPr>
              <w:t>DW007</w:t>
            </w:r>
          </w:p>
        </w:tc>
        <w:tc>
          <w:tcPr>
            <w:tcW w:w="2268" w:type="dxa"/>
            <w:shd w:val="clear" w:color="auto" w:fill="auto"/>
          </w:tcPr>
          <w:p>
            <w:pPr>
              <w:jc w:val="center"/>
              <w:rPr>
                <w:rFonts w:ascii="黑体" w:hAnsi="黑体" w:eastAsia="黑体"/>
                <w:szCs w:val="21"/>
              </w:rPr>
            </w:pPr>
            <w:r>
              <w:rPr>
                <w:rFonts w:hint="eastAsia" w:ascii="黑体" w:hAnsi="黑体" w:eastAsia="黑体"/>
                <w:szCs w:val="21"/>
              </w:rPr>
              <w:t>悬浮物</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25</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化学需氧量</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26</w:t>
            </w:r>
          </w:p>
        </w:tc>
        <w:tc>
          <w:tcPr>
            <w:tcW w:w="766" w:type="dxa"/>
            <w:vMerge w:val="continue"/>
            <w:shd w:val="clear" w:color="auto" w:fill="auto"/>
          </w:tcPr>
          <w:p>
            <w:pPr>
              <w:jc w:val="center"/>
              <w:rPr>
                <w:rFonts w:ascii="黑体" w:hAnsi="黑体" w:eastAsia="黑体"/>
                <w:szCs w:val="21"/>
              </w:rPr>
            </w:pPr>
          </w:p>
        </w:tc>
        <w:tc>
          <w:tcPr>
            <w:tcW w:w="851" w:type="dxa"/>
            <w:vMerge w:val="restart"/>
            <w:shd w:val="clear" w:color="auto" w:fill="auto"/>
          </w:tcPr>
          <w:p>
            <w:pPr>
              <w:jc w:val="center"/>
              <w:rPr>
                <w:rFonts w:ascii="黑体" w:hAnsi="黑体" w:eastAsia="黑体"/>
                <w:szCs w:val="21"/>
              </w:rPr>
            </w:pPr>
            <w:r>
              <w:rPr>
                <w:rFonts w:ascii="黑体" w:hAnsi="黑体" w:eastAsia="黑体"/>
                <w:szCs w:val="21"/>
              </w:rPr>
              <w:t>DW008</w:t>
            </w:r>
          </w:p>
        </w:tc>
        <w:tc>
          <w:tcPr>
            <w:tcW w:w="2268" w:type="dxa"/>
            <w:shd w:val="clear" w:color="auto" w:fill="auto"/>
          </w:tcPr>
          <w:p>
            <w:pPr>
              <w:jc w:val="center"/>
              <w:rPr>
                <w:rFonts w:ascii="黑体" w:hAnsi="黑体" w:eastAsia="黑体"/>
                <w:szCs w:val="21"/>
              </w:rPr>
            </w:pPr>
            <w:r>
              <w:rPr>
                <w:rFonts w:hint="eastAsia" w:ascii="黑体" w:hAnsi="黑体" w:eastAsia="黑体"/>
                <w:szCs w:val="21"/>
              </w:rPr>
              <w:t>悬浮物</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27</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化学需氧量</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28</w:t>
            </w:r>
          </w:p>
        </w:tc>
        <w:tc>
          <w:tcPr>
            <w:tcW w:w="766" w:type="dxa"/>
            <w:vMerge w:val="continue"/>
            <w:shd w:val="clear" w:color="auto" w:fill="auto"/>
          </w:tcPr>
          <w:p>
            <w:pPr>
              <w:jc w:val="center"/>
              <w:rPr>
                <w:rFonts w:ascii="黑体" w:hAnsi="黑体" w:eastAsia="黑体"/>
                <w:szCs w:val="21"/>
              </w:rPr>
            </w:pPr>
          </w:p>
        </w:tc>
        <w:tc>
          <w:tcPr>
            <w:tcW w:w="851" w:type="dxa"/>
            <w:vMerge w:val="restart"/>
            <w:shd w:val="clear" w:color="auto" w:fill="auto"/>
          </w:tcPr>
          <w:p>
            <w:pPr>
              <w:jc w:val="center"/>
              <w:rPr>
                <w:rFonts w:ascii="黑体" w:hAnsi="黑体" w:eastAsia="黑体"/>
                <w:szCs w:val="21"/>
              </w:rPr>
            </w:pPr>
            <w:r>
              <w:rPr>
                <w:rFonts w:ascii="黑体" w:hAnsi="黑体" w:eastAsia="黑体"/>
                <w:szCs w:val="21"/>
              </w:rPr>
              <w:t>DW009</w:t>
            </w:r>
          </w:p>
        </w:tc>
        <w:tc>
          <w:tcPr>
            <w:tcW w:w="2268" w:type="dxa"/>
            <w:shd w:val="clear" w:color="auto" w:fill="auto"/>
          </w:tcPr>
          <w:p>
            <w:pPr>
              <w:jc w:val="center"/>
              <w:rPr>
                <w:rFonts w:ascii="黑体" w:hAnsi="黑体" w:eastAsia="黑体"/>
                <w:szCs w:val="21"/>
              </w:rPr>
            </w:pPr>
            <w:r>
              <w:rPr>
                <w:rFonts w:hint="eastAsia" w:ascii="黑体" w:hAnsi="黑体" w:eastAsia="黑体"/>
                <w:szCs w:val="21"/>
              </w:rPr>
              <w:t>悬浮物</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29</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化学需氧量</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30</w:t>
            </w:r>
          </w:p>
        </w:tc>
        <w:tc>
          <w:tcPr>
            <w:tcW w:w="766" w:type="dxa"/>
            <w:vMerge w:val="restart"/>
            <w:shd w:val="clear" w:color="auto" w:fill="auto"/>
          </w:tcPr>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r>
              <w:rPr>
                <w:rFonts w:hint="eastAsia" w:ascii="黑体" w:hAnsi="黑体" w:eastAsia="黑体"/>
                <w:szCs w:val="21"/>
              </w:rPr>
              <w:t>废气检测</w:t>
            </w:r>
          </w:p>
        </w:tc>
        <w:tc>
          <w:tcPr>
            <w:tcW w:w="851" w:type="dxa"/>
            <w:vMerge w:val="restart"/>
            <w:shd w:val="clear" w:color="auto" w:fill="auto"/>
          </w:tcPr>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r>
              <w:rPr>
                <w:rFonts w:ascii="黑体" w:hAnsi="黑体" w:eastAsia="黑体"/>
                <w:szCs w:val="21"/>
              </w:rPr>
              <w:t>DA001</w:t>
            </w:r>
          </w:p>
        </w:tc>
        <w:tc>
          <w:tcPr>
            <w:tcW w:w="2268" w:type="dxa"/>
            <w:shd w:val="clear" w:color="auto" w:fill="auto"/>
          </w:tcPr>
          <w:p>
            <w:pPr>
              <w:jc w:val="center"/>
              <w:rPr>
                <w:rFonts w:ascii="黑体" w:hAnsi="黑体" w:eastAsia="黑体"/>
                <w:szCs w:val="21"/>
              </w:rPr>
            </w:pPr>
            <w:r>
              <w:rPr>
                <w:rFonts w:hint="eastAsia" w:ascii="黑体" w:hAnsi="黑体" w:eastAsia="黑体"/>
                <w:szCs w:val="21"/>
              </w:rPr>
              <w:t>臭气浓度</w:t>
            </w:r>
          </w:p>
        </w:tc>
        <w:tc>
          <w:tcPr>
            <w:tcW w:w="1134" w:type="dxa"/>
            <w:shd w:val="clear" w:color="auto" w:fill="auto"/>
          </w:tcPr>
          <w:p>
            <w:pPr>
              <w:rPr>
                <w:rFonts w:ascii="黑体" w:hAnsi="黑体" w:eastAsia="黑体"/>
                <w:szCs w:val="21"/>
              </w:rPr>
            </w:pPr>
            <w:r>
              <w:rPr>
                <w:rFonts w:hint="eastAsia" w:ascii="黑体" w:hAnsi="黑体" w:eastAsia="黑体"/>
                <w:szCs w:val="21"/>
              </w:rPr>
              <w:t>1次/季</w:t>
            </w:r>
          </w:p>
        </w:tc>
        <w:tc>
          <w:tcPr>
            <w:tcW w:w="992" w:type="dxa"/>
            <w:shd w:val="clear" w:color="auto" w:fill="auto"/>
          </w:tcPr>
          <w:p>
            <w:pPr>
              <w:jc w:val="center"/>
              <w:rPr>
                <w:rFonts w:ascii="黑体" w:hAnsi="黑体" w:eastAsia="黑体"/>
                <w:szCs w:val="21"/>
              </w:rPr>
            </w:pPr>
            <w:r>
              <w:rPr>
                <w:rFonts w:ascii="黑体" w:hAnsi="黑体" w:eastAsia="黑体"/>
                <w:szCs w:val="21"/>
              </w:rPr>
              <w:t>12</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31</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乙酸乙酯</w:t>
            </w:r>
          </w:p>
        </w:tc>
        <w:tc>
          <w:tcPr>
            <w:tcW w:w="1134" w:type="dxa"/>
            <w:vMerge w:val="restart"/>
            <w:shd w:val="clear" w:color="auto" w:fill="auto"/>
          </w:tcPr>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32</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苯系物</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33</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低浓度颗粒物</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34</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氮氧化物</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35</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二氧化硫</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36</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非甲烷总烃</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37</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总挥发性有机物</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hint="eastAsia"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38</w:t>
            </w:r>
          </w:p>
        </w:tc>
        <w:tc>
          <w:tcPr>
            <w:tcW w:w="766" w:type="dxa"/>
            <w:vMerge w:val="continue"/>
            <w:shd w:val="clear" w:color="auto" w:fill="auto"/>
          </w:tcPr>
          <w:p>
            <w:pPr>
              <w:jc w:val="center"/>
              <w:rPr>
                <w:rFonts w:ascii="黑体" w:hAnsi="黑体" w:eastAsia="黑体"/>
                <w:szCs w:val="21"/>
              </w:rPr>
            </w:pPr>
          </w:p>
        </w:tc>
        <w:tc>
          <w:tcPr>
            <w:tcW w:w="851" w:type="dxa"/>
            <w:vMerge w:val="restart"/>
            <w:shd w:val="clear" w:color="auto" w:fill="auto"/>
          </w:tcPr>
          <w:p>
            <w:pPr>
              <w:jc w:val="center"/>
              <w:rPr>
                <w:rFonts w:ascii="黑体" w:hAnsi="黑体" w:eastAsia="黑体"/>
                <w:szCs w:val="21"/>
              </w:rPr>
            </w:pPr>
          </w:p>
          <w:p>
            <w:pPr>
              <w:jc w:val="center"/>
              <w:rPr>
                <w:rFonts w:ascii="黑体" w:hAnsi="黑体" w:eastAsia="黑体"/>
                <w:szCs w:val="21"/>
              </w:rPr>
            </w:pPr>
            <w:r>
              <w:rPr>
                <w:rFonts w:ascii="黑体" w:hAnsi="黑体" w:eastAsia="黑体"/>
                <w:szCs w:val="21"/>
              </w:rPr>
              <w:t>DA005</w:t>
            </w:r>
          </w:p>
        </w:tc>
        <w:tc>
          <w:tcPr>
            <w:tcW w:w="2268" w:type="dxa"/>
            <w:shd w:val="clear" w:color="auto" w:fill="auto"/>
          </w:tcPr>
          <w:p>
            <w:pPr>
              <w:jc w:val="center"/>
              <w:rPr>
                <w:rFonts w:ascii="黑体" w:hAnsi="黑体" w:eastAsia="黑体"/>
                <w:szCs w:val="21"/>
              </w:rPr>
            </w:pPr>
            <w:r>
              <w:rPr>
                <w:rFonts w:hint="eastAsia" w:ascii="黑体" w:hAnsi="黑体" w:eastAsia="黑体"/>
                <w:szCs w:val="21"/>
              </w:rPr>
              <w:t>氨氮化物</w:t>
            </w:r>
          </w:p>
        </w:tc>
        <w:tc>
          <w:tcPr>
            <w:tcW w:w="1134" w:type="dxa"/>
            <w:shd w:val="clear" w:color="auto" w:fill="auto"/>
          </w:tcPr>
          <w:p>
            <w:pP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hint="eastAsia"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9</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非甲烷总烃</w:t>
            </w:r>
          </w:p>
        </w:tc>
        <w:tc>
          <w:tcPr>
            <w:tcW w:w="1134" w:type="dxa"/>
            <w:shd w:val="clear" w:color="auto" w:fill="auto"/>
          </w:tcPr>
          <w:p>
            <w:pP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40</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二氧化硫</w:t>
            </w:r>
          </w:p>
        </w:tc>
        <w:tc>
          <w:tcPr>
            <w:tcW w:w="1134" w:type="dxa"/>
            <w:shd w:val="clear" w:color="auto" w:fill="auto"/>
          </w:tcPr>
          <w:p>
            <w:pP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ascii="黑体" w:hAnsi="黑体" w:eastAsia="黑体"/>
                <w:szCs w:val="21"/>
              </w:rPr>
              <w:t>12</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41</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低浓度颗粒物</w:t>
            </w:r>
          </w:p>
        </w:tc>
        <w:tc>
          <w:tcPr>
            <w:tcW w:w="1134" w:type="dxa"/>
            <w:shd w:val="clear" w:color="auto" w:fill="auto"/>
          </w:tcPr>
          <w:p>
            <w:pP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42</w:t>
            </w:r>
          </w:p>
        </w:tc>
        <w:tc>
          <w:tcPr>
            <w:tcW w:w="766" w:type="dxa"/>
            <w:vMerge w:val="continue"/>
            <w:shd w:val="clear" w:color="auto" w:fill="auto"/>
          </w:tcPr>
          <w:p>
            <w:pPr>
              <w:jc w:val="center"/>
              <w:rPr>
                <w:rFonts w:ascii="黑体" w:hAnsi="黑体" w:eastAsia="黑体"/>
                <w:szCs w:val="21"/>
              </w:rPr>
            </w:pPr>
          </w:p>
        </w:tc>
        <w:tc>
          <w:tcPr>
            <w:tcW w:w="851" w:type="dxa"/>
            <w:vMerge w:val="restart"/>
            <w:shd w:val="clear" w:color="auto" w:fill="auto"/>
          </w:tcPr>
          <w:p>
            <w:pPr>
              <w:jc w:val="center"/>
              <w:rPr>
                <w:rFonts w:ascii="黑体" w:hAnsi="黑体" w:eastAsia="黑体"/>
                <w:szCs w:val="21"/>
              </w:rPr>
            </w:pPr>
          </w:p>
          <w:p>
            <w:pPr>
              <w:jc w:val="center"/>
              <w:rPr>
                <w:rFonts w:ascii="黑体" w:hAnsi="黑体" w:eastAsia="黑体"/>
                <w:szCs w:val="21"/>
              </w:rPr>
            </w:pPr>
            <w:r>
              <w:rPr>
                <w:rFonts w:ascii="黑体" w:hAnsi="黑体" w:eastAsia="黑体"/>
                <w:szCs w:val="21"/>
              </w:rPr>
              <w:t>DA006</w:t>
            </w:r>
          </w:p>
        </w:tc>
        <w:tc>
          <w:tcPr>
            <w:tcW w:w="2268" w:type="dxa"/>
            <w:shd w:val="clear" w:color="auto" w:fill="auto"/>
          </w:tcPr>
          <w:p>
            <w:pPr>
              <w:jc w:val="center"/>
              <w:rPr>
                <w:rFonts w:ascii="黑体" w:hAnsi="黑体" w:eastAsia="黑体"/>
                <w:szCs w:val="21"/>
              </w:rPr>
            </w:pPr>
            <w:r>
              <w:rPr>
                <w:rFonts w:hint="eastAsia" w:ascii="黑体" w:hAnsi="黑体" w:eastAsia="黑体"/>
                <w:szCs w:val="21"/>
              </w:rPr>
              <w:t>氨氮化物</w:t>
            </w:r>
          </w:p>
        </w:tc>
        <w:tc>
          <w:tcPr>
            <w:tcW w:w="1134" w:type="dxa"/>
            <w:shd w:val="clear" w:color="auto" w:fill="auto"/>
          </w:tcPr>
          <w:p>
            <w:pP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hint="eastAsia"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43</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非甲烷总烃</w:t>
            </w:r>
          </w:p>
        </w:tc>
        <w:tc>
          <w:tcPr>
            <w:tcW w:w="1134" w:type="dxa"/>
            <w:shd w:val="clear" w:color="auto" w:fill="auto"/>
          </w:tcPr>
          <w:p>
            <w:pP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44</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二氧化硫</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1次/季</w:t>
            </w:r>
          </w:p>
        </w:tc>
        <w:tc>
          <w:tcPr>
            <w:tcW w:w="992" w:type="dxa"/>
            <w:shd w:val="clear" w:color="auto" w:fill="auto"/>
          </w:tcPr>
          <w:p>
            <w:pPr>
              <w:jc w:val="center"/>
              <w:rPr>
                <w:rFonts w:ascii="黑体" w:hAnsi="黑体" w:eastAsia="黑体"/>
                <w:szCs w:val="21"/>
              </w:rPr>
            </w:pPr>
            <w:r>
              <w:rPr>
                <w:rFonts w:ascii="黑体" w:hAnsi="黑体" w:eastAsia="黑体"/>
                <w:szCs w:val="21"/>
              </w:rPr>
              <w:t>12</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45</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低浓度颗粒物</w:t>
            </w:r>
          </w:p>
        </w:tc>
        <w:tc>
          <w:tcPr>
            <w:tcW w:w="1134" w:type="dxa"/>
            <w:shd w:val="clear" w:color="auto" w:fill="auto"/>
          </w:tcPr>
          <w:p>
            <w:pP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46</w:t>
            </w:r>
          </w:p>
        </w:tc>
        <w:tc>
          <w:tcPr>
            <w:tcW w:w="766" w:type="dxa"/>
            <w:vMerge w:val="restart"/>
            <w:shd w:val="clear" w:color="auto" w:fill="auto"/>
          </w:tcPr>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r>
              <w:rPr>
                <w:rFonts w:hint="eastAsia" w:ascii="黑体" w:hAnsi="黑体" w:eastAsia="黑体"/>
                <w:szCs w:val="21"/>
              </w:rPr>
              <w:t>废气检测</w:t>
            </w:r>
          </w:p>
        </w:tc>
        <w:tc>
          <w:tcPr>
            <w:tcW w:w="851" w:type="dxa"/>
            <w:vMerge w:val="restart"/>
            <w:shd w:val="clear" w:color="auto" w:fill="auto"/>
          </w:tcPr>
          <w:p>
            <w:pPr>
              <w:rPr>
                <w:rFonts w:ascii="黑体" w:hAnsi="黑体" w:eastAsia="黑体"/>
                <w:szCs w:val="21"/>
              </w:rPr>
            </w:pPr>
          </w:p>
          <w:p>
            <w:pPr>
              <w:jc w:val="center"/>
              <w:rPr>
                <w:rFonts w:ascii="黑体" w:hAnsi="黑体" w:eastAsia="黑体"/>
                <w:szCs w:val="21"/>
              </w:rPr>
            </w:pPr>
            <w:r>
              <w:rPr>
                <w:rFonts w:ascii="黑体" w:hAnsi="黑体" w:eastAsia="黑体"/>
                <w:szCs w:val="21"/>
              </w:rPr>
              <w:t>DA007</w:t>
            </w:r>
          </w:p>
        </w:tc>
        <w:tc>
          <w:tcPr>
            <w:tcW w:w="2268" w:type="dxa"/>
            <w:shd w:val="clear" w:color="auto" w:fill="auto"/>
          </w:tcPr>
          <w:p>
            <w:pPr>
              <w:widowControl/>
              <w:jc w:val="center"/>
              <w:rPr>
                <w:color w:val="000000"/>
                <w:kern w:val="0"/>
                <w:sz w:val="22"/>
                <w:szCs w:val="22"/>
              </w:rPr>
            </w:pPr>
            <w:r>
              <w:rPr>
                <w:rFonts w:hint="eastAsia" w:ascii="黑体" w:hAnsi="黑体" w:eastAsia="黑体"/>
                <w:szCs w:val="21"/>
              </w:rPr>
              <w:t>苯系物</w:t>
            </w:r>
          </w:p>
        </w:tc>
        <w:tc>
          <w:tcPr>
            <w:tcW w:w="1134" w:type="dxa"/>
            <w:shd w:val="clear" w:color="auto" w:fill="auto"/>
          </w:tcPr>
          <w:p>
            <w:pP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47</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color w:val="000000"/>
                <w:kern w:val="0"/>
                <w:sz w:val="22"/>
                <w:szCs w:val="22"/>
              </w:rPr>
            </w:pPr>
            <w:r>
              <w:rPr>
                <w:rFonts w:hint="eastAsia" w:ascii="黑体" w:hAnsi="黑体" w:eastAsia="黑体"/>
                <w:szCs w:val="21"/>
              </w:rPr>
              <w:t>低浓度颗粒物</w:t>
            </w:r>
          </w:p>
        </w:tc>
        <w:tc>
          <w:tcPr>
            <w:tcW w:w="1134" w:type="dxa"/>
            <w:shd w:val="clear" w:color="auto" w:fill="auto"/>
          </w:tcPr>
          <w:p>
            <w:pP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48</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非甲烷总烃</w:t>
            </w:r>
          </w:p>
        </w:tc>
        <w:tc>
          <w:tcPr>
            <w:tcW w:w="1134" w:type="dxa"/>
            <w:shd w:val="clear" w:color="auto" w:fill="auto"/>
          </w:tcPr>
          <w:p>
            <w:pP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hint="eastAsia"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49</w:t>
            </w:r>
          </w:p>
        </w:tc>
        <w:tc>
          <w:tcPr>
            <w:tcW w:w="766" w:type="dxa"/>
            <w:vMerge w:val="continue"/>
            <w:shd w:val="clear" w:color="auto" w:fill="auto"/>
          </w:tcPr>
          <w:p>
            <w:pPr>
              <w:jc w:val="center"/>
              <w:rPr>
                <w:rFonts w:ascii="黑体" w:hAnsi="黑体" w:eastAsia="黑体"/>
                <w:szCs w:val="21"/>
              </w:rPr>
            </w:pPr>
          </w:p>
        </w:tc>
        <w:tc>
          <w:tcPr>
            <w:tcW w:w="851" w:type="dxa"/>
            <w:vMerge w:val="restart"/>
            <w:shd w:val="clear" w:color="auto" w:fill="auto"/>
          </w:tcPr>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r>
              <w:rPr>
                <w:rFonts w:ascii="黑体" w:hAnsi="黑体" w:eastAsia="黑体"/>
                <w:szCs w:val="21"/>
              </w:rPr>
              <w:t>DA008</w:t>
            </w:r>
          </w:p>
        </w:tc>
        <w:tc>
          <w:tcPr>
            <w:tcW w:w="2268" w:type="dxa"/>
            <w:shd w:val="clear" w:color="auto" w:fill="auto"/>
          </w:tcPr>
          <w:p>
            <w:pPr>
              <w:jc w:val="center"/>
              <w:rPr>
                <w:rFonts w:ascii="黑体" w:hAnsi="黑体" w:eastAsia="黑体"/>
                <w:szCs w:val="21"/>
              </w:rPr>
            </w:pPr>
            <w:r>
              <w:rPr>
                <w:rFonts w:hint="eastAsia" w:ascii="黑体" w:hAnsi="黑体" w:eastAsia="黑体"/>
                <w:szCs w:val="21"/>
              </w:rPr>
              <w:t>二氧化硫</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1次/半年</w:t>
            </w:r>
          </w:p>
        </w:tc>
        <w:tc>
          <w:tcPr>
            <w:tcW w:w="992" w:type="dxa"/>
            <w:shd w:val="clear" w:color="auto" w:fill="auto"/>
          </w:tcPr>
          <w:p>
            <w:pPr>
              <w:jc w:val="center"/>
              <w:rPr>
                <w:rFonts w:ascii="黑体" w:hAnsi="黑体" w:eastAsia="黑体"/>
                <w:szCs w:val="21"/>
              </w:rPr>
            </w:pP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50</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林格曼黑度</w:t>
            </w:r>
          </w:p>
        </w:tc>
        <w:tc>
          <w:tcPr>
            <w:tcW w:w="1134" w:type="dxa"/>
            <w:shd w:val="clear" w:color="auto" w:fill="auto"/>
          </w:tcPr>
          <w:p>
            <w:pP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51</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氮氧化物</w:t>
            </w:r>
          </w:p>
        </w:tc>
        <w:tc>
          <w:tcPr>
            <w:tcW w:w="1134" w:type="dxa"/>
            <w:shd w:val="clear" w:color="auto" w:fill="auto"/>
          </w:tcPr>
          <w:p>
            <w:pP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52</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低浓度颗粒物</w:t>
            </w:r>
          </w:p>
        </w:tc>
        <w:tc>
          <w:tcPr>
            <w:tcW w:w="1134" w:type="dxa"/>
            <w:shd w:val="clear" w:color="auto" w:fill="auto"/>
          </w:tcPr>
          <w:p>
            <w:pP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ascii="黑体" w:hAnsi="黑体" w:eastAsia="黑体"/>
                <w:szCs w:val="21"/>
              </w:rPr>
              <w:t>3</w:t>
            </w:r>
            <w:r>
              <w:rPr>
                <w:rFonts w:hint="eastAsia"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53</w:t>
            </w:r>
          </w:p>
        </w:tc>
        <w:tc>
          <w:tcPr>
            <w:tcW w:w="766" w:type="dxa"/>
            <w:vMerge w:val="continue"/>
            <w:shd w:val="clear" w:color="auto" w:fill="auto"/>
          </w:tcPr>
          <w:p>
            <w:pPr>
              <w:jc w:val="center"/>
              <w:rPr>
                <w:rFonts w:ascii="黑体" w:hAnsi="黑体" w:eastAsia="黑体"/>
                <w:szCs w:val="21"/>
              </w:rPr>
            </w:pPr>
          </w:p>
        </w:tc>
        <w:tc>
          <w:tcPr>
            <w:tcW w:w="851" w:type="dxa"/>
            <w:vMerge w:val="restart"/>
            <w:shd w:val="clear" w:color="auto" w:fill="auto"/>
          </w:tcPr>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r>
              <w:rPr>
                <w:rFonts w:ascii="黑体" w:hAnsi="黑体" w:eastAsia="黑体"/>
                <w:szCs w:val="21"/>
              </w:rPr>
              <w:t>DA009</w:t>
            </w:r>
          </w:p>
        </w:tc>
        <w:tc>
          <w:tcPr>
            <w:tcW w:w="2268" w:type="dxa"/>
            <w:shd w:val="clear" w:color="auto" w:fill="auto"/>
          </w:tcPr>
          <w:p>
            <w:pPr>
              <w:jc w:val="center"/>
              <w:rPr>
                <w:rFonts w:ascii="黑体" w:hAnsi="黑体" w:eastAsia="黑体"/>
                <w:szCs w:val="21"/>
              </w:rPr>
            </w:pPr>
            <w:r>
              <w:rPr>
                <w:rFonts w:hint="eastAsia" w:ascii="黑体" w:hAnsi="黑体" w:eastAsia="黑体"/>
                <w:szCs w:val="21"/>
              </w:rPr>
              <w:t>二氧化硫</w:t>
            </w:r>
          </w:p>
        </w:tc>
        <w:tc>
          <w:tcPr>
            <w:tcW w:w="1134" w:type="dxa"/>
            <w:shd w:val="clear" w:color="auto" w:fill="auto"/>
          </w:tcPr>
          <w:p>
            <w:pPr>
              <w:rPr>
                <w:rFonts w:ascii="黑体" w:hAnsi="黑体" w:eastAsia="黑体"/>
                <w:szCs w:val="21"/>
              </w:rPr>
            </w:pPr>
            <w:r>
              <w:rPr>
                <w:rFonts w:hint="eastAsia" w:ascii="黑体" w:hAnsi="黑体" w:eastAsia="黑体"/>
                <w:szCs w:val="21"/>
              </w:rPr>
              <w:t>1次/半年</w:t>
            </w:r>
          </w:p>
        </w:tc>
        <w:tc>
          <w:tcPr>
            <w:tcW w:w="992" w:type="dxa"/>
            <w:shd w:val="clear" w:color="auto" w:fill="auto"/>
          </w:tcPr>
          <w:p>
            <w:pPr>
              <w:jc w:val="center"/>
              <w:rPr>
                <w:rFonts w:ascii="黑体" w:hAnsi="黑体" w:eastAsia="黑体"/>
                <w:szCs w:val="21"/>
              </w:rPr>
            </w:pP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54</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氮氧化物</w:t>
            </w:r>
          </w:p>
        </w:tc>
        <w:tc>
          <w:tcPr>
            <w:tcW w:w="1134" w:type="dxa"/>
            <w:shd w:val="clear" w:color="auto" w:fill="auto"/>
          </w:tcPr>
          <w:p>
            <w:pP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5</w:t>
            </w:r>
            <w:r>
              <w:rPr>
                <w:rFonts w:ascii="黑体" w:hAnsi="黑体" w:eastAsia="黑体"/>
                <w:szCs w:val="21"/>
              </w:rPr>
              <w:t>5</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ind w:firstLine="420" w:firstLineChars="200"/>
              <w:rPr>
                <w:rFonts w:ascii="黑体" w:hAnsi="黑体" w:eastAsia="黑体"/>
                <w:szCs w:val="21"/>
              </w:rPr>
            </w:pPr>
            <w:r>
              <w:rPr>
                <w:rFonts w:hint="eastAsia" w:ascii="黑体" w:hAnsi="黑体" w:eastAsia="黑体"/>
                <w:szCs w:val="21"/>
              </w:rPr>
              <w:t>一氧化碳</w:t>
            </w:r>
          </w:p>
        </w:tc>
        <w:tc>
          <w:tcPr>
            <w:tcW w:w="1134" w:type="dxa"/>
            <w:shd w:val="clear" w:color="auto" w:fill="auto"/>
          </w:tcPr>
          <w:p>
            <w:pPr>
              <w:rPr>
                <w:rFonts w:ascii="黑体" w:hAnsi="黑体" w:eastAsia="黑体"/>
                <w:szCs w:val="21"/>
              </w:rPr>
            </w:pPr>
            <w:r>
              <w:rPr>
                <w:rFonts w:hint="eastAsia" w:ascii="黑体" w:hAnsi="黑体" w:eastAsia="黑体"/>
                <w:szCs w:val="21"/>
              </w:rPr>
              <w:t>1次/半年</w:t>
            </w:r>
          </w:p>
        </w:tc>
        <w:tc>
          <w:tcPr>
            <w:tcW w:w="992" w:type="dxa"/>
            <w:shd w:val="clear" w:color="auto" w:fill="auto"/>
          </w:tcPr>
          <w:p>
            <w:pPr>
              <w:jc w:val="center"/>
              <w:rPr>
                <w:rFonts w:ascii="黑体" w:hAnsi="黑体" w:eastAsia="黑体"/>
                <w:szCs w:val="21"/>
              </w:rPr>
            </w:pP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5</w:t>
            </w:r>
            <w:r>
              <w:rPr>
                <w:rFonts w:ascii="黑体" w:hAnsi="黑体" w:eastAsia="黑体"/>
                <w:szCs w:val="21"/>
              </w:rPr>
              <w:t>6</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林格曼黑度</w:t>
            </w:r>
          </w:p>
        </w:tc>
        <w:tc>
          <w:tcPr>
            <w:tcW w:w="1134" w:type="dxa"/>
            <w:shd w:val="clear" w:color="auto" w:fill="auto"/>
          </w:tcPr>
          <w:p>
            <w:pP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57</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低浓度颗粒物</w:t>
            </w:r>
          </w:p>
        </w:tc>
        <w:tc>
          <w:tcPr>
            <w:tcW w:w="1134" w:type="dxa"/>
            <w:shd w:val="clear" w:color="auto" w:fill="auto"/>
          </w:tcPr>
          <w:p>
            <w:pP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58</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非甲烷总烃</w:t>
            </w:r>
          </w:p>
        </w:tc>
        <w:tc>
          <w:tcPr>
            <w:tcW w:w="1134" w:type="dxa"/>
            <w:shd w:val="clear" w:color="auto" w:fill="auto"/>
          </w:tcPr>
          <w:p>
            <w:pP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hint="eastAsia"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59</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甲醛</w:t>
            </w:r>
          </w:p>
        </w:tc>
        <w:tc>
          <w:tcPr>
            <w:tcW w:w="1134" w:type="dxa"/>
            <w:shd w:val="clear" w:color="auto" w:fill="auto"/>
          </w:tcPr>
          <w:p>
            <w:pP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hint="eastAsia" w:ascii="黑体" w:hAnsi="黑体" w:eastAsia="黑体"/>
                <w:szCs w:val="21"/>
              </w:rPr>
              <w:t>36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60</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DA010</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61</w:t>
            </w:r>
          </w:p>
        </w:tc>
        <w:tc>
          <w:tcPr>
            <w:tcW w:w="766" w:type="dxa"/>
            <w:vMerge w:val="continue"/>
            <w:shd w:val="clear" w:color="auto" w:fill="auto"/>
          </w:tcPr>
          <w:p>
            <w:pPr>
              <w:jc w:val="center"/>
              <w:rPr>
                <w:rFonts w:ascii="黑体" w:hAnsi="黑体" w:eastAsia="黑体"/>
                <w:szCs w:val="21"/>
              </w:rPr>
            </w:pPr>
          </w:p>
        </w:tc>
        <w:tc>
          <w:tcPr>
            <w:tcW w:w="851" w:type="dxa"/>
            <w:vMerge w:val="restart"/>
            <w:shd w:val="clear" w:color="auto" w:fill="auto"/>
          </w:tcPr>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r>
              <w:rPr>
                <w:rFonts w:ascii="黑体" w:hAnsi="黑体" w:eastAsia="黑体"/>
                <w:szCs w:val="21"/>
              </w:rPr>
              <w:t>DA011</w:t>
            </w:r>
          </w:p>
        </w:tc>
        <w:tc>
          <w:tcPr>
            <w:tcW w:w="2268" w:type="dxa"/>
            <w:shd w:val="clear" w:color="auto" w:fill="auto"/>
          </w:tcPr>
          <w:p>
            <w:pPr>
              <w:jc w:val="center"/>
              <w:rPr>
                <w:rFonts w:ascii="黑体" w:hAnsi="黑体" w:eastAsia="黑体"/>
                <w:szCs w:val="21"/>
              </w:rPr>
            </w:pPr>
            <w:r>
              <w:rPr>
                <w:rFonts w:hint="eastAsia" w:ascii="黑体" w:hAnsi="黑体" w:eastAsia="黑体"/>
                <w:szCs w:val="21"/>
              </w:rPr>
              <w:t>二氧化硫</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1次/半年</w:t>
            </w:r>
          </w:p>
        </w:tc>
        <w:tc>
          <w:tcPr>
            <w:tcW w:w="992" w:type="dxa"/>
            <w:shd w:val="clear" w:color="auto" w:fill="auto"/>
          </w:tcPr>
          <w:p>
            <w:pPr>
              <w:jc w:val="center"/>
              <w:rPr>
                <w:rFonts w:ascii="黑体" w:hAnsi="黑体" w:eastAsia="黑体"/>
                <w:szCs w:val="21"/>
              </w:rPr>
            </w:pP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62</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氮氧化物</w:t>
            </w:r>
          </w:p>
        </w:tc>
        <w:tc>
          <w:tcPr>
            <w:tcW w:w="1134" w:type="dxa"/>
            <w:vMerge w:val="restart"/>
            <w:shd w:val="clear" w:color="auto" w:fill="auto"/>
          </w:tcPr>
          <w:p>
            <w:pPr>
              <w:jc w:val="center"/>
              <w:rPr>
                <w:rFonts w:ascii="黑体" w:hAnsi="黑体" w:eastAsia="黑体"/>
                <w:szCs w:val="21"/>
              </w:rPr>
            </w:pPr>
          </w:p>
          <w:p>
            <w:pPr>
              <w:ind w:firstLine="210" w:firstLineChars="100"/>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63</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林格曼黑度</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618" w:type="dxa"/>
            <w:shd w:val="clear" w:color="auto" w:fill="auto"/>
          </w:tcPr>
          <w:p>
            <w:pPr>
              <w:jc w:val="center"/>
              <w:rPr>
                <w:rFonts w:ascii="黑体" w:hAnsi="黑体" w:eastAsia="黑体"/>
                <w:szCs w:val="21"/>
              </w:rPr>
            </w:pPr>
            <w:r>
              <w:rPr>
                <w:rFonts w:ascii="黑体" w:hAnsi="黑体" w:eastAsia="黑体"/>
                <w:szCs w:val="21"/>
              </w:rPr>
              <w:t>64</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低浓度颗粒物</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65</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DA012</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66</w:t>
            </w:r>
          </w:p>
        </w:tc>
        <w:tc>
          <w:tcPr>
            <w:tcW w:w="766" w:type="dxa"/>
            <w:vMerge w:val="continue"/>
            <w:shd w:val="clear" w:color="auto" w:fill="auto"/>
          </w:tcPr>
          <w:p>
            <w:pPr>
              <w:jc w:val="center"/>
              <w:rPr>
                <w:rFonts w:ascii="黑体" w:hAnsi="黑体" w:eastAsia="黑体"/>
                <w:szCs w:val="21"/>
              </w:rPr>
            </w:pPr>
          </w:p>
        </w:tc>
        <w:tc>
          <w:tcPr>
            <w:tcW w:w="851" w:type="dxa"/>
            <w:vMerge w:val="restart"/>
            <w:shd w:val="clear" w:color="auto" w:fill="auto"/>
          </w:tcPr>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r>
              <w:rPr>
                <w:rFonts w:ascii="黑体" w:hAnsi="黑体" w:eastAsia="黑体"/>
                <w:szCs w:val="21"/>
              </w:rPr>
              <w:t>DA013</w:t>
            </w:r>
          </w:p>
        </w:tc>
        <w:tc>
          <w:tcPr>
            <w:tcW w:w="2268" w:type="dxa"/>
            <w:shd w:val="clear" w:color="auto" w:fill="auto"/>
          </w:tcPr>
          <w:p>
            <w:pPr>
              <w:jc w:val="center"/>
              <w:rPr>
                <w:rFonts w:ascii="黑体" w:hAnsi="黑体" w:eastAsia="黑体"/>
                <w:szCs w:val="21"/>
              </w:rPr>
            </w:pPr>
            <w:r>
              <w:rPr>
                <w:rFonts w:hint="eastAsia" w:ascii="黑体" w:hAnsi="黑体" w:eastAsia="黑体"/>
                <w:szCs w:val="21"/>
              </w:rPr>
              <w:t>二氧化硫</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1次/半年</w:t>
            </w:r>
          </w:p>
        </w:tc>
        <w:tc>
          <w:tcPr>
            <w:tcW w:w="992" w:type="dxa"/>
            <w:shd w:val="clear" w:color="auto" w:fill="auto"/>
          </w:tcPr>
          <w:p>
            <w:pPr>
              <w:jc w:val="center"/>
              <w:rPr>
                <w:rFonts w:ascii="黑体" w:hAnsi="黑体" w:eastAsia="黑体"/>
                <w:szCs w:val="21"/>
              </w:rPr>
            </w:pP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67</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氮氧化物</w:t>
            </w:r>
          </w:p>
        </w:tc>
        <w:tc>
          <w:tcPr>
            <w:tcW w:w="1134" w:type="dxa"/>
            <w:vMerge w:val="restart"/>
            <w:shd w:val="clear" w:color="auto" w:fill="auto"/>
          </w:tcPr>
          <w:p>
            <w:pPr>
              <w:jc w:val="center"/>
              <w:rPr>
                <w:rFonts w:ascii="黑体" w:hAnsi="黑体" w:eastAsia="黑体"/>
                <w:szCs w:val="21"/>
              </w:rPr>
            </w:pPr>
          </w:p>
          <w:p>
            <w:pPr>
              <w:jc w:val="cente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618" w:type="dxa"/>
            <w:shd w:val="clear" w:color="auto" w:fill="auto"/>
          </w:tcPr>
          <w:p>
            <w:pPr>
              <w:jc w:val="center"/>
              <w:rPr>
                <w:rFonts w:ascii="黑体" w:hAnsi="黑体" w:eastAsia="黑体"/>
                <w:szCs w:val="21"/>
              </w:rPr>
            </w:pPr>
            <w:r>
              <w:rPr>
                <w:rFonts w:ascii="黑体" w:hAnsi="黑体" w:eastAsia="黑体"/>
                <w:szCs w:val="21"/>
              </w:rPr>
              <w:t>68</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林格曼黑度</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69</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低浓度颗粒物</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70</w:t>
            </w:r>
          </w:p>
        </w:tc>
        <w:tc>
          <w:tcPr>
            <w:tcW w:w="766" w:type="dxa"/>
            <w:vMerge w:val="continue"/>
            <w:shd w:val="clear" w:color="auto" w:fill="auto"/>
          </w:tcPr>
          <w:p>
            <w:pPr>
              <w:jc w:val="center"/>
              <w:rPr>
                <w:rFonts w:ascii="黑体" w:hAnsi="黑体" w:eastAsia="黑体"/>
                <w:szCs w:val="21"/>
              </w:rPr>
            </w:pPr>
          </w:p>
        </w:tc>
        <w:tc>
          <w:tcPr>
            <w:tcW w:w="851" w:type="dxa"/>
            <w:vMerge w:val="restart"/>
            <w:shd w:val="clear" w:color="auto" w:fill="auto"/>
          </w:tcPr>
          <w:p>
            <w:pPr>
              <w:jc w:val="center"/>
              <w:rPr>
                <w:rFonts w:ascii="黑体" w:hAnsi="黑体" w:eastAsia="黑体"/>
                <w:szCs w:val="21"/>
              </w:rPr>
            </w:pPr>
          </w:p>
          <w:p>
            <w:pPr>
              <w:jc w:val="center"/>
              <w:rPr>
                <w:rFonts w:ascii="黑体" w:hAnsi="黑体" w:eastAsia="黑体"/>
                <w:szCs w:val="21"/>
              </w:rPr>
            </w:pPr>
            <w:r>
              <w:rPr>
                <w:rFonts w:ascii="黑体" w:hAnsi="黑体" w:eastAsia="黑体"/>
                <w:szCs w:val="21"/>
              </w:rPr>
              <w:t>DA014</w:t>
            </w:r>
          </w:p>
        </w:tc>
        <w:tc>
          <w:tcPr>
            <w:tcW w:w="2268" w:type="dxa"/>
            <w:shd w:val="clear" w:color="auto" w:fill="auto"/>
          </w:tcPr>
          <w:p>
            <w:pPr>
              <w:jc w:val="center"/>
              <w:rPr>
                <w:rFonts w:ascii="黑体" w:hAnsi="黑体" w:eastAsia="黑体"/>
                <w:szCs w:val="21"/>
              </w:rPr>
            </w:pPr>
            <w:r>
              <w:rPr>
                <w:rFonts w:hint="eastAsia" w:ascii="黑体" w:hAnsi="黑体" w:eastAsia="黑体"/>
                <w:szCs w:val="21"/>
              </w:rPr>
              <w:t>二氧化硫</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1次/半年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71</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氮氧化物</w:t>
            </w:r>
          </w:p>
        </w:tc>
        <w:tc>
          <w:tcPr>
            <w:tcW w:w="1134" w:type="dxa"/>
            <w:vMerge w:val="restart"/>
            <w:shd w:val="clear" w:color="auto" w:fill="auto"/>
          </w:tcPr>
          <w:p>
            <w:pPr>
              <w:jc w:val="center"/>
              <w:rPr>
                <w:rFonts w:ascii="黑体" w:hAnsi="黑体" w:eastAsia="黑体"/>
                <w:szCs w:val="21"/>
              </w:rPr>
            </w:pPr>
          </w:p>
          <w:p>
            <w:pPr>
              <w:jc w:val="cente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618" w:type="dxa"/>
            <w:shd w:val="clear" w:color="auto" w:fill="auto"/>
          </w:tcPr>
          <w:p>
            <w:pPr>
              <w:jc w:val="center"/>
              <w:rPr>
                <w:rFonts w:ascii="黑体" w:hAnsi="黑体" w:eastAsia="黑体"/>
                <w:szCs w:val="21"/>
              </w:rPr>
            </w:pPr>
            <w:r>
              <w:rPr>
                <w:rFonts w:hint="eastAsia" w:ascii="黑体" w:hAnsi="黑体" w:eastAsia="黑体"/>
                <w:szCs w:val="21"/>
              </w:rPr>
              <w:t>7</w:t>
            </w:r>
            <w:r>
              <w:rPr>
                <w:rFonts w:ascii="黑体" w:hAnsi="黑体" w:eastAsia="黑体"/>
                <w:szCs w:val="21"/>
              </w:rPr>
              <w:t>2</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林格曼黑度</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ind w:firstLine="210" w:firstLineChars="100"/>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73</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低浓度颗粒物</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74</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DA015</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75</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DA016</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76</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DA017</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77</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DA018</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78</w:t>
            </w:r>
          </w:p>
        </w:tc>
        <w:tc>
          <w:tcPr>
            <w:tcW w:w="766" w:type="dxa"/>
            <w:vMerge w:val="continue"/>
            <w:shd w:val="clear" w:color="auto" w:fill="auto"/>
          </w:tcPr>
          <w:p>
            <w:pPr>
              <w:jc w:val="center"/>
              <w:rPr>
                <w:rFonts w:ascii="黑体" w:hAnsi="黑体" w:eastAsia="黑体"/>
                <w:szCs w:val="21"/>
              </w:rPr>
            </w:pPr>
          </w:p>
        </w:tc>
        <w:tc>
          <w:tcPr>
            <w:tcW w:w="851" w:type="dxa"/>
            <w:vMerge w:val="restart"/>
            <w:shd w:val="clear" w:color="auto" w:fill="auto"/>
          </w:tcPr>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r>
              <w:rPr>
                <w:rFonts w:ascii="黑体" w:hAnsi="黑体" w:eastAsia="黑体"/>
                <w:szCs w:val="21"/>
              </w:rPr>
              <w:t>DA019</w:t>
            </w:r>
          </w:p>
        </w:tc>
        <w:tc>
          <w:tcPr>
            <w:tcW w:w="2268" w:type="dxa"/>
            <w:shd w:val="clear" w:color="auto" w:fill="auto"/>
          </w:tcPr>
          <w:p>
            <w:pPr>
              <w:jc w:val="center"/>
              <w:rPr>
                <w:rFonts w:ascii="黑体" w:hAnsi="黑体" w:eastAsia="黑体"/>
                <w:szCs w:val="21"/>
              </w:rPr>
            </w:pPr>
            <w:r>
              <w:rPr>
                <w:rFonts w:hint="eastAsia" w:ascii="黑体" w:hAnsi="黑体" w:eastAsia="黑体"/>
                <w:szCs w:val="21"/>
              </w:rPr>
              <w:t>二氧化硫</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1次/半年</w:t>
            </w:r>
          </w:p>
        </w:tc>
        <w:tc>
          <w:tcPr>
            <w:tcW w:w="992" w:type="dxa"/>
            <w:shd w:val="clear" w:color="auto" w:fill="auto"/>
          </w:tcPr>
          <w:p>
            <w:pPr>
              <w:jc w:val="center"/>
              <w:rPr>
                <w:rFonts w:ascii="黑体" w:hAnsi="黑体" w:eastAsia="黑体"/>
                <w:szCs w:val="21"/>
              </w:rPr>
            </w:pP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79</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氮氧化物</w:t>
            </w:r>
          </w:p>
        </w:tc>
        <w:tc>
          <w:tcPr>
            <w:tcW w:w="1134" w:type="dxa"/>
            <w:vMerge w:val="restart"/>
            <w:shd w:val="clear" w:color="auto" w:fill="auto"/>
          </w:tcPr>
          <w:p>
            <w:pPr>
              <w:jc w:val="center"/>
              <w:rPr>
                <w:rFonts w:ascii="黑体" w:hAnsi="黑体" w:eastAsia="黑体"/>
                <w:szCs w:val="21"/>
              </w:rPr>
            </w:pPr>
          </w:p>
          <w:p>
            <w:pPr>
              <w:jc w:val="cente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618" w:type="dxa"/>
            <w:shd w:val="clear" w:color="auto" w:fill="auto"/>
          </w:tcPr>
          <w:p>
            <w:pPr>
              <w:jc w:val="center"/>
              <w:rPr>
                <w:rFonts w:ascii="黑体" w:hAnsi="黑体" w:eastAsia="黑体"/>
                <w:szCs w:val="21"/>
              </w:rPr>
            </w:pPr>
            <w:r>
              <w:rPr>
                <w:rFonts w:ascii="黑体" w:hAnsi="黑体" w:eastAsia="黑体"/>
                <w:szCs w:val="21"/>
              </w:rPr>
              <w:t>80</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林格曼黑度</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81</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低浓度颗粒物</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82</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DA020</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83</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DA021</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84</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DA022</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85</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DA023</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86</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DA024</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87</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DA025</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88</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DA026</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89</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DA027</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90</w:t>
            </w:r>
          </w:p>
        </w:tc>
        <w:tc>
          <w:tcPr>
            <w:tcW w:w="766" w:type="dxa"/>
            <w:vMerge w:val="continue"/>
            <w:shd w:val="clear" w:color="auto" w:fill="auto"/>
          </w:tcPr>
          <w:p>
            <w:pPr>
              <w:jc w:val="center"/>
              <w:rPr>
                <w:rFonts w:ascii="黑体" w:hAnsi="黑体" w:eastAsia="黑体"/>
                <w:szCs w:val="21"/>
              </w:rPr>
            </w:pPr>
          </w:p>
        </w:tc>
        <w:tc>
          <w:tcPr>
            <w:tcW w:w="851" w:type="dxa"/>
            <w:vMerge w:val="restart"/>
            <w:shd w:val="clear" w:color="auto" w:fill="auto"/>
          </w:tcPr>
          <w:p>
            <w:pPr>
              <w:jc w:val="center"/>
              <w:rPr>
                <w:rFonts w:ascii="黑体" w:hAnsi="黑体" w:eastAsia="黑体"/>
                <w:szCs w:val="21"/>
              </w:rPr>
            </w:pPr>
          </w:p>
          <w:p>
            <w:pPr>
              <w:jc w:val="center"/>
              <w:rPr>
                <w:rFonts w:ascii="黑体" w:hAnsi="黑体" w:eastAsia="黑体"/>
                <w:szCs w:val="21"/>
              </w:rPr>
            </w:pPr>
            <w:r>
              <w:rPr>
                <w:rFonts w:ascii="黑体" w:hAnsi="黑体" w:eastAsia="黑体"/>
                <w:szCs w:val="21"/>
              </w:rPr>
              <w:t>DA028</w:t>
            </w:r>
          </w:p>
        </w:tc>
        <w:tc>
          <w:tcPr>
            <w:tcW w:w="2268" w:type="dxa"/>
            <w:shd w:val="clear" w:color="auto" w:fill="auto"/>
          </w:tcPr>
          <w:p>
            <w:pPr>
              <w:jc w:val="center"/>
              <w:rPr>
                <w:rFonts w:ascii="黑体" w:hAnsi="黑体" w:eastAsia="黑体"/>
                <w:szCs w:val="21"/>
              </w:rPr>
            </w:pPr>
            <w:r>
              <w:rPr>
                <w:rFonts w:hint="eastAsia" w:ascii="黑体" w:hAnsi="黑体" w:eastAsia="黑体"/>
                <w:szCs w:val="21"/>
              </w:rPr>
              <w:t>二氧化硫</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1次/半年</w:t>
            </w:r>
          </w:p>
        </w:tc>
        <w:tc>
          <w:tcPr>
            <w:tcW w:w="992" w:type="dxa"/>
            <w:shd w:val="clear" w:color="auto" w:fill="auto"/>
          </w:tcPr>
          <w:p>
            <w:pPr>
              <w:jc w:val="center"/>
              <w:rPr>
                <w:rFonts w:ascii="黑体" w:hAnsi="黑体" w:eastAsia="黑体"/>
                <w:szCs w:val="21"/>
              </w:rPr>
            </w:pP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91</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氮氧化物</w:t>
            </w:r>
          </w:p>
        </w:tc>
        <w:tc>
          <w:tcPr>
            <w:tcW w:w="1134" w:type="dxa"/>
            <w:vMerge w:val="restart"/>
            <w:shd w:val="clear" w:color="auto" w:fill="auto"/>
          </w:tcPr>
          <w:p>
            <w:pPr>
              <w:rPr>
                <w:rFonts w:ascii="黑体" w:hAnsi="黑体" w:eastAsia="黑体"/>
                <w:szCs w:val="21"/>
              </w:rPr>
            </w:pPr>
          </w:p>
          <w:p>
            <w:pPr>
              <w:jc w:val="cente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92</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林格曼黑度</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93</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低浓度颗粒物</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94</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DA029</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95</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DA030</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96</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DA031</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97</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DA032</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98</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DA033</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99</w:t>
            </w:r>
          </w:p>
        </w:tc>
        <w:tc>
          <w:tcPr>
            <w:tcW w:w="766" w:type="dxa"/>
            <w:vMerge w:val="continue"/>
            <w:shd w:val="clear" w:color="auto" w:fill="auto"/>
          </w:tcPr>
          <w:p>
            <w:pPr>
              <w:jc w:val="center"/>
              <w:rPr>
                <w:rFonts w:ascii="黑体" w:hAnsi="黑体" w:eastAsia="黑体"/>
                <w:szCs w:val="21"/>
              </w:rPr>
            </w:pPr>
          </w:p>
        </w:tc>
        <w:tc>
          <w:tcPr>
            <w:tcW w:w="851" w:type="dxa"/>
            <w:vMerge w:val="restart"/>
            <w:shd w:val="clear" w:color="auto" w:fill="auto"/>
          </w:tcPr>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r>
              <w:rPr>
                <w:rFonts w:ascii="黑体" w:hAnsi="黑体" w:eastAsia="黑体"/>
                <w:szCs w:val="21"/>
              </w:rPr>
              <w:t>DA034</w:t>
            </w:r>
          </w:p>
        </w:tc>
        <w:tc>
          <w:tcPr>
            <w:tcW w:w="2268" w:type="dxa"/>
            <w:shd w:val="clear" w:color="auto" w:fill="auto"/>
          </w:tcPr>
          <w:p>
            <w:pPr>
              <w:jc w:val="center"/>
              <w:rPr>
                <w:rFonts w:ascii="黑体" w:hAnsi="黑体" w:eastAsia="黑体"/>
                <w:szCs w:val="21"/>
              </w:rPr>
            </w:pPr>
            <w:r>
              <w:rPr>
                <w:rFonts w:hint="eastAsia" w:ascii="黑体" w:hAnsi="黑体" w:eastAsia="黑体"/>
                <w:szCs w:val="21"/>
              </w:rPr>
              <w:t>二氧化硫</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1次/半年</w:t>
            </w:r>
          </w:p>
        </w:tc>
        <w:tc>
          <w:tcPr>
            <w:tcW w:w="992" w:type="dxa"/>
            <w:shd w:val="clear" w:color="auto" w:fill="auto"/>
          </w:tcPr>
          <w:p>
            <w:pPr>
              <w:jc w:val="center"/>
              <w:rPr>
                <w:rFonts w:ascii="黑体" w:hAnsi="黑体" w:eastAsia="黑体"/>
                <w:szCs w:val="21"/>
              </w:rPr>
            </w:pP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100</w:t>
            </w:r>
          </w:p>
        </w:tc>
        <w:tc>
          <w:tcPr>
            <w:tcW w:w="766" w:type="dxa"/>
            <w:vMerge w:val="restart"/>
            <w:shd w:val="clear" w:color="auto" w:fill="auto"/>
          </w:tcPr>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rPr>
                <w:rFonts w:ascii="黑体" w:hAnsi="黑体" w:eastAsia="黑体"/>
                <w:szCs w:val="21"/>
              </w:rPr>
            </w:pPr>
            <w:r>
              <w:rPr>
                <w:rFonts w:hint="eastAsia" w:ascii="黑体" w:hAnsi="黑体" w:eastAsia="黑体"/>
                <w:szCs w:val="21"/>
              </w:rPr>
              <w:t>废气检测</w:t>
            </w: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氮氧化物</w:t>
            </w:r>
          </w:p>
        </w:tc>
        <w:tc>
          <w:tcPr>
            <w:tcW w:w="1134" w:type="dxa"/>
            <w:vMerge w:val="restart"/>
            <w:shd w:val="clear" w:color="auto" w:fill="auto"/>
          </w:tcPr>
          <w:p>
            <w:pPr>
              <w:rPr>
                <w:rFonts w:ascii="黑体" w:hAnsi="黑体" w:eastAsia="黑体"/>
                <w:szCs w:val="21"/>
              </w:rPr>
            </w:pPr>
          </w:p>
          <w:p>
            <w:pPr>
              <w:jc w:val="cente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101</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非甲烷总烃</w:t>
            </w:r>
          </w:p>
        </w:tc>
        <w:tc>
          <w:tcPr>
            <w:tcW w:w="1134" w:type="dxa"/>
            <w:vMerge w:val="continue"/>
            <w:shd w:val="clear" w:color="auto" w:fill="auto"/>
          </w:tcPr>
          <w:p>
            <w:pPr>
              <w:rPr>
                <w:rFonts w:ascii="黑体" w:hAnsi="黑体" w:eastAsia="黑体"/>
                <w:szCs w:val="21"/>
              </w:rPr>
            </w:pP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102</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林格曼黑度</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103</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低浓度颗粒物</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104</w:t>
            </w:r>
          </w:p>
        </w:tc>
        <w:tc>
          <w:tcPr>
            <w:tcW w:w="766" w:type="dxa"/>
            <w:vMerge w:val="continue"/>
            <w:shd w:val="clear" w:color="auto" w:fill="auto"/>
          </w:tcPr>
          <w:p>
            <w:pPr>
              <w:jc w:val="center"/>
              <w:rPr>
                <w:rFonts w:ascii="黑体" w:hAnsi="黑体" w:eastAsia="黑体"/>
                <w:szCs w:val="21"/>
              </w:rPr>
            </w:pPr>
          </w:p>
        </w:tc>
        <w:tc>
          <w:tcPr>
            <w:tcW w:w="851" w:type="dxa"/>
            <w:vMerge w:val="restart"/>
            <w:shd w:val="clear" w:color="auto" w:fill="auto"/>
          </w:tcPr>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r>
              <w:rPr>
                <w:rFonts w:ascii="黑体" w:hAnsi="黑体" w:eastAsia="黑体"/>
                <w:szCs w:val="21"/>
              </w:rPr>
              <w:t>DA035</w:t>
            </w:r>
          </w:p>
        </w:tc>
        <w:tc>
          <w:tcPr>
            <w:tcW w:w="2268" w:type="dxa"/>
            <w:shd w:val="clear" w:color="auto" w:fill="auto"/>
          </w:tcPr>
          <w:p>
            <w:pPr>
              <w:jc w:val="center"/>
              <w:rPr>
                <w:rFonts w:ascii="黑体" w:hAnsi="黑体" w:eastAsia="黑体"/>
                <w:szCs w:val="21"/>
              </w:rPr>
            </w:pPr>
            <w:r>
              <w:rPr>
                <w:rFonts w:hint="eastAsia" w:ascii="黑体" w:hAnsi="黑体" w:eastAsia="黑体"/>
                <w:szCs w:val="21"/>
              </w:rPr>
              <w:t>二氧化硫</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1次/半年</w:t>
            </w:r>
          </w:p>
        </w:tc>
        <w:tc>
          <w:tcPr>
            <w:tcW w:w="992" w:type="dxa"/>
            <w:shd w:val="clear" w:color="auto" w:fill="auto"/>
          </w:tcPr>
          <w:p>
            <w:pPr>
              <w:jc w:val="center"/>
              <w:rPr>
                <w:rFonts w:ascii="黑体" w:hAnsi="黑体" w:eastAsia="黑体"/>
                <w:szCs w:val="21"/>
              </w:rPr>
            </w:pP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105</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氮氧化物</w:t>
            </w:r>
          </w:p>
        </w:tc>
        <w:tc>
          <w:tcPr>
            <w:tcW w:w="1134" w:type="dxa"/>
            <w:vMerge w:val="restart"/>
            <w:shd w:val="clear" w:color="auto" w:fill="auto"/>
          </w:tcPr>
          <w:p>
            <w:pPr>
              <w:rPr>
                <w:rFonts w:ascii="黑体" w:hAnsi="黑体" w:eastAsia="黑体"/>
                <w:szCs w:val="21"/>
              </w:rPr>
            </w:pPr>
          </w:p>
          <w:p>
            <w:pPr>
              <w:jc w:val="cente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06</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非甲烷总烃</w:t>
            </w:r>
          </w:p>
        </w:tc>
        <w:tc>
          <w:tcPr>
            <w:tcW w:w="1134" w:type="dxa"/>
            <w:vMerge w:val="continue"/>
            <w:shd w:val="clear" w:color="auto" w:fill="auto"/>
          </w:tcPr>
          <w:p>
            <w:pPr>
              <w:rPr>
                <w:rFonts w:ascii="黑体" w:hAnsi="黑体" w:eastAsia="黑体"/>
                <w:szCs w:val="21"/>
              </w:rPr>
            </w:pP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107</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林格曼黑度</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108</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低浓度颗粒物</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109</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DA036</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110</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DA037</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111</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DA038</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112</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DA039</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113</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DA040</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114</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DA041</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15</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DA042</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16</w:t>
            </w:r>
          </w:p>
        </w:tc>
        <w:tc>
          <w:tcPr>
            <w:tcW w:w="766" w:type="dxa"/>
            <w:vMerge w:val="continue"/>
            <w:shd w:val="clear" w:color="auto" w:fill="auto"/>
          </w:tcPr>
          <w:p>
            <w:pPr>
              <w:jc w:val="center"/>
              <w:rPr>
                <w:rFonts w:ascii="黑体" w:hAnsi="黑体" w:eastAsia="黑体"/>
                <w:szCs w:val="21"/>
              </w:rPr>
            </w:pPr>
          </w:p>
        </w:tc>
        <w:tc>
          <w:tcPr>
            <w:tcW w:w="851" w:type="dxa"/>
            <w:vMerge w:val="restart"/>
            <w:shd w:val="clear" w:color="auto" w:fill="auto"/>
          </w:tcPr>
          <w:p>
            <w:pPr>
              <w:jc w:val="center"/>
              <w:rPr>
                <w:rFonts w:ascii="黑体" w:hAnsi="黑体" w:eastAsia="黑体"/>
                <w:szCs w:val="21"/>
              </w:rPr>
            </w:pPr>
          </w:p>
          <w:p>
            <w:pPr>
              <w:jc w:val="center"/>
              <w:rPr>
                <w:rFonts w:ascii="黑体" w:hAnsi="黑体" w:eastAsia="黑体"/>
                <w:szCs w:val="21"/>
              </w:rPr>
            </w:pPr>
            <w:r>
              <w:rPr>
                <w:rFonts w:ascii="黑体" w:hAnsi="黑体" w:eastAsia="黑体"/>
                <w:szCs w:val="21"/>
              </w:rPr>
              <w:t>DA043</w:t>
            </w:r>
          </w:p>
        </w:tc>
        <w:tc>
          <w:tcPr>
            <w:tcW w:w="2268" w:type="dxa"/>
            <w:shd w:val="clear" w:color="auto" w:fill="auto"/>
          </w:tcPr>
          <w:p>
            <w:pPr>
              <w:jc w:val="center"/>
              <w:rPr>
                <w:rFonts w:ascii="黑体" w:hAnsi="黑体" w:eastAsia="黑体"/>
                <w:szCs w:val="21"/>
              </w:rPr>
            </w:pPr>
            <w:r>
              <w:rPr>
                <w:rFonts w:hint="eastAsia" w:ascii="黑体" w:hAnsi="黑体" w:eastAsia="黑体"/>
                <w:szCs w:val="21"/>
              </w:rPr>
              <w:t>甲醛</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17</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18</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非甲烷总烃</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1次/月</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r>
              <w:rPr>
                <w:rFonts w:ascii="黑体" w:hAnsi="黑体" w:eastAsia="黑体"/>
                <w:szCs w:val="21"/>
              </w:rPr>
              <w:t>6</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19</w:t>
            </w:r>
          </w:p>
        </w:tc>
        <w:tc>
          <w:tcPr>
            <w:tcW w:w="766" w:type="dxa"/>
            <w:vMerge w:val="continue"/>
            <w:shd w:val="clear" w:color="auto" w:fill="auto"/>
          </w:tcPr>
          <w:p>
            <w:pPr>
              <w:jc w:val="center"/>
              <w:rPr>
                <w:rFonts w:ascii="黑体" w:hAnsi="黑体" w:eastAsia="黑体"/>
                <w:szCs w:val="21"/>
              </w:rPr>
            </w:pPr>
          </w:p>
        </w:tc>
        <w:tc>
          <w:tcPr>
            <w:tcW w:w="851" w:type="dxa"/>
            <w:vMerge w:val="restart"/>
            <w:shd w:val="clear" w:color="auto" w:fill="auto"/>
          </w:tcPr>
          <w:p>
            <w:pPr>
              <w:rPr>
                <w:rFonts w:ascii="黑体" w:hAnsi="黑体" w:eastAsia="黑体"/>
                <w:szCs w:val="21"/>
              </w:rPr>
            </w:pPr>
          </w:p>
          <w:p>
            <w:pPr>
              <w:jc w:val="center"/>
              <w:rPr>
                <w:rFonts w:ascii="黑体" w:hAnsi="黑体" w:eastAsia="黑体"/>
                <w:szCs w:val="21"/>
              </w:rPr>
            </w:pPr>
            <w:r>
              <w:rPr>
                <w:rFonts w:ascii="黑体" w:hAnsi="黑体" w:eastAsia="黑体"/>
                <w:szCs w:val="21"/>
              </w:rPr>
              <w:t>DA044</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20</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甲醛</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21</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非甲烷总烃</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22</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DA045</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23</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DA046</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24</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DA047</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25</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DA048</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26</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DA049</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27</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DA050</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28</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DA051</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29</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DA052</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30</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DA053</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31</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ascii="黑体" w:hAnsi="黑体" w:eastAsia="黑体"/>
                <w:szCs w:val="21"/>
              </w:rPr>
              <w:t>DA054</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3</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132</w:t>
            </w:r>
          </w:p>
        </w:tc>
        <w:tc>
          <w:tcPr>
            <w:tcW w:w="766" w:type="dxa"/>
            <w:vMerge w:val="continue"/>
            <w:shd w:val="clear" w:color="auto" w:fill="auto"/>
          </w:tcPr>
          <w:p>
            <w:pPr>
              <w:jc w:val="center"/>
              <w:rPr>
                <w:rFonts w:ascii="黑体" w:hAnsi="黑体" w:eastAsia="黑体"/>
                <w:szCs w:val="21"/>
              </w:rPr>
            </w:pPr>
          </w:p>
        </w:tc>
        <w:tc>
          <w:tcPr>
            <w:tcW w:w="851" w:type="dxa"/>
            <w:vMerge w:val="restart"/>
            <w:shd w:val="clear" w:color="auto" w:fill="auto"/>
          </w:tcPr>
          <w:p>
            <w:pPr>
              <w:rPr>
                <w:rFonts w:ascii="黑体" w:hAnsi="黑体" w:eastAsia="黑体"/>
                <w:szCs w:val="21"/>
              </w:rPr>
            </w:pPr>
          </w:p>
          <w:p>
            <w:pPr>
              <w:rPr>
                <w:rFonts w:ascii="黑体" w:hAnsi="黑体" w:eastAsia="黑体"/>
                <w:szCs w:val="21"/>
              </w:rPr>
            </w:pPr>
          </w:p>
          <w:p>
            <w:pPr>
              <w:rPr>
                <w:rFonts w:ascii="黑体" w:hAnsi="黑体" w:eastAsia="黑体"/>
                <w:szCs w:val="21"/>
              </w:rPr>
            </w:pPr>
          </w:p>
          <w:p>
            <w:pPr>
              <w:rPr>
                <w:rFonts w:ascii="黑体" w:hAnsi="黑体" w:eastAsia="黑体"/>
                <w:szCs w:val="21"/>
              </w:rPr>
            </w:pPr>
            <w:r>
              <w:rPr>
                <w:rFonts w:hint="eastAsia" w:ascii="黑体" w:hAnsi="黑体" w:eastAsia="黑体"/>
                <w:szCs w:val="21"/>
              </w:rPr>
              <w:t>厂界无组织</w:t>
            </w:r>
          </w:p>
        </w:tc>
        <w:tc>
          <w:tcPr>
            <w:tcW w:w="2268" w:type="dxa"/>
            <w:shd w:val="clear" w:color="auto" w:fill="auto"/>
          </w:tcPr>
          <w:p>
            <w:pPr>
              <w:jc w:val="center"/>
              <w:rPr>
                <w:rFonts w:ascii="黑体" w:hAnsi="黑体" w:eastAsia="黑体"/>
                <w:szCs w:val="21"/>
              </w:rPr>
            </w:pPr>
            <w:r>
              <w:rPr>
                <w:rFonts w:hint="eastAsia" w:ascii="黑体" w:hAnsi="黑体" w:eastAsia="黑体"/>
                <w:szCs w:val="21"/>
              </w:rPr>
              <w:t>苯系物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1次/半年</w:t>
            </w:r>
          </w:p>
          <w:p>
            <w:pPr>
              <w:jc w:val="center"/>
              <w:rPr>
                <w:rFonts w:ascii="黑体" w:hAnsi="黑体" w:eastAsia="黑体"/>
                <w:szCs w:val="21"/>
              </w:rPr>
            </w:pPr>
            <w:r>
              <w:rPr>
                <w:rFonts w:hint="eastAsia" w:ascii="黑体" w:hAnsi="黑体" w:eastAsia="黑体"/>
                <w:szCs w:val="21"/>
              </w:rPr>
              <w:t>（厂界4个点）</w:t>
            </w:r>
          </w:p>
        </w:tc>
        <w:tc>
          <w:tcPr>
            <w:tcW w:w="992" w:type="dxa"/>
            <w:shd w:val="clear" w:color="auto" w:fill="auto"/>
          </w:tcPr>
          <w:p>
            <w:pPr>
              <w:jc w:val="center"/>
              <w:rPr>
                <w:rFonts w:ascii="黑体" w:hAnsi="黑体" w:eastAsia="黑体"/>
                <w:szCs w:val="21"/>
              </w:rPr>
            </w:pPr>
            <w:r>
              <w:rPr>
                <w:rFonts w:hint="eastAsia" w:ascii="黑体" w:hAnsi="黑体" w:eastAsia="黑体"/>
                <w:szCs w:val="21"/>
              </w:rPr>
              <w:t>12</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33</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乙酸乙酯</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1次/半年</w:t>
            </w:r>
          </w:p>
          <w:p>
            <w:pPr>
              <w:jc w:val="center"/>
              <w:rPr>
                <w:rFonts w:ascii="黑体" w:hAnsi="黑体" w:eastAsia="黑体"/>
                <w:szCs w:val="21"/>
              </w:rPr>
            </w:pPr>
            <w:r>
              <w:rPr>
                <w:rFonts w:hint="eastAsia" w:ascii="黑体" w:hAnsi="黑体" w:eastAsia="黑体"/>
                <w:szCs w:val="21"/>
              </w:rPr>
              <w:t>（厂界4个点）</w:t>
            </w:r>
          </w:p>
        </w:tc>
        <w:tc>
          <w:tcPr>
            <w:tcW w:w="992"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2</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34</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甲醛</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1次/半年</w:t>
            </w:r>
          </w:p>
          <w:p>
            <w:pPr>
              <w:jc w:val="center"/>
              <w:rPr>
                <w:rFonts w:ascii="黑体" w:hAnsi="黑体" w:eastAsia="黑体"/>
                <w:szCs w:val="21"/>
              </w:rPr>
            </w:pPr>
            <w:r>
              <w:rPr>
                <w:rFonts w:hint="eastAsia" w:ascii="黑体" w:hAnsi="黑体" w:eastAsia="黑体"/>
                <w:szCs w:val="21"/>
              </w:rPr>
              <w:t>（厂界4个点）</w:t>
            </w:r>
          </w:p>
        </w:tc>
        <w:tc>
          <w:tcPr>
            <w:tcW w:w="992" w:type="dxa"/>
            <w:shd w:val="clear" w:color="auto" w:fill="auto"/>
          </w:tcPr>
          <w:p>
            <w:pPr>
              <w:jc w:val="center"/>
              <w:rPr>
                <w:rFonts w:ascii="黑体" w:hAnsi="黑体" w:eastAsia="黑体"/>
                <w:szCs w:val="21"/>
              </w:rPr>
            </w:pPr>
            <w:r>
              <w:rPr>
                <w:rFonts w:ascii="黑体" w:hAnsi="黑体" w:eastAsia="黑体"/>
                <w:szCs w:val="21"/>
              </w:rPr>
              <w:t>1</w:t>
            </w:r>
            <w:r>
              <w:rPr>
                <w:rFonts w:hint="eastAsia" w:ascii="黑体" w:hAnsi="黑体" w:eastAsia="黑体"/>
                <w:szCs w:val="21"/>
              </w:rPr>
              <w:t>2</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135</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rPr>
                <w:rFonts w:ascii="黑体" w:hAnsi="黑体" w:eastAsia="黑体"/>
                <w:szCs w:val="21"/>
              </w:rPr>
            </w:pPr>
          </w:p>
        </w:tc>
        <w:tc>
          <w:tcPr>
            <w:tcW w:w="2268" w:type="dxa"/>
            <w:shd w:val="clear" w:color="auto" w:fill="auto"/>
          </w:tcPr>
          <w:p>
            <w:pPr>
              <w:ind w:firstLine="420" w:firstLineChars="200"/>
              <w:rPr>
                <w:rFonts w:ascii="黑体" w:hAnsi="黑体" w:eastAsia="黑体"/>
                <w:szCs w:val="21"/>
              </w:rPr>
            </w:pPr>
            <w:r>
              <w:rPr>
                <w:rFonts w:hint="eastAsia" w:ascii="黑体" w:hAnsi="黑体" w:eastAsia="黑体"/>
                <w:szCs w:val="21"/>
              </w:rPr>
              <w:t>非甲烷总烃</w:t>
            </w:r>
          </w:p>
        </w:tc>
        <w:tc>
          <w:tcPr>
            <w:tcW w:w="1134" w:type="dxa"/>
            <w:shd w:val="clear" w:color="auto" w:fill="auto"/>
          </w:tcPr>
          <w:p>
            <w:pPr>
              <w:rPr>
                <w:rFonts w:ascii="黑体" w:hAnsi="黑体" w:eastAsia="黑体"/>
                <w:szCs w:val="21"/>
              </w:rPr>
            </w:pPr>
            <w:r>
              <w:rPr>
                <w:rFonts w:hint="eastAsia" w:ascii="黑体" w:hAnsi="黑体" w:eastAsia="黑体"/>
                <w:szCs w:val="21"/>
              </w:rPr>
              <w:t>1次/半年</w:t>
            </w:r>
          </w:p>
          <w:p>
            <w:pPr>
              <w:rPr>
                <w:rFonts w:ascii="黑体" w:hAnsi="黑体" w:eastAsia="黑体"/>
                <w:szCs w:val="21"/>
              </w:rPr>
            </w:pPr>
            <w:r>
              <w:rPr>
                <w:rFonts w:hint="eastAsia" w:ascii="黑体" w:hAnsi="黑体" w:eastAsia="黑体"/>
                <w:szCs w:val="21"/>
              </w:rPr>
              <w:t>（厂界4个点）</w:t>
            </w:r>
          </w:p>
        </w:tc>
        <w:tc>
          <w:tcPr>
            <w:tcW w:w="992" w:type="dxa"/>
            <w:shd w:val="clear" w:color="auto" w:fill="auto"/>
          </w:tcPr>
          <w:p>
            <w:pPr>
              <w:jc w:val="center"/>
              <w:rPr>
                <w:rFonts w:ascii="黑体" w:hAnsi="黑体" w:eastAsia="黑体"/>
                <w:szCs w:val="21"/>
              </w:rPr>
            </w:pPr>
            <w:r>
              <w:rPr>
                <w:rFonts w:ascii="黑体" w:hAnsi="黑体" w:eastAsia="黑体"/>
                <w:szCs w:val="21"/>
              </w:rPr>
              <w:t>12</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136</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ind w:firstLine="630" w:firstLineChars="300"/>
              <w:rPr>
                <w:rFonts w:ascii="黑体" w:hAnsi="黑体" w:eastAsia="黑体"/>
                <w:szCs w:val="21"/>
              </w:rPr>
            </w:pPr>
          </w:p>
          <w:p>
            <w:pPr>
              <w:ind w:firstLine="630" w:firstLineChars="300"/>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1次/半年</w:t>
            </w:r>
          </w:p>
          <w:p>
            <w:pPr>
              <w:jc w:val="center"/>
              <w:rPr>
                <w:rFonts w:ascii="黑体" w:hAnsi="黑体" w:eastAsia="黑体"/>
                <w:szCs w:val="21"/>
              </w:rPr>
            </w:pPr>
            <w:r>
              <w:rPr>
                <w:rFonts w:hint="eastAsia" w:ascii="黑体" w:hAnsi="黑体" w:eastAsia="黑体"/>
                <w:szCs w:val="21"/>
              </w:rPr>
              <w:t>（厂界4个点）</w:t>
            </w:r>
          </w:p>
        </w:tc>
        <w:tc>
          <w:tcPr>
            <w:tcW w:w="992" w:type="dxa"/>
            <w:shd w:val="clear" w:color="auto" w:fill="auto"/>
          </w:tcPr>
          <w:p>
            <w:pPr>
              <w:jc w:val="center"/>
              <w:rPr>
                <w:rFonts w:ascii="黑体" w:hAnsi="黑体" w:eastAsia="黑体"/>
                <w:szCs w:val="21"/>
              </w:rPr>
            </w:pPr>
            <w:r>
              <w:rPr>
                <w:rFonts w:ascii="黑体" w:hAnsi="黑体" w:eastAsia="黑体"/>
                <w:szCs w:val="21"/>
              </w:rPr>
              <w:t>12</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137</w:t>
            </w:r>
          </w:p>
        </w:tc>
        <w:tc>
          <w:tcPr>
            <w:tcW w:w="766" w:type="dxa"/>
            <w:vMerge w:val="continue"/>
            <w:shd w:val="clear" w:color="auto" w:fill="auto"/>
          </w:tcPr>
          <w:p>
            <w:pPr>
              <w:jc w:val="center"/>
              <w:rPr>
                <w:rFonts w:ascii="黑体" w:hAnsi="黑体" w:eastAsia="黑体"/>
                <w:szCs w:val="21"/>
              </w:rPr>
            </w:pPr>
          </w:p>
        </w:tc>
        <w:tc>
          <w:tcPr>
            <w:tcW w:w="851" w:type="dxa"/>
            <w:shd w:val="clear" w:color="auto" w:fill="auto"/>
          </w:tcPr>
          <w:p>
            <w:pPr>
              <w:jc w:val="center"/>
              <w:rPr>
                <w:rFonts w:ascii="黑体" w:hAnsi="黑体" w:eastAsia="黑体"/>
                <w:szCs w:val="21"/>
              </w:rPr>
            </w:pPr>
            <w:r>
              <w:rPr>
                <w:rFonts w:hint="eastAsia" w:ascii="黑体" w:hAnsi="黑体" w:eastAsia="黑体"/>
                <w:szCs w:val="21"/>
              </w:rPr>
              <w:t>除尘</w:t>
            </w:r>
          </w:p>
          <w:p>
            <w:pPr>
              <w:jc w:val="center"/>
              <w:rPr>
                <w:rFonts w:ascii="黑体" w:hAnsi="黑体" w:eastAsia="黑体"/>
                <w:szCs w:val="21"/>
              </w:rPr>
            </w:pPr>
            <w:r>
              <w:rPr>
                <w:rFonts w:hint="eastAsia" w:ascii="黑体" w:hAnsi="黑体" w:eastAsia="黑体"/>
                <w:szCs w:val="21"/>
              </w:rPr>
              <w:t>设备</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颗粒物</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180</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38</w:t>
            </w:r>
          </w:p>
        </w:tc>
        <w:tc>
          <w:tcPr>
            <w:tcW w:w="766" w:type="dxa"/>
            <w:vMerge w:val="restart"/>
            <w:shd w:val="clear" w:color="auto" w:fill="auto"/>
          </w:tcPr>
          <w:p>
            <w:pPr>
              <w:jc w:val="center"/>
              <w:rPr>
                <w:rFonts w:ascii="黑体" w:hAnsi="黑体" w:eastAsia="黑体"/>
                <w:szCs w:val="21"/>
              </w:rPr>
            </w:pPr>
            <w:r>
              <w:rPr>
                <w:rFonts w:hint="eastAsia" w:ascii="黑体" w:hAnsi="黑体" w:eastAsia="黑体"/>
                <w:szCs w:val="21"/>
              </w:rPr>
              <w:t>废气比对</w:t>
            </w:r>
          </w:p>
        </w:tc>
        <w:tc>
          <w:tcPr>
            <w:tcW w:w="851" w:type="dxa"/>
            <w:vMerge w:val="restart"/>
            <w:shd w:val="clear" w:color="auto" w:fill="auto"/>
          </w:tcPr>
          <w:p>
            <w:pPr>
              <w:jc w:val="center"/>
              <w:rPr>
                <w:rFonts w:ascii="黑体" w:hAnsi="黑体" w:eastAsia="黑体"/>
                <w:szCs w:val="21"/>
              </w:rPr>
            </w:pPr>
          </w:p>
          <w:p>
            <w:pPr>
              <w:jc w:val="center"/>
              <w:rPr>
                <w:rFonts w:ascii="黑体" w:hAnsi="黑体" w:eastAsia="黑体"/>
                <w:szCs w:val="21"/>
              </w:rPr>
            </w:pPr>
            <w:r>
              <w:rPr>
                <w:rFonts w:hint="eastAsia" w:ascii="黑体" w:hAnsi="黑体" w:eastAsia="黑体"/>
                <w:szCs w:val="21"/>
              </w:rPr>
              <w:t>在线废气排放口</w:t>
            </w:r>
          </w:p>
        </w:tc>
        <w:tc>
          <w:tcPr>
            <w:tcW w:w="2268" w:type="dxa"/>
            <w:shd w:val="clear" w:color="auto" w:fill="auto"/>
          </w:tcPr>
          <w:p>
            <w:pPr>
              <w:jc w:val="center"/>
              <w:rPr>
                <w:rFonts w:ascii="黑体" w:hAnsi="黑体" w:eastAsia="黑体"/>
                <w:szCs w:val="21"/>
              </w:rPr>
            </w:pPr>
            <w:r>
              <w:rPr>
                <w:rFonts w:hint="eastAsia" w:ascii="黑体" w:hAnsi="黑体" w:eastAsia="黑体"/>
                <w:szCs w:val="21"/>
              </w:rPr>
              <w:t>非甲烷总烃</w:t>
            </w:r>
          </w:p>
        </w:tc>
        <w:tc>
          <w:tcPr>
            <w:tcW w:w="1134" w:type="dxa"/>
            <w:vMerge w:val="restart"/>
            <w:shd w:val="clear" w:color="auto" w:fill="auto"/>
          </w:tcPr>
          <w:p>
            <w:pPr>
              <w:jc w:val="center"/>
              <w:rPr>
                <w:rFonts w:ascii="黑体" w:hAnsi="黑体" w:eastAsia="黑体"/>
                <w:szCs w:val="21"/>
              </w:rPr>
            </w:pPr>
            <w:r>
              <w:rPr>
                <w:rFonts w:hint="eastAsia" w:ascii="黑体" w:hAnsi="黑体" w:eastAsia="黑体"/>
                <w:szCs w:val="21"/>
              </w:rPr>
              <w:t>1次/季</w:t>
            </w:r>
          </w:p>
        </w:tc>
        <w:tc>
          <w:tcPr>
            <w:tcW w:w="992" w:type="dxa"/>
            <w:shd w:val="clear" w:color="auto" w:fill="auto"/>
          </w:tcPr>
          <w:p>
            <w:pPr>
              <w:jc w:val="center"/>
              <w:rPr>
                <w:rFonts w:ascii="黑体" w:hAnsi="黑体" w:eastAsia="黑体"/>
                <w:szCs w:val="21"/>
              </w:rPr>
            </w:pPr>
            <w:r>
              <w:rPr>
                <w:rFonts w:hint="eastAsia" w:ascii="黑体" w:hAnsi="黑体" w:eastAsia="黑体"/>
                <w:szCs w:val="21"/>
              </w:rPr>
              <w:t>7</w:t>
            </w:r>
            <w:r>
              <w:rPr>
                <w:rFonts w:ascii="黑体" w:hAnsi="黑体" w:eastAsia="黑体"/>
                <w:szCs w:val="21"/>
              </w:rPr>
              <w:t>2</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39</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总烃</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hint="eastAsia" w:ascii="黑体" w:hAnsi="黑体" w:eastAsia="黑体"/>
                <w:szCs w:val="21"/>
              </w:rPr>
              <w:t>7</w:t>
            </w:r>
            <w:r>
              <w:rPr>
                <w:rFonts w:ascii="黑体" w:hAnsi="黑体" w:eastAsia="黑体"/>
                <w:szCs w:val="21"/>
              </w:rPr>
              <w:t>2</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40</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流速</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hint="eastAsia" w:ascii="黑体" w:hAnsi="黑体" w:eastAsia="黑体"/>
                <w:szCs w:val="21"/>
              </w:rPr>
              <w:t>4</w:t>
            </w:r>
            <w:r>
              <w:rPr>
                <w:rFonts w:ascii="黑体" w:hAnsi="黑体" w:eastAsia="黑体"/>
                <w:szCs w:val="21"/>
              </w:rPr>
              <w:t>0</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41</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温度</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hint="eastAsia" w:ascii="黑体" w:hAnsi="黑体" w:eastAsia="黑体"/>
                <w:szCs w:val="21"/>
              </w:rPr>
              <w:t>4</w:t>
            </w:r>
            <w:r>
              <w:rPr>
                <w:rFonts w:ascii="黑体" w:hAnsi="黑体" w:eastAsia="黑体"/>
                <w:szCs w:val="21"/>
              </w:rPr>
              <w:t>0</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42</w:t>
            </w:r>
          </w:p>
        </w:tc>
        <w:tc>
          <w:tcPr>
            <w:tcW w:w="766" w:type="dxa"/>
            <w:vMerge w:val="continue"/>
            <w:shd w:val="clear" w:color="auto" w:fill="auto"/>
          </w:tcPr>
          <w:p>
            <w:pPr>
              <w:jc w:val="center"/>
              <w:rPr>
                <w:rFonts w:ascii="黑体" w:hAnsi="黑体" w:eastAsia="黑体"/>
                <w:szCs w:val="21"/>
              </w:rPr>
            </w:pPr>
          </w:p>
        </w:tc>
        <w:tc>
          <w:tcPr>
            <w:tcW w:w="851" w:type="dxa"/>
            <w:vMerge w:val="continue"/>
            <w:shd w:val="clear" w:color="auto" w:fill="auto"/>
          </w:tcPr>
          <w:p>
            <w:pPr>
              <w:jc w:val="center"/>
              <w:rPr>
                <w:rFonts w:ascii="黑体" w:hAnsi="黑体" w:eastAsia="黑体"/>
                <w:szCs w:val="21"/>
              </w:rPr>
            </w:pPr>
          </w:p>
        </w:tc>
        <w:tc>
          <w:tcPr>
            <w:tcW w:w="2268" w:type="dxa"/>
            <w:shd w:val="clear" w:color="auto" w:fill="auto"/>
          </w:tcPr>
          <w:p>
            <w:pPr>
              <w:jc w:val="center"/>
              <w:rPr>
                <w:rFonts w:ascii="黑体" w:hAnsi="黑体" w:eastAsia="黑体"/>
                <w:szCs w:val="21"/>
              </w:rPr>
            </w:pPr>
            <w:r>
              <w:rPr>
                <w:rFonts w:hint="eastAsia" w:ascii="黑体" w:hAnsi="黑体" w:eastAsia="黑体"/>
                <w:szCs w:val="21"/>
              </w:rPr>
              <w:t>湿度</w:t>
            </w:r>
          </w:p>
        </w:tc>
        <w:tc>
          <w:tcPr>
            <w:tcW w:w="1134" w:type="dxa"/>
            <w:vMerge w:val="continue"/>
            <w:shd w:val="clear" w:color="auto" w:fill="auto"/>
          </w:tcPr>
          <w:p>
            <w:pPr>
              <w:jc w:val="center"/>
              <w:rPr>
                <w:rFonts w:ascii="黑体" w:hAnsi="黑体" w:eastAsia="黑体"/>
                <w:szCs w:val="21"/>
              </w:rPr>
            </w:pPr>
          </w:p>
        </w:tc>
        <w:tc>
          <w:tcPr>
            <w:tcW w:w="992" w:type="dxa"/>
            <w:shd w:val="clear" w:color="auto" w:fill="auto"/>
          </w:tcPr>
          <w:p>
            <w:pPr>
              <w:jc w:val="center"/>
              <w:rPr>
                <w:rFonts w:ascii="黑体" w:hAnsi="黑体" w:eastAsia="黑体"/>
                <w:szCs w:val="21"/>
              </w:rPr>
            </w:pPr>
            <w:r>
              <w:rPr>
                <w:rFonts w:ascii="黑体" w:hAnsi="黑体" w:eastAsia="黑体"/>
                <w:szCs w:val="21"/>
              </w:rPr>
              <w:t>40</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143</w:t>
            </w:r>
          </w:p>
        </w:tc>
        <w:tc>
          <w:tcPr>
            <w:tcW w:w="766" w:type="dxa"/>
            <w:vMerge w:val="restart"/>
            <w:shd w:val="clear" w:color="auto" w:fill="auto"/>
          </w:tcPr>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r>
              <w:rPr>
                <w:rFonts w:hint="eastAsia" w:ascii="黑体" w:hAnsi="黑体" w:eastAsia="黑体"/>
                <w:szCs w:val="21"/>
              </w:rPr>
              <w:t>噪声检测</w:t>
            </w:r>
          </w:p>
        </w:tc>
        <w:tc>
          <w:tcPr>
            <w:tcW w:w="851" w:type="dxa"/>
            <w:shd w:val="clear" w:color="auto" w:fill="auto"/>
          </w:tcPr>
          <w:p>
            <w:pPr>
              <w:jc w:val="center"/>
              <w:rPr>
                <w:rFonts w:ascii="黑体" w:hAnsi="黑体" w:eastAsia="黑体"/>
                <w:szCs w:val="21"/>
              </w:rPr>
            </w:pPr>
            <w:r>
              <w:rPr>
                <w:rFonts w:hint="eastAsia" w:ascii="黑体" w:hAnsi="黑体" w:eastAsia="黑体"/>
                <w:szCs w:val="21"/>
              </w:rPr>
              <w:t>噪声监测点</w:t>
            </w:r>
            <w:r>
              <w:rPr>
                <w:rFonts w:ascii="黑体" w:hAnsi="黑体" w:eastAsia="黑体"/>
                <w:szCs w:val="21"/>
              </w:rPr>
              <w:t>1</w:t>
            </w:r>
          </w:p>
        </w:tc>
        <w:tc>
          <w:tcPr>
            <w:tcW w:w="2268" w:type="dxa"/>
            <w:shd w:val="clear" w:color="auto" w:fill="auto"/>
          </w:tcPr>
          <w:p>
            <w:pPr>
              <w:jc w:val="center"/>
              <w:rPr>
                <w:rFonts w:ascii="黑体" w:hAnsi="黑体" w:eastAsia="黑体"/>
                <w:szCs w:val="21"/>
              </w:rPr>
            </w:pPr>
            <w:r>
              <w:rPr>
                <w:rFonts w:hint="eastAsia" w:ascii="黑体" w:hAnsi="黑体" w:eastAsia="黑体"/>
                <w:szCs w:val="21"/>
              </w:rPr>
              <w:t>工业企业厂界环境噪声</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1次/季</w:t>
            </w:r>
          </w:p>
        </w:tc>
        <w:tc>
          <w:tcPr>
            <w:tcW w:w="992" w:type="dxa"/>
            <w:shd w:val="clear" w:color="auto" w:fill="auto"/>
          </w:tcPr>
          <w:p>
            <w:pPr>
              <w:jc w:val="center"/>
              <w:rPr>
                <w:rFonts w:ascii="黑体" w:hAnsi="黑体" w:eastAsia="黑体"/>
                <w:szCs w:val="21"/>
              </w:rPr>
            </w:pPr>
            <w:r>
              <w:rPr>
                <w:rFonts w:ascii="黑体" w:hAnsi="黑体" w:eastAsia="黑体"/>
                <w:szCs w:val="21"/>
              </w:rPr>
              <w:t>4</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144</w:t>
            </w:r>
          </w:p>
        </w:tc>
        <w:tc>
          <w:tcPr>
            <w:tcW w:w="766" w:type="dxa"/>
            <w:vMerge w:val="continue"/>
            <w:shd w:val="clear" w:color="auto" w:fill="auto"/>
          </w:tcPr>
          <w:p>
            <w:pPr>
              <w:rPr>
                <w:rFonts w:ascii="黑体" w:hAnsi="黑体" w:eastAsia="黑体"/>
                <w:szCs w:val="21"/>
              </w:rPr>
            </w:pPr>
          </w:p>
        </w:tc>
        <w:tc>
          <w:tcPr>
            <w:tcW w:w="851" w:type="dxa"/>
            <w:shd w:val="clear" w:color="auto" w:fill="auto"/>
          </w:tcPr>
          <w:p>
            <w:pPr>
              <w:jc w:val="center"/>
              <w:rPr>
                <w:rFonts w:ascii="黑体" w:hAnsi="黑体" w:eastAsia="黑体"/>
                <w:szCs w:val="21"/>
              </w:rPr>
            </w:pPr>
            <w:r>
              <w:rPr>
                <w:rFonts w:hint="eastAsia" w:ascii="黑体" w:hAnsi="黑体" w:eastAsia="黑体"/>
                <w:szCs w:val="21"/>
              </w:rPr>
              <w:t>噪声监测点</w:t>
            </w:r>
            <w:r>
              <w:rPr>
                <w:rFonts w:ascii="黑体" w:hAnsi="黑体" w:eastAsia="黑体"/>
                <w:szCs w:val="21"/>
              </w:rPr>
              <w:t>2</w:t>
            </w:r>
          </w:p>
        </w:tc>
        <w:tc>
          <w:tcPr>
            <w:tcW w:w="2268" w:type="dxa"/>
            <w:shd w:val="clear" w:color="auto" w:fill="auto"/>
          </w:tcPr>
          <w:p>
            <w:pPr>
              <w:jc w:val="center"/>
              <w:rPr>
                <w:rFonts w:ascii="黑体" w:hAnsi="黑体" w:eastAsia="黑体"/>
                <w:szCs w:val="21"/>
              </w:rPr>
            </w:pPr>
            <w:r>
              <w:rPr>
                <w:rFonts w:hint="eastAsia" w:ascii="黑体" w:hAnsi="黑体" w:eastAsia="黑体"/>
                <w:szCs w:val="21"/>
              </w:rPr>
              <w:t>工业企业厂界环境噪声</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1次/季</w:t>
            </w:r>
          </w:p>
        </w:tc>
        <w:tc>
          <w:tcPr>
            <w:tcW w:w="992" w:type="dxa"/>
            <w:shd w:val="clear" w:color="auto" w:fill="auto"/>
          </w:tcPr>
          <w:p>
            <w:pPr>
              <w:jc w:val="center"/>
              <w:rPr>
                <w:rFonts w:ascii="黑体" w:hAnsi="黑体" w:eastAsia="黑体"/>
                <w:szCs w:val="21"/>
              </w:rPr>
            </w:pPr>
            <w:r>
              <w:rPr>
                <w:rFonts w:ascii="黑体" w:hAnsi="黑体" w:eastAsia="黑体"/>
                <w:szCs w:val="21"/>
              </w:rPr>
              <w:t>4</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145</w:t>
            </w:r>
          </w:p>
        </w:tc>
        <w:tc>
          <w:tcPr>
            <w:tcW w:w="766" w:type="dxa"/>
            <w:vMerge w:val="continue"/>
            <w:shd w:val="clear" w:color="auto" w:fill="auto"/>
          </w:tcPr>
          <w:p>
            <w:pPr>
              <w:rPr>
                <w:rFonts w:ascii="黑体" w:hAnsi="黑体" w:eastAsia="黑体"/>
                <w:szCs w:val="21"/>
              </w:rPr>
            </w:pPr>
          </w:p>
        </w:tc>
        <w:tc>
          <w:tcPr>
            <w:tcW w:w="851" w:type="dxa"/>
            <w:shd w:val="clear" w:color="auto" w:fill="auto"/>
          </w:tcPr>
          <w:p>
            <w:pPr>
              <w:jc w:val="center"/>
              <w:rPr>
                <w:rFonts w:ascii="黑体" w:hAnsi="黑体" w:eastAsia="黑体"/>
                <w:szCs w:val="21"/>
              </w:rPr>
            </w:pPr>
            <w:r>
              <w:rPr>
                <w:rFonts w:hint="eastAsia" w:ascii="黑体" w:hAnsi="黑体" w:eastAsia="黑体"/>
                <w:szCs w:val="21"/>
              </w:rPr>
              <w:t>噪声监测点</w:t>
            </w:r>
            <w:r>
              <w:rPr>
                <w:rFonts w:ascii="黑体" w:hAnsi="黑体" w:eastAsia="黑体"/>
                <w:szCs w:val="21"/>
              </w:rPr>
              <w:t>3</w:t>
            </w:r>
          </w:p>
        </w:tc>
        <w:tc>
          <w:tcPr>
            <w:tcW w:w="2268" w:type="dxa"/>
            <w:shd w:val="clear" w:color="auto" w:fill="auto"/>
          </w:tcPr>
          <w:p>
            <w:pPr>
              <w:jc w:val="center"/>
              <w:rPr>
                <w:rFonts w:ascii="黑体" w:hAnsi="黑体" w:eastAsia="黑体"/>
                <w:szCs w:val="21"/>
              </w:rPr>
            </w:pPr>
            <w:r>
              <w:rPr>
                <w:rFonts w:hint="eastAsia" w:ascii="黑体" w:hAnsi="黑体" w:eastAsia="黑体"/>
                <w:szCs w:val="21"/>
              </w:rPr>
              <w:t>工业企业厂界环境噪声</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1次/季</w:t>
            </w:r>
          </w:p>
        </w:tc>
        <w:tc>
          <w:tcPr>
            <w:tcW w:w="992" w:type="dxa"/>
            <w:shd w:val="clear" w:color="auto" w:fill="auto"/>
          </w:tcPr>
          <w:p>
            <w:pPr>
              <w:jc w:val="center"/>
              <w:rPr>
                <w:rFonts w:ascii="黑体" w:hAnsi="黑体" w:eastAsia="黑体"/>
                <w:szCs w:val="21"/>
              </w:rPr>
            </w:pPr>
            <w:r>
              <w:rPr>
                <w:rFonts w:hint="eastAsia" w:ascii="黑体" w:hAnsi="黑体" w:eastAsia="黑体"/>
                <w:szCs w:val="21"/>
              </w:rPr>
              <w:t>4</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ascii="黑体" w:hAnsi="黑体" w:eastAsia="黑体"/>
                <w:szCs w:val="21"/>
              </w:rPr>
              <w:t>146</w:t>
            </w:r>
          </w:p>
        </w:tc>
        <w:tc>
          <w:tcPr>
            <w:tcW w:w="766" w:type="dxa"/>
            <w:vMerge w:val="continue"/>
            <w:shd w:val="clear" w:color="auto" w:fill="auto"/>
          </w:tcPr>
          <w:p>
            <w:pPr>
              <w:rPr>
                <w:rFonts w:ascii="黑体" w:hAnsi="黑体" w:eastAsia="黑体"/>
                <w:szCs w:val="21"/>
              </w:rPr>
            </w:pPr>
          </w:p>
        </w:tc>
        <w:tc>
          <w:tcPr>
            <w:tcW w:w="851" w:type="dxa"/>
            <w:shd w:val="clear" w:color="auto" w:fill="auto"/>
          </w:tcPr>
          <w:p>
            <w:pPr>
              <w:jc w:val="center"/>
              <w:rPr>
                <w:rFonts w:ascii="黑体" w:hAnsi="黑体" w:eastAsia="黑体"/>
                <w:szCs w:val="21"/>
              </w:rPr>
            </w:pPr>
            <w:r>
              <w:rPr>
                <w:rFonts w:hint="eastAsia" w:ascii="黑体" w:hAnsi="黑体" w:eastAsia="黑体"/>
                <w:szCs w:val="21"/>
              </w:rPr>
              <w:t>噪声监测点</w:t>
            </w:r>
            <w:r>
              <w:rPr>
                <w:rFonts w:ascii="黑体" w:hAnsi="黑体" w:eastAsia="黑体"/>
                <w:szCs w:val="21"/>
              </w:rPr>
              <w:t>4</w:t>
            </w:r>
          </w:p>
        </w:tc>
        <w:tc>
          <w:tcPr>
            <w:tcW w:w="2268" w:type="dxa"/>
            <w:shd w:val="clear" w:color="auto" w:fill="auto"/>
          </w:tcPr>
          <w:p>
            <w:pPr>
              <w:jc w:val="center"/>
              <w:rPr>
                <w:rFonts w:ascii="黑体" w:hAnsi="黑体" w:eastAsia="黑体"/>
                <w:szCs w:val="21"/>
              </w:rPr>
            </w:pPr>
            <w:r>
              <w:rPr>
                <w:rFonts w:hint="eastAsia" w:ascii="黑体" w:hAnsi="黑体" w:eastAsia="黑体"/>
                <w:szCs w:val="21"/>
              </w:rPr>
              <w:t>工业企业厂界环境噪声</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1次/季</w:t>
            </w:r>
          </w:p>
        </w:tc>
        <w:tc>
          <w:tcPr>
            <w:tcW w:w="992" w:type="dxa"/>
            <w:shd w:val="clear" w:color="auto" w:fill="auto"/>
          </w:tcPr>
          <w:p>
            <w:pPr>
              <w:jc w:val="center"/>
              <w:rPr>
                <w:rFonts w:ascii="黑体" w:hAnsi="黑体" w:eastAsia="黑体"/>
                <w:szCs w:val="21"/>
              </w:rPr>
            </w:pPr>
            <w:r>
              <w:rPr>
                <w:rFonts w:hint="eastAsia" w:ascii="黑体" w:hAnsi="黑体" w:eastAsia="黑体"/>
                <w:szCs w:val="21"/>
              </w:rPr>
              <w:t>4</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47</w:t>
            </w:r>
          </w:p>
        </w:tc>
        <w:tc>
          <w:tcPr>
            <w:tcW w:w="766" w:type="dxa"/>
            <w:vMerge w:val="restart"/>
            <w:shd w:val="clear" w:color="auto" w:fill="auto"/>
          </w:tcPr>
          <w:p>
            <w:pPr>
              <w:rPr>
                <w:rFonts w:ascii="黑体" w:hAnsi="黑体" w:eastAsia="黑体"/>
                <w:szCs w:val="21"/>
              </w:rPr>
            </w:pPr>
          </w:p>
          <w:p>
            <w:pPr>
              <w:rPr>
                <w:rFonts w:ascii="黑体" w:hAnsi="黑体" w:eastAsia="黑体"/>
                <w:szCs w:val="21"/>
              </w:rPr>
            </w:pPr>
          </w:p>
          <w:p>
            <w:pPr>
              <w:rPr>
                <w:rFonts w:ascii="黑体" w:hAnsi="黑体" w:eastAsia="黑体"/>
                <w:szCs w:val="21"/>
              </w:rPr>
            </w:pPr>
          </w:p>
          <w:p>
            <w:pPr>
              <w:rPr>
                <w:rFonts w:ascii="黑体" w:hAnsi="黑体" w:eastAsia="黑体"/>
                <w:szCs w:val="21"/>
              </w:rPr>
            </w:pPr>
          </w:p>
          <w:p>
            <w:pPr>
              <w:rPr>
                <w:rFonts w:ascii="黑体" w:hAnsi="黑体" w:eastAsia="黑体"/>
                <w:szCs w:val="21"/>
              </w:rPr>
            </w:pPr>
            <w:r>
              <w:rPr>
                <w:rFonts w:hint="eastAsia" w:ascii="黑体" w:hAnsi="黑体" w:eastAsia="黑体"/>
                <w:szCs w:val="21"/>
              </w:rPr>
              <w:t>夜间噪声检测</w:t>
            </w:r>
          </w:p>
        </w:tc>
        <w:tc>
          <w:tcPr>
            <w:tcW w:w="851" w:type="dxa"/>
            <w:shd w:val="clear" w:color="auto" w:fill="auto"/>
          </w:tcPr>
          <w:p>
            <w:pPr>
              <w:jc w:val="center"/>
              <w:rPr>
                <w:rFonts w:ascii="黑体" w:hAnsi="黑体" w:eastAsia="黑体"/>
                <w:szCs w:val="21"/>
              </w:rPr>
            </w:pPr>
            <w:r>
              <w:rPr>
                <w:rFonts w:hint="eastAsia" w:ascii="黑体" w:hAnsi="黑体" w:eastAsia="黑体"/>
                <w:szCs w:val="21"/>
              </w:rPr>
              <w:t>噪声监测点</w:t>
            </w:r>
            <w:r>
              <w:rPr>
                <w:rFonts w:ascii="黑体" w:hAnsi="黑体" w:eastAsia="黑体"/>
                <w:szCs w:val="21"/>
              </w:rPr>
              <w:t>1</w:t>
            </w:r>
          </w:p>
        </w:tc>
        <w:tc>
          <w:tcPr>
            <w:tcW w:w="2268" w:type="dxa"/>
            <w:shd w:val="clear" w:color="auto" w:fill="auto"/>
          </w:tcPr>
          <w:p>
            <w:pPr>
              <w:jc w:val="center"/>
              <w:rPr>
                <w:rFonts w:ascii="黑体" w:hAnsi="黑体" w:eastAsia="黑体"/>
                <w:szCs w:val="21"/>
              </w:rPr>
            </w:pPr>
            <w:r>
              <w:rPr>
                <w:rFonts w:hint="eastAsia" w:ascii="黑体" w:hAnsi="黑体" w:eastAsia="黑体"/>
                <w:szCs w:val="21"/>
              </w:rPr>
              <w:t>工业企业厂界环境噪声</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1次/季</w:t>
            </w:r>
          </w:p>
        </w:tc>
        <w:tc>
          <w:tcPr>
            <w:tcW w:w="992" w:type="dxa"/>
            <w:shd w:val="clear" w:color="auto" w:fill="auto"/>
          </w:tcPr>
          <w:p>
            <w:pPr>
              <w:jc w:val="center"/>
              <w:rPr>
                <w:rFonts w:ascii="黑体" w:hAnsi="黑体" w:eastAsia="黑体"/>
                <w:szCs w:val="21"/>
              </w:rPr>
            </w:pPr>
            <w:r>
              <w:rPr>
                <w:rFonts w:ascii="黑体" w:hAnsi="黑体" w:eastAsia="黑体"/>
                <w:szCs w:val="21"/>
              </w:rPr>
              <w:t>4</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48</w:t>
            </w:r>
          </w:p>
        </w:tc>
        <w:tc>
          <w:tcPr>
            <w:tcW w:w="766" w:type="dxa"/>
            <w:vMerge w:val="continue"/>
            <w:shd w:val="clear" w:color="auto" w:fill="auto"/>
          </w:tcPr>
          <w:p>
            <w:pPr>
              <w:rPr>
                <w:rFonts w:ascii="黑体" w:hAnsi="黑体" w:eastAsia="黑体"/>
                <w:szCs w:val="21"/>
              </w:rPr>
            </w:pPr>
          </w:p>
        </w:tc>
        <w:tc>
          <w:tcPr>
            <w:tcW w:w="851" w:type="dxa"/>
            <w:shd w:val="clear" w:color="auto" w:fill="auto"/>
          </w:tcPr>
          <w:p>
            <w:pPr>
              <w:jc w:val="center"/>
              <w:rPr>
                <w:rFonts w:ascii="黑体" w:hAnsi="黑体" w:eastAsia="黑体"/>
                <w:szCs w:val="21"/>
              </w:rPr>
            </w:pPr>
            <w:r>
              <w:rPr>
                <w:rFonts w:hint="eastAsia" w:ascii="黑体" w:hAnsi="黑体" w:eastAsia="黑体"/>
                <w:szCs w:val="21"/>
              </w:rPr>
              <w:t>噪声监测点</w:t>
            </w:r>
            <w:r>
              <w:rPr>
                <w:rFonts w:ascii="黑体" w:hAnsi="黑体" w:eastAsia="黑体"/>
                <w:szCs w:val="21"/>
              </w:rPr>
              <w:t>2</w:t>
            </w:r>
          </w:p>
        </w:tc>
        <w:tc>
          <w:tcPr>
            <w:tcW w:w="2268" w:type="dxa"/>
            <w:shd w:val="clear" w:color="auto" w:fill="auto"/>
          </w:tcPr>
          <w:p>
            <w:pPr>
              <w:jc w:val="center"/>
              <w:rPr>
                <w:rFonts w:ascii="黑体" w:hAnsi="黑体" w:eastAsia="黑体"/>
                <w:szCs w:val="21"/>
              </w:rPr>
            </w:pPr>
            <w:r>
              <w:rPr>
                <w:rFonts w:hint="eastAsia" w:ascii="黑体" w:hAnsi="黑体" w:eastAsia="黑体"/>
                <w:szCs w:val="21"/>
              </w:rPr>
              <w:t>工业企业厂界环境噪声</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1次/季</w:t>
            </w:r>
          </w:p>
        </w:tc>
        <w:tc>
          <w:tcPr>
            <w:tcW w:w="992" w:type="dxa"/>
            <w:shd w:val="clear" w:color="auto" w:fill="auto"/>
          </w:tcPr>
          <w:p>
            <w:pPr>
              <w:jc w:val="center"/>
              <w:rPr>
                <w:rFonts w:ascii="黑体" w:hAnsi="黑体" w:eastAsia="黑体"/>
                <w:szCs w:val="21"/>
              </w:rPr>
            </w:pPr>
            <w:r>
              <w:rPr>
                <w:rFonts w:ascii="黑体" w:hAnsi="黑体" w:eastAsia="黑体"/>
                <w:szCs w:val="21"/>
              </w:rPr>
              <w:t>4</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49</w:t>
            </w:r>
          </w:p>
        </w:tc>
        <w:tc>
          <w:tcPr>
            <w:tcW w:w="766" w:type="dxa"/>
            <w:vMerge w:val="continue"/>
            <w:shd w:val="clear" w:color="auto" w:fill="auto"/>
          </w:tcPr>
          <w:p>
            <w:pPr>
              <w:rPr>
                <w:rFonts w:ascii="黑体" w:hAnsi="黑体" w:eastAsia="黑体"/>
                <w:szCs w:val="21"/>
              </w:rPr>
            </w:pPr>
          </w:p>
        </w:tc>
        <w:tc>
          <w:tcPr>
            <w:tcW w:w="851" w:type="dxa"/>
            <w:shd w:val="clear" w:color="auto" w:fill="auto"/>
          </w:tcPr>
          <w:p>
            <w:pPr>
              <w:jc w:val="center"/>
              <w:rPr>
                <w:rFonts w:ascii="黑体" w:hAnsi="黑体" w:eastAsia="黑体"/>
                <w:szCs w:val="21"/>
              </w:rPr>
            </w:pPr>
            <w:r>
              <w:rPr>
                <w:rFonts w:hint="eastAsia" w:ascii="黑体" w:hAnsi="黑体" w:eastAsia="黑体"/>
                <w:szCs w:val="21"/>
              </w:rPr>
              <w:t>噪声监测点</w:t>
            </w:r>
            <w:r>
              <w:rPr>
                <w:rFonts w:ascii="黑体" w:hAnsi="黑体" w:eastAsia="黑体"/>
                <w:szCs w:val="21"/>
              </w:rPr>
              <w:t>3</w:t>
            </w:r>
          </w:p>
        </w:tc>
        <w:tc>
          <w:tcPr>
            <w:tcW w:w="2268" w:type="dxa"/>
            <w:shd w:val="clear" w:color="auto" w:fill="auto"/>
          </w:tcPr>
          <w:p>
            <w:pPr>
              <w:jc w:val="center"/>
              <w:rPr>
                <w:rFonts w:ascii="黑体" w:hAnsi="黑体" w:eastAsia="黑体"/>
                <w:szCs w:val="21"/>
              </w:rPr>
            </w:pPr>
            <w:r>
              <w:rPr>
                <w:rFonts w:hint="eastAsia" w:ascii="黑体" w:hAnsi="黑体" w:eastAsia="黑体"/>
                <w:szCs w:val="21"/>
              </w:rPr>
              <w:t>工业企业厂界环境噪声</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1次/季</w:t>
            </w:r>
          </w:p>
        </w:tc>
        <w:tc>
          <w:tcPr>
            <w:tcW w:w="992" w:type="dxa"/>
            <w:shd w:val="clear" w:color="auto" w:fill="auto"/>
          </w:tcPr>
          <w:p>
            <w:pPr>
              <w:jc w:val="center"/>
              <w:rPr>
                <w:rFonts w:ascii="黑体" w:hAnsi="黑体" w:eastAsia="黑体"/>
                <w:szCs w:val="21"/>
              </w:rPr>
            </w:pPr>
            <w:r>
              <w:rPr>
                <w:rFonts w:hint="eastAsia" w:ascii="黑体" w:hAnsi="黑体" w:eastAsia="黑体"/>
                <w:szCs w:val="21"/>
              </w:rPr>
              <w:t>4</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jc w:val="center"/>
              <w:rPr>
                <w:rFonts w:ascii="黑体" w:hAnsi="黑体" w:eastAsia="黑体"/>
                <w:szCs w:val="21"/>
              </w:rPr>
            </w:pPr>
            <w:r>
              <w:rPr>
                <w:rFonts w:hint="eastAsia" w:ascii="黑体" w:hAnsi="黑体" w:eastAsia="黑体"/>
                <w:szCs w:val="21"/>
              </w:rPr>
              <w:t>1</w:t>
            </w:r>
            <w:r>
              <w:rPr>
                <w:rFonts w:ascii="黑体" w:hAnsi="黑体" w:eastAsia="黑体"/>
                <w:szCs w:val="21"/>
              </w:rPr>
              <w:t>50</w:t>
            </w:r>
          </w:p>
        </w:tc>
        <w:tc>
          <w:tcPr>
            <w:tcW w:w="766" w:type="dxa"/>
            <w:vMerge w:val="continue"/>
            <w:shd w:val="clear" w:color="auto" w:fill="auto"/>
          </w:tcPr>
          <w:p>
            <w:pPr>
              <w:rPr>
                <w:rFonts w:ascii="黑体" w:hAnsi="黑体" w:eastAsia="黑体"/>
                <w:szCs w:val="21"/>
              </w:rPr>
            </w:pPr>
          </w:p>
        </w:tc>
        <w:tc>
          <w:tcPr>
            <w:tcW w:w="851" w:type="dxa"/>
            <w:shd w:val="clear" w:color="auto" w:fill="auto"/>
          </w:tcPr>
          <w:p>
            <w:pPr>
              <w:jc w:val="center"/>
              <w:rPr>
                <w:rFonts w:ascii="黑体" w:hAnsi="黑体" w:eastAsia="黑体"/>
                <w:szCs w:val="21"/>
              </w:rPr>
            </w:pPr>
            <w:r>
              <w:rPr>
                <w:rFonts w:hint="eastAsia" w:ascii="黑体" w:hAnsi="黑体" w:eastAsia="黑体"/>
                <w:szCs w:val="21"/>
              </w:rPr>
              <w:t>噪声监测点</w:t>
            </w:r>
            <w:r>
              <w:rPr>
                <w:rFonts w:ascii="黑体" w:hAnsi="黑体" w:eastAsia="黑体"/>
                <w:szCs w:val="21"/>
              </w:rPr>
              <w:t>4</w:t>
            </w:r>
          </w:p>
        </w:tc>
        <w:tc>
          <w:tcPr>
            <w:tcW w:w="2268" w:type="dxa"/>
            <w:shd w:val="clear" w:color="auto" w:fill="auto"/>
          </w:tcPr>
          <w:p>
            <w:pPr>
              <w:jc w:val="center"/>
              <w:rPr>
                <w:rFonts w:ascii="黑体" w:hAnsi="黑体" w:eastAsia="黑体"/>
                <w:szCs w:val="21"/>
              </w:rPr>
            </w:pPr>
            <w:r>
              <w:rPr>
                <w:rFonts w:hint="eastAsia" w:ascii="黑体" w:hAnsi="黑体" w:eastAsia="黑体"/>
                <w:szCs w:val="21"/>
              </w:rPr>
              <w:t>工业企业厂界环境噪声</w:t>
            </w:r>
          </w:p>
        </w:tc>
        <w:tc>
          <w:tcPr>
            <w:tcW w:w="1134" w:type="dxa"/>
            <w:shd w:val="clear" w:color="auto" w:fill="auto"/>
          </w:tcPr>
          <w:p>
            <w:pPr>
              <w:jc w:val="center"/>
              <w:rPr>
                <w:rFonts w:ascii="黑体" w:hAnsi="黑体" w:eastAsia="黑体"/>
                <w:szCs w:val="21"/>
              </w:rPr>
            </w:pPr>
            <w:r>
              <w:rPr>
                <w:rFonts w:hint="eastAsia" w:ascii="黑体" w:hAnsi="黑体" w:eastAsia="黑体"/>
                <w:szCs w:val="21"/>
              </w:rPr>
              <w:t>1次/季</w:t>
            </w:r>
          </w:p>
        </w:tc>
        <w:tc>
          <w:tcPr>
            <w:tcW w:w="992" w:type="dxa"/>
            <w:shd w:val="clear" w:color="auto" w:fill="auto"/>
          </w:tcPr>
          <w:p>
            <w:pPr>
              <w:jc w:val="center"/>
              <w:rPr>
                <w:rFonts w:ascii="黑体" w:hAnsi="黑体" w:eastAsia="黑体"/>
                <w:szCs w:val="21"/>
              </w:rPr>
            </w:pPr>
            <w:r>
              <w:rPr>
                <w:rFonts w:hint="eastAsia" w:ascii="黑体" w:hAnsi="黑体" w:eastAsia="黑体"/>
                <w:szCs w:val="21"/>
              </w:rPr>
              <w:t>4</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rPr>
                <w:rFonts w:ascii="黑体" w:hAnsi="黑体" w:eastAsia="黑体"/>
                <w:szCs w:val="21"/>
              </w:rPr>
            </w:pPr>
            <w:r>
              <w:rPr>
                <w:rFonts w:ascii="黑体" w:hAnsi="黑体" w:eastAsia="黑体"/>
                <w:szCs w:val="21"/>
              </w:rPr>
              <w:t>151</w:t>
            </w:r>
          </w:p>
        </w:tc>
        <w:tc>
          <w:tcPr>
            <w:tcW w:w="766" w:type="dxa"/>
            <w:shd w:val="clear" w:color="auto" w:fill="auto"/>
          </w:tcPr>
          <w:p>
            <w:pPr>
              <w:jc w:val="center"/>
              <w:rPr>
                <w:rFonts w:ascii="黑体" w:hAnsi="黑体" w:eastAsia="黑体"/>
                <w:szCs w:val="21"/>
              </w:rPr>
            </w:pPr>
            <w:r>
              <w:rPr>
                <w:rFonts w:hint="eastAsia" w:ascii="黑体" w:hAnsi="黑体" w:eastAsia="黑体"/>
                <w:szCs w:val="21"/>
              </w:rPr>
              <w:t>土壤检测</w:t>
            </w:r>
          </w:p>
        </w:tc>
        <w:tc>
          <w:tcPr>
            <w:tcW w:w="851" w:type="dxa"/>
            <w:shd w:val="clear" w:color="auto" w:fill="auto"/>
          </w:tcPr>
          <w:p>
            <w:pPr>
              <w:jc w:val="center"/>
              <w:rPr>
                <w:rFonts w:ascii="黑体" w:hAnsi="黑体" w:eastAsia="黑体"/>
                <w:szCs w:val="21"/>
              </w:rPr>
            </w:pPr>
            <w:r>
              <w:rPr>
                <w:rFonts w:hint="eastAsia" w:ascii="黑体" w:hAnsi="黑体" w:eastAsia="黑体"/>
                <w:szCs w:val="21"/>
              </w:rPr>
              <w:t>土壤45项</w:t>
            </w:r>
          </w:p>
        </w:tc>
        <w:tc>
          <w:tcPr>
            <w:tcW w:w="2268" w:type="dxa"/>
            <w:shd w:val="clear" w:color="auto" w:fill="auto"/>
          </w:tcPr>
          <w:p>
            <w:pPr>
              <w:jc w:val="center"/>
              <w:rPr>
                <w:rFonts w:ascii="黑体" w:hAnsi="黑体" w:eastAsia="黑体"/>
                <w:szCs w:val="21"/>
              </w:rPr>
            </w:pPr>
            <w:r>
              <w:rPr>
                <w:rFonts w:hint="eastAsia" w:ascii="黑体" w:hAnsi="黑体" w:eastAsia="黑体"/>
                <w:szCs w:val="21"/>
              </w:rPr>
              <w:t>土壤45项</w:t>
            </w:r>
          </w:p>
        </w:tc>
        <w:tc>
          <w:tcPr>
            <w:tcW w:w="1134" w:type="dxa"/>
            <w:shd w:val="clear" w:color="auto" w:fill="auto"/>
          </w:tcPr>
          <w:p>
            <w:pPr>
              <w:jc w:val="center"/>
              <w:rPr>
                <w:rFonts w:ascii="黑体" w:hAnsi="黑体" w:eastAsia="黑体"/>
                <w:szCs w:val="21"/>
              </w:rPr>
            </w:pPr>
            <w:r>
              <w:rPr>
                <w:rFonts w:hint="eastAsia" w:ascii="黑体" w:hAnsi="黑体" w:eastAsia="黑体"/>
                <w:szCs w:val="21"/>
              </w:rPr>
              <w:t>2次/年</w:t>
            </w:r>
          </w:p>
        </w:tc>
        <w:tc>
          <w:tcPr>
            <w:tcW w:w="992" w:type="dxa"/>
            <w:shd w:val="clear" w:color="auto" w:fill="auto"/>
          </w:tcPr>
          <w:p>
            <w:pPr>
              <w:jc w:val="center"/>
              <w:rPr>
                <w:rFonts w:ascii="黑体" w:hAnsi="黑体" w:eastAsia="黑体"/>
                <w:szCs w:val="21"/>
              </w:rPr>
            </w:pPr>
            <w:r>
              <w:rPr>
                <w:rFonts w:hint="eastAsia" w:ascii="黑体" w:hAnsi="黑体" w:eastAsia="黑体"/>
                <w:szCs w:val="21"/>
              </w:rPr>
              <w:t>2</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rPr>
                <w:rFonts w:ascii="黑体" w:hAnsi="黑体" w:eastAsia="黑体"/>
                <w:szCs w:val="21"/>
              </w:rPr>
            </w:pPr>
            <w:r>
              <w:rPr>
                <w:rFonts w:ascii="黑体" w:hAnsi="黑体" w:eastAsia="黑体"/>
                <w:szCs w:val="21"/>
              </w:rPr>
              <w:t>152</w:t>
            </w:r>
          </w:p>
        </w:tc>
        <w:tc>
          <w:tcPr>
            <w:tcW w:w="766" w:type="dxa"/>
            <w:shd w:val="clear" w:color="auto" w:fill="auto"/>
          </w:tcPr>
          <w:p>
            <w:pPr>
              <w:rPr>
                <w:rFonts w:ascii="黑体" w:hAnsi="黑体" w:eastAsia="黑体"/>
                <w:szCs w:val="21"/>
              </w:rPr>
            </w:pPr>
          </w:p>
          <w:p>
            <w:pPr>
              <w:rPr>
                <w:rFonts w:ascii="黑体" w:hAnsi="黑体" w:eastAsia="黑体"/>
                <w:szCs w:val="21"/>
              </w:rPr>
            </w:pPr>
          </w:p>
          <w:p>
            <w:pPr>
              <w:rPr>
                <w:rFonts w:ascii="黑体" w:hAnsi="黑体" w:eastAsia="黑体"/>
                <w:szCs w:val="21"/>
              </w:rPr>
            </w:pPr>
          </w:p>
          <w:p>
            <w:pPr>
              <w:rPr>
                <w:rFonts w:ascii="黑体" w:hAnsi="黑体" w:eastAsia="黑体"/>
                <w:szCs w:val="21"/>
              </w:rPr>
            </w:pPr>
          </w:p>
          <w:p>
            <w:pPr>
              <w:rPr>
                <w:rFonts w:ascii="黑体" w:hAnsi="黑体" w:eastAsia="黑体"/>
                <w:szCs w:val="21"/>
              </w:rPr>
            </w:pPr>
            <w:r>
              <w:rPr>
                <w:rFonts w:hint="eastAsia" w:ascii="黑体" w:hAnsi="黑体" w:eastAsia="黑体"/>
                <w:szCs w:val="21"/>
              </w:rPr>
              <w:t>地下水检测</w:t>
            </w:r>
          </w:p>
        </w:tc>
        <w:tc>
          <w:tcPr>
            <w:tcW w:w="851" w:type="dxa"/>
            <w:shd w:val="clear" w:color="auto" w:fill="auto"/>
          </w:tcPr>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r>
              <w:rPr>
                <w:rFonts w:hint="eastAsia" w:ascii="黑体" w:hAnsi="黑体" w:eastAsia="黑体"/>
                <w:szCs w:val="21"/>
              </w:rPr>
              <w:t>地下水</w:t>
            </w:r>
          </w:p>
        </w:tc>
        <w:tc>
          <w:tcPr>
            <w:tcW w:w="2268" w:type="dxa"/>
            <w:shd w:val="clear" w:color="auto" w:fill="auto"/>
          </w:tcPr>
          <w:p>
            <w:pPr>
              <w:jc w:val="center"/>
              <w:rPr>
                <w:rFonts w:ascii="黑体" w:hAnsi="黑体" w:eastAsia="黑体"/>
                <w:szCs w:val="21"/>
              </w:rPr>
            </w:pPr>
            <w:r>
              <w:rPr>
                <w:rFonts w:hint="eastAsia" w:ascii="黑体" w:hAnsi="黑体" w:eastAsia="黑体"/>
                <w:szCs w:val="21"/>
              </w:rPr>
              <w:t>PH值、总硬度、溶解性总固体、色度、臭味和、硫酸盐、氯化物、铁、锰、铜、镍、挥发性酚类、耗氧量、氨氮、硫化物、阴离子表面活性剂、总大肠杆菌、菌落总数、硝酸盐、亚硝酸盐、氰化物、氟化物、镉、神、汞、六价铬、铅等。</w:t>
            </w:r>
          </w:p>
        </w:tc>
        <w:tc>
          <w:tcPr>
            <w:tcW w:w="1134" w:type="dxa"/>
            <w:shd w:val="clear" w:color="auto" w:fill="auto"/>
          </w:tcPr>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r>
              <w:rPr>
                <w:rFonts w:hint="eastAsia" w:ascii="黑体" w:hAnsi="黑体" w:eastAsia="黑体"/>
                <w:szCs w:val="21"/>
              </w:rPr>
              <w:t>2次/年</w:t>
            </w:r>
          </w:p>
        </w:tc>
        <w:tc>
          <w:tcPr>
            <w:tcW w:w="992" w:type="dxa"/>
            <w:shd w:val="clear" w:color="auto" w:fill="auto"/>
          </w:tcPr>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jc w:val="center"/>
              <w:rPr>
                <w:rFonts w:ascii="黑体" w:hAnsi="黑体" w:eastAsia="黑体"/>
                <w:szCs w:val="21"/>
              </w:rPr>
            </w:pPr>
          </w:p>
          <w:p>
            <w:pPr>
              <w:ind w:firstLine="210" w:firstLineChars="100"/>
              <w:rPr>
                <w:rFonts w:ascii="黑体" w:hAnsi="黑体" w:eastAsia="黑体"/>
                <w:szCs w:val="21"/>
              </w:rPr>
            </w:pPr>
            <w:r>
              <w:rPr>
                <w:rFonts w:hint="eastAsia" w:ascii="黑体" w:hAnsi="黑体" w:eastAsia="黑体"/>
                <w:szCs w:val="21"/>
              </w:rPr>
              <w:t>2</w:t>
            </w:r>
          </w:p>
        </w:tc>
        <w:tc>
          <w:tcPr>
            <w:tcW w:w="1134" w:type="dxa"/>
            <w:shd w:val="clear" w:color="auto" w:fill="auto"/>
          </w:tcPr>
          <w:p>
            <w:pPr>
              <w:jc w:val="center"/>
              <w:rPr>
                <w:rFonts w:ascii="黑体" w:hAnsi="黑体" w:eastAsia="黑体"/>
                <w:szCs w:val="21"/>
              </w:rPr>
            </w:pPr>
          </w:p>
        </w:tc>
        <w:tc>
          <w:tcPr>
            <w:tcW w:w="1185" w:type="dxa"/>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rPr>
                <w:rFonts w:ascii="黑体" w:hAnsi="黑体" w:eastAsia="黑体"/>
                <w:szCs w:val="21"/>
              </w:rPr>
            </w:pPr>
            <w:r>
              <w:rPr>
                <w:rFonts w:hint="eastAsia" w:ascii="黑体" w:hAnsi="黑体" w:eastAsia="黑体"/>
                <w:szCs w:val="21"/>
              </w:rPr>
              <w:t>1</w:t>
            </w:r>
            <w:r>
              <w:rPr>
                <w:rFonts w:ascii="黑体" w:hAnsi="黑体" w:eastAsia="黑体"/>
                <w:szCs w:val="21"/>
              </w:rPr>
              <w:t>53</w:t>
            </w:r>
          </w:p>
        </w:tc>
        <w:tc>
          <w:tcPr>
            <w:tcW w:w="3885" w:type="dxa"/>
            <w:gridSpan w:val="3"/>
            <w:shd w:val="clear" w:color="auto" w:fill="auto"/>
          </w:tcPr>
          <w:p>
            <w:pPr>
              <w:jc w:val="center"/>
              <w:rPr>
                <w:rFonts w:ascii="黑体" w:hAnsi="黑体" w:eastAsia="黑体"/>
                <w:szCs w:val="21"/>
              </w:rPr>
            </w:pPr>
            <w:r>
              <w:rPr>
                <w:rFonts w:hint="eastAsia" w:ascii="黑体" w:hAnsi="黑体" w:eastAsia="黑体"/>
                <w:szCs w:val="21"/>
              </w:rPr>
              <w:t>合计总价（元，未税）</w:t>
            </w:r>
          </w:p>
        </w:tc>
        <w:tc>
          <w:tcPr>
            <w:tcW w:w="4445" w:type="dxa"/>
            <w:gridSpan w:val="4"/>
            <w:shd w:val="clear" w:color="auto" w:fill="auto"/>
          </w:tcPr>
          <w:p>
            <w:pPr>
              <w:jc w:val="center"/>
              <w:rPr>
                <w:rFonts w:ascii="黑体" w:hAnsi="黑体" w:eastAsia="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dxa"/>
            <w:shd w:val="clear" w:color="auto" w:fill="auto"/>
          </w:tcPr>
          <w:p>
            <w:pPr>
              <w:rPr>
                <w:rFonts w:ascii="黑体" w:hAnsi="黑体" w:eastAsia="黑体"/>
                <w:szCs w:val="21"/>
              </w:rPr>
            </w:pPr>
            <w:r>
              <w:rPr>
                <w:rFonts w:hint="eastAsia" w:ascii="黑体" w:hAnsi="黑体" w:eastAsia="黑体"/>
                <w:szCs w:val="21"/>
              </w:rPr>
              <w:t>1</w:t>
            </w:r>
            <w:r>
              <w:rPr>
                <w:rFonts w:ascii="黑体" w:hAnsi="黑体" w:eastAsia="黑体"/>
                <w:szCs w:val="21"/>
              </w:rPr>
              <w:t>54</w:t>
            </w:r>
          </w:p>
        </w:tc>
        <w:tc>
          <w:tcPr>
            <w:tcW w:w="3885" w:type="dxa"/>
            <w:gridSpan w:val="3"/>
            <w:shd w:val="clear" w:color="auto" w:fill="auto"/>
          </w:tcPr>
          <w:p>
            <w:pPr>
              <w:jc w:val="center"/>
              <w:rPr>
                <w:rFonts w:ascii="黑体" w:hAnsi="黑体" w:eastAsia="黑体"/>
                <w:szCs w:val="21"/>
              </w:rPr>
            </w:pPr>
            <w:r>
              <w:rPr>
                <w:rFonts w:hint="eastAsia" w:ascii="黑体" w:hAnsi="黑体" w:eastAsia="黑体"/>
                <w:szCs w:val="21"/>
              </w:rPr>
              <w:t>合计总价（元，含税）</w:t>
            </w:r>
          </w:p>
        </w:tc>
        <w:tc>
          <w:tcPr>
            <w:tcW w:w="4445" w:type="dxa"/>
            <w:gridSpan w:val="4"/>
            <w:shd w:val="clear" w:color="auto" w:fill="auto"/>
          </w:tcPr>
          <w:p>
            <w:pPr>
              <w:jc w:val="center"/>
              <w:rPr>
                <w:rFonts w:ascii="黑体" w:hAnsi="黑体" w:eastAsia="黑体"/>
                <w:szCs w:val="21"/>
              </w:rPr>
            </w:pPr>
          </w:p>
        </w:tc>
      </w:tr>
    </w:tbl>
    <w:p>
      <w:pPr>
        <w:pStyle w:val="2"/>
        <w:ind w:firstLine="480"/>
      </w:pPr>
    </w:p>
    <w:p>
      <w:pPr>
        <w:rPr>
          <w:rFonts w:hint="default"/>
          <w:lang w:val="en-US" w:eastAsia="zh-CN"/>
        </w:rPr>
      </w:pPr>
      <w:r>
        <w:rPr>
          <w:rFonts w:hint="eastAsia"/>
          <w:lang w:val="en-US" w:eastAsia="zh-CN"/>
        </w:rPr>
        <w:t>投标人签字：</w:t>
      </w:r>
      <w:r>
        <w:rPr>
          <w:rFonts w:hint="eastAsia"/>
          <w:lang w:val="en-US" w:eastAsia="zh-CN"/>
        </w:rPr>
        <w:tab/>
        <w:t/>
      </w:r>
      <w:r>
        <w:rPr>
          <w:rFonts w:hint="eastAsia"/>
          <w:lang w:val="en-US" w:eastAsia="zh-CN"/>
        </w:rPr>
        <w:tab/>
        <w:t/>
      </w:r>
      <w:r>
        <w:rPr>
          <w:rFonts w:hint="eastAsia"/>
          <w:lang w:val="en-US" w:eastAsia="zh-CN"/>
        </w:rPr>
        <w:tab/>
        <w:t/>
      </w:r>
      <w:r>
        <w:rPr>
          <w:rFonts w:hint="eastAsia"/>
          <w:lang w:val="en-US" w:eastAsia="zh-CN"/>
        </w:rPr>
        <w:tab/>
        <w:t/>
      </w:r>
      <w:r>
        <w:rPr>
          <w:rFonts w:hint="eastAsia"/>
          <w:lang w:val="en-US" w:eastAsia="zh-CN"/>
        </w:rPr>
        <w:tab/>
        <w:t/>
      </w:r>
      <w:r>
        <w:rPr>
          <w:rFonts w:hint="eastAsia"/>
          <w:lang w:val="en-US" w:eastAsia="zh-CN"/>
        </w:rPr>
        <w:tab/>
        <w:t/>
      </w:r>
      <w:r>
        <w:rPr>
          <w:rFonts w:hint="eastAsia"/>
          <w:lang w:val="en-US" w:eastAsia="zh-CN"/>
        </w:rPr>
        <w:tab/>
        <w:t/>
      </w:r>
      <w:r>
        <w:rPr>
          <w:rFonts w:hint="eastAsia"/>
          <w:lang w:val="en-US" w:eastAsia="zh-CN"/>
        </w:rPr>
        <w:tab/>
        <w:t/>
      </w:r>
      <w:r>
        <w:rPr>
          <w:rFonts w:hint="eastAsia"/>
          <w:lang w:val="en-US" w:eastAsia="zh-CN"/>
        </w:rPr>
        <w:tab/>
        <w:t/>
      </w:r>
      <w:r>
        <w:rPr>
          <w:rFonts w:hint="eastAsia"/>
          <w:lang w:val="en-US" w:eastAsia="zh-CN"/>
        </w:rPr>
        <w:tab/>
        <w:t/>
      </w:r>
      <w:r>
        <w:rPr>
          <w:rFonts w:hint="eastAsia"/>
          <w:lang w:val="en-US" w:eastAsia="zh-CN"/>
        </w:rPr>
        <w:tab/>
        <w:t/>
      </w:r>
      <w:r>
        <w:rPr>
          <w:rFonts w:hint="eastAsia"/>
          <w:lang w:val="en-US" w:eastAsia="zh-CN"/>
        </w:rPr>
        <w:tab/>
        <w:t/>
      </w:r>
      <w:r>
        <w:rPr>
          <w:rFonts w:hint="eastAsia"/>
          <w:lang w:val="en-US" w:eastAsia="zh-CN"/>
        </w:rPr>
        <w:tab/>
        <w:t>投标单位盖章：</w:t>
      </w:r>
    </w:p>
    <w:p>
      <w:pPr>
        <w:pStyle w:val="2"/>
        <w:ind w:firstLine="480"/>
      </w:pPr>
    </w:p>
    <w:p/>
    <w:p>
      <w:pPr>
        <w:pStyle w:val="2"/>
        <w:ind w:firstLine="480"/>
      </w:pPr>
    </w:p>
    <w:p/>
    <w:p>
      <w:pPr>
        <w:pStyle w:val="2"/>
        <w:ind w:firstLine="480"/>
      </w:pPr>
    </w:p>
    <w:p/>
    <w:p>
      <w:pPr>
        <w:pStyle w:val="2"/>
        <w:ind w:firstLine="480"/>
      </w:pPr>
    </w:p>
    <w:p/>
    <w:p>
      <w:pPr>
        <w:pStyle w:val="2"/>
        <w:ind w:firstLine="480"/>
      </w:pPr>
    </w:p>
    <w:p/>
    <w:p>
      <w:pPr>
        <w:pStyle w:val="2"/>
        <w:ind w:firstLine="480"/>
      </w:pPr>
    </w:p>
    <w:p/>
    <w:p>
      <w:pPr>
        <w:pStyle w:val="2"/>
        <w:ind w:firstLine="480"/>
      </w:pPr>
    </w:p>
    <w:p/>
    <w:p>
      <w:pPr>
        <w:pStyle w:val="2"/>
        <w:ind w:firstLine="480"/>
      </w:pPr>
    </w:p>
    <w:p/>
    <w:p>
      <w:pPr>
        <w:pStyle w:val="2"/>
        <w:ind w:left="0" w:leftChars="0" w:firstLine="0"/>
      </w:pPr>
    </w:p>
    <w:p>
      <w:pPr>
        <w:pStyle w:val="2"/>
        <w:ind w:firstLine="480"/>
      </w:pPr>
    </w:p>
    <w:p>
      <w:pPr>
        <w:rPr>
          <w:rFonts w:ascii="宋体" w:hAnsi="宋体"/>
          <w:b/>
          <w:color w:val="000000"/>
          <w:sz w:val="28"/>
        </w:rPr>
      </w:pPr>
      <w:r>
        <w:rPr>
          <w:rFonts w:hint="eastAsia" w:ascii="宋体" w:hAnsi="宋体"/>
          <w:b/>
          <w:color w:val="000000"/>
          <w:sz w:val="28"/>
        </w:rPr>
        <w:br w:type="page"/>
      </w:r>
    </w:p>
    <w:p>
      <w:pPr>
        <w:pStyle w:val="11"/>
        <w:outlineLvl w:val="2"/>
        <w:rPr>
          <w:rFonts w:hint="eastAsia" w:hAnsi="宋体" w:cs="宋体"/>
          <w:b/>
          <w:bCs/>
          <w:color w:val="000000"/>
          <w:sz w:val="24"/>
          <w:szCs w:val="24"/>
        </w:rPr>
      </w:pPr>
      <w:r>
        <w:rPr>
          <w:rFonts w:hint="eastAsia" w:hAnsi="宋体" w:cs="宋体"/>
          <w:b/>
          <w:bCs/>
          <w:color w:val="000000"/>
          <w:sz w:val="24"/>
          <w:szCs w:val="24"/>
        </w:rPr>
        <w:t>附件六：</w:t>
      </w:r>
    </w:p>
    <w:p>
      <w:pPr>
        <w:rPr>
          <w:rFonts w:ascii="仿宋" w:hAnsi="仿宋" w:eastAsia="仿宋" w:cs="仿宋"/>
          <w:color w:val="FF0000"/>
          <w:u w:val="single"/>
        </w:rPr>
      </w:pPr>
      <w:r>
        <w:rPr>
          <w:rFonts w:hint="eastAsia" w:ascii="宋体" w:hAnsi="宋体"/>
        </w:rPr>
        <w:t>项目名称：中国重汽杭发公司2026年环境监测项目</w:t>
      </w:r>
    </w:p>
    <w:p>
      <w:pPr>
        <w:rPr>
          <w:rFonts w:ascii="仿宋" w:hAnsi="仿宋" w:eastAsia="仿宋" w:cs="仿宋"/>
          <w:u w:val="single"/>
        </w:rPr>
      </w:pPr>
    </w:p>
    <w:p>
      <w:pPr>
        <w:rPr>
          <w:rFonts w:ascii="宋体" w:hAnsi="宋体"/>
          <w:szCs w:val="21"/>
        </w:rPr>
      </w:pPr>
      <w:r>
        <w:rPr>
          <w:rFonts w:hint="eastAsia" w:ascii="宋体" w:hAnsi="宋体"/>
          <w:szCs w:val="21"/>
        </w:rPr>
        <w:t>日    期：  年   月   日</w:t>
      </w:r>
    </w:p>
    <w:p>
      <w:pPr>
        <w:jc w:val="center"/>
        <w:rPr>
          <w:rFonts w:eastAsia="黑体"/>
          <w:b/>
          <w:bCs/>
          <w:sz w:val="28"/>
        </w:rPr>
      </w:pPr>
      <w:r>
        <w:rPr>
          <w:rFonts w:hint="eastAsia" w:eastAsia="黑体"/>
          <w:b/>
          <w:bCs/>
          <w:sz w:val="28"/>
        </w:rPr>
        <w:t>相关条款偏离表（含商务偏离及技术偏离）</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jc w:val="center"/>
              <w:rPr>
                <w:rFonts w:ascii="宋体" w:hAnsi="宋体"/>
                <w:szCs w:val="21"/>
              </w:rPr>
            </w:pPr>
            <w:r>
              <w:rPr>
                <w:rFonts w:hint="eastAsia" w:ascii="宋体" w:hAnsi="宋体"/>
                <w:szCs w:val="21"/>
              </w:rPr>
              <w:t>序号</w:t>
            </w:r>
          </w:p>
        </w:tc>
        <w:tc>
          <w:tcPr>
            <w:tcW w:w="4140" w:type="dxa"/>
            <w:gridSpan w:val="2"/>
            <w:vAlign w:val="center"/>
          </w:tcPr>
          <w:p>
            <w:pPr>
              <w:jc w:val="center"/>
              <w:rPr>
                <w:rFonts w:ascii="宋体" w:hAnsi="宋体"/>
                <w:szCs w:val="21"/>
              </w:rPr>
            </w:pPr>
            <w:r>
              <w:rPr>
                <w:rFonts w:hint="eastAsia" w:ascii="宋体" w:hAnsi="宋体"/>
                <w:szCs w:val="21"/>
              </w:rPr>
              <w:t>招标文件条款</w:t>
            </w:r>
          </w:p>
        </w:tc>
        <w:tc>
          <w:tcPr>
            <w:tcW w:w="3554" w:type="dxa"/>
            <w:vMerge w:val="restart"/>
            <w:vAlign w:val="center"/>
          </w:tcPr>
          <w:p>
            <w:pPr>
              <w:jc w:val="center"/>
              <w:rPr>
                <w:rFonts w:ascii="宋体" w:hAnsi="宋体"/>
                <w:szCs w:val="21"/>
              </w:rPr>
            </w:pPr>
            <w:r>
              <w:rPr>
                <w:rFonts w:hint="eastAsia" w:ascii="宋体" w:hAnsi="宋体"/>
                <w:szCs w:val="21"/>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rPr>
                <w:rFonts w:ascii="宋体" w:hAnsi="宋体"/>
                <w:szCs w:val="21"/>
              </w:rPr>
            </w:pPr>
          </w:p>
        </w:tc>
        <w:tc>
          <w:tcPr>
            <w:tcW w:w="1080" w:type="dxa"/>
            <w:vAlign w:val="center"/>
          </w:tcPr>
          <w:p>
            <w:pPr>
              <w:jc w:val="center"/>
              <w:rPr>
                <w:rFonts w:ascii="宋体" w:hAnsi="宋体"/>
                <w:szCs w:val="21"/>
              </w:rPr>
            </w:pPr>
            <w:r>
              <w:rPr>
                <w:rFonts w:hint="eastAsia" w:ascii="宋体" w:hAnsi="宋体"/>
                <w:szCs w:val="21"/>
              </w:rPr>
              <w:t>条款号</w:t>
            </w:r>
          </w:p>
        </w:tc>
        <w:tc>
          <w:tcPr>
            <w:tcW w:w="3060" w:type="dxa"/>
            <w:vAlign w:val="center"/>
          </w:tcPr>
          <w:p>
            <w:pPr>
              <w:jc w:val="center"/>
              <w:rPr>
                <w:rFonts w:ascii="宋体" w:hAnsi="宋体"/>
                <w:szCs w:val="21"/>
              </w:rPr>
            </w:pPr>
            <w:r>
              <w:rPr>
                <w:rFonts w:hint="eastAsia" w:ascii="宋体" w:hAnsi="宋体"/>
                <w:szCs w:val="21"/>
              </w:rPr>
              <w:t>条款要求</w:t>
            </w:r>
          </w:p>
        </w:tc>
        <w:tc>
          <w:tcPr>
            <w:tcW w:w="3554"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Cs w:val="21"/>
              </w:rPr>
            </w:pPr>
            <w:r>
              <w:rPr>
                <w:rFonts w:hint="eastAsia" w:ascii="宋体" w:hAnsi="宋体"/>
                <w:szCs w:val="21"/>
              </w:rPr>
              <w:t>1</w:t>
            </w:r>
          </w:p>
        </w:tc>
        <w:tc>
          <w:tcPr>
            <w:tcW w:w="1080" w:type="dxa"/>
            <w:vAlign w:val="center"/>
          </w:tcPr>
          <w:p>
            <w:pPr>
              <w:rPr>
                <w:rFonts w:ascii="宋体" w:hAnsi="宋体"/>
                <w:szCs w:val="21"/>
              </w:rPr>
            </w:pPr>
          </w:p>
        </w:tc>
        <w:tc>
          <w:tcPr>
            <w:tcW w:w="3060" w:type="dxa"/>
            <w:vAlign w:val="center"/>
          </w:tcPr>
          <w:p>
            <w:pPr>
              <w:rPr>
                <w:rFonts w:ascii="宋体" w:hAnsi="宋体"/>
                <w:szCs w:val="21"/>
              </w:rPr>
            </w:pPr>
          </w:p>
        </w:tc>
        <w:tc>
          <w:tcPr>
            <w:tcW w:w="3554" w:type="dxa"/>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2</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3</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4</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5</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6</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7</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8</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9</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10</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bl>
    <w:p>
      <w:pPr>
        <w:rPr>
          <w:rFonts w:ascii="宋体" w:hAnsi="宋体"/>
        </w:rPr>
      </w:pPr>
    </w:p>
    <w:p>
      <w:pPr>
        <w:rPr>
          <w:rFonts w:ascii="仿宋_GB2312" w:hAnsi="宋体" w:eastAsia="仿宋_GB2312"/>
        </w:rPr>
      </w:pPr>
      <w:r>
        <w:rPr>
          <w:rFonts w:hint="eastAsia" w:ascii="仿宋_GB2312" w:hAnsi="宋体" w:eastAsia="仿宋_GB2312"/>
        </w:rPr>
        <w:t>投标人名称（盖章）：                法定代表人或授权代表签字：</w:t>
      </w:r>
    </w:p>
    <w:p>
      <w:pPr>
        <w:rPr>
          <w:rFonts w:ascii="宋体" w:hAnsi="宋体"/>
        </w:rPr>
      </w:pPr>
    </w:p>
    <w:p>
      <w:pPr>
        <w:rPr>
          <w:rFonts w:ascii="宋体" w:hAnsi="宋体"/>
        </w:rPr>
      </w:pPr>
    </w:p>
    <w:p>
      <w:pPr>
        <w:rPr>
          <w:rFonts w:hAnsi="宋体"/>
          <w:b/>
          <w:szCs w:val="21"/>
        </w:rPr>
      </w:pPr>
      <w:r>
        <w:rPr>
          <w:rFonts w:hint="eastAsia" w:ascii="宋体" w:hAnsi="宋体"/>
          <w:b/>
          <w:szCs w:val="21"/>
        </w:rPr>
        <w:t>注：</w:t>
      </w:r>
      <w:r>
        <w:rPr>
          <w:rFonts w:hint="eastAsia" w:hAnsi="宋体"/>
          <w:szCs w:val="21"/>
        </w:rPr>
        <w:t>可做正偏离，但不允许有低于本招标文件相关要求的情况出现，否则视为</w:t>
      </w:r>
      <w:r>
        <w:rPr>
          <w:rFonts w:hint="eastAsia"/>
          <w:szCs w:val="21"/>
        </w:rPr>
        <w:t>主动放弃本项目投标；</w:t>
      </w:r>
      <w:r>
        <w:rPr>
          <w:rFonts w:hint="eastAsia" w:ascii="宋体" w:hAnsi="宋体"/>
          <w:szCs w:val="21"/>
        </w:rPr>
        <w:t>为避免歧义，无偏离也应要提报该表，并注明“无”字。如无该表则即使在其它部分已反映，将也被视为“无偏离”。</w:t>
      </w:r>
    </w:p>
    <w:p>
      <w:pPr>
        <w:ind w:firstLine="630" w:firstLineChars="300"/>
        <w:rPr>
          <w:rFonts w:ascii="宋体" w:hAnsi="宋体"/>
          <w:szCs w:val="21"/>
        </w:rPr>
      </w:pPr>
    </w:p>
    <w:p>
      <w:pPr>
        <w:ind w:firstLine="630" w:firstLineChars="300"/>
        <w:rPr>
          <w:rFonts w:ascii="宋体" w:hAnsi="宋体"/>
          <w:szCs w:val="21"/>
        </w:rPr>
      </w:pPr>
    </w:p>
    <w:p>
      <w:pPr>
        <w:rPr>
          <w:rFonts w:ascii="宋体" w:hAnsi="宋体" w:cs="宋体"/>
          <w:b/>
          <w:bCs/>
          <w:sz w:val="28"/>
        </w:rPr>
      </w:pPr>
    </w:p>
    <w:p>
      <w:pPr>
        <w:pStyle w:val="11"/>
        <w:outlineLvl w:val="2"/>
        <w:rPr>
          <w:rFonts w:hint="eastAsia" w:hAnsi="宋体" w:cs="宋体"/>
          <w:b/>
          <w:bCs/>
          <w:color w:val="000000"/>
          <w:sz w:val="24"/>
          <w:szCs w:val="24"/>
        </w:rPr>
      </w:pPr>
      <w:r>
        <w:rPr>
          <w:rFonts w:hint="eastAsia" w:hAnsi="宋体" w:cs="宋体"/>
          <w:b/>
          <w:bCs/>
          <w:color w:val="000000"/>
          <w:sz w:val="24"/>
          <w:szCs w:val="24"/>
        </w:rPr>
        <w:t>附件七：</w:t>
      </w:r>
    </w:p>
    <w:p>
      <w:pPr>
        <w:rPr>
          <w:rFonts w:ascii="仿宋" w:hAnsi="仿宋" w:eastAsia="仿宋" w:cs="仿宋"/>
          <w:color w:val="FF0000"/>
          <w:u w:val="single"/>
        </w:rPr>
      </w:pPr>
      <w:r>
        <w:rPr>
          <w:rFonts w:hint="eastAsia" w:ascii="宋体" w:hAnsi="宋体"/>
        </w:rPr>
        <w:t>项目名称：中国重汽杭发公司2026年环境监测项目</w:t>
      </w:r>
    </w:p>
    <w:p>
      <w:pPr>
        <w:rPr>
          <w:rFonts w:ascii="仿宋" w:hAnsi="仿宋" w:eastAsia="仿宋" w:cs="仿宋"/>
          <w:color w:val="000000"/>
          <w:u w:val="single"/>
        </w:rPr>
      </w:pPr>
    </w:p>
    <w:p>
      <w:pPr>
        <w:rPr>
          <w:rFonts w:ascii="宋体" w:hAnsi="宋体"/>
          <w:szCs w:val="21"/>
        </w:rPr>
      </w:pPr>
      <w:r>
        <w:rPr>
          <w:rFonts w:hint="eastAsia" w:ascii="宋体" w:hAnsi="宋体"/>
          <w:szCs w:val="21"/>
        </w:rPr>
        <w:t>日期：  年   月   日</w:t>
      </w:r>
    </w:p>
    <w:p>
      <w:pPr>
        <w:jc w:val="center"/>
        <w:rPr>
          <w:rFonts w:eastAsia="黑体"/>
          <w:b/>
          <w:bCs/>
          <w:sz w:val="28"/>
        </w:rPr>
      </w:pPr>
      <w:r>
        <w:rPr>
          <w:rFonts w:hint="eastAsia" w:eastAsia="黑体"/>
          <w:b/>
          <w:bCs/>
          <w:sz w:val="28"/>
        </w:rPr>
        <w:t>企业概况一览表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0"/>
        <w:gridCol w:w="1088"/>
        <w:gridCol w:w="1928"/>
        <w:gridCol w:w="953"/>
        <w:gridCol w:w="1928"/>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exact"/>
        </w:trPr>
        <w:tc>
          <w:tcPr>
            <w:tcW w:w="1750" w:type="dxa"/>
            <w:vAlign w:val="center"/>
          </w:tcPr>
          <w:p>
            <w:pPr>
              <w:jc w:val="center"/>
              <w:rPr>
                <w:rFonts w:ascii="宋体" w:hAnsi="宋体"/>
                <w:bCs/>
                <w:szCs w:val="21"/>
              </w:rPr>
            </w:pPr>
            <w:r>
              <w:rPr>
                <w:rFonts w:hint="eastAsia" w:ascii="宋体" w:hAnsi="宋体"/>
                <w:bCs/>
                <w:szCs w:val="21"/>
              </w:rPr>
              <w:t>企业名称</w:t>
            </w:r>
          </w:p>
        </w:tc>
        <w:tc>
          <w:tcPr>
            <w:tcW w:w="1088" w:type="dxa"/>
            <w:vAlign w:val="center"/>
          </w:tcPr>
          <w:p>
            <w:pPr>
              <w:jc w:val="center"/>
              <w:rPr>
                <w:rFonts w:ascii="宋体" w:hAnsi="宋体"/>
                <w:b/>
                <w:bCs/>
                <w:szCs w:val="21"/>
              </w:rPr>
            </w:pPr>
          </w:p>
        </w:tc>
        <w:tc>
          <w:tcPr>
            <w:tcW w:w="1928" w:type="dxa"/>
            <w:vAlign w:val="center"/>
          </w:tcPr>
          <w:p>
            <w:pPr>
              <w:jc w:val="center"/>
              <w:rPr>
                <w:rFonts w:ascii="宋体" w:hAnsi="宋体"/>
                <w:b/>
                <w:bCs/>
                <w:szCs w:val="21"/>
              </w:rPr>
            </w:pPr>
            <w:r>
              <w:rPr>
                <w:rFonts w:hint="eastAsia" w:ascii="宋体" w:hAnsi="宋体"/>
                <w:bCs/>
                <w:szCs w:val="21"/>
              </w:rPr>
              <w:t>成立时间</w:t>
            </w:r>
          </w:p>
        </w:tc>
        <w:tc>
          <w:tcPr>
            <w:tcW w:w="953" w:type="dxa"/>
            <w:vAlign w:val="center"/>
          </w:tcPr>
          <w:p>
            <w:pPr>
              <w:jc w:val="center"/>
              <w:rPr>
                <w:rFonts w:ascii="宋体" w:hAnsi="宋体"/>
                <w:b/>
                <w:bCs/>
                <w:szCs w:val="21"/>
              </w:rPr>
            </w:pPr>
          </w:p>
        </w:tc>
        <w:tc>
          <w:tcPr>
            <w:tcW w:w="1928" w:type="dxa"/>
            <w:vAlign w:val="center"/>
          </w:tcPr>
          <w:p>
            <w:pPr>
              <w:jc w:val="center"/>
              <w:rPr>
                <w:rFonts w:ascii="宋体" w:hAnsi="宋体"/>
                <w:b/>
                <w:bCs/>
                <w:szCs w:val="21"/>
              </w:rPr>
            </w:pPr>
            <w:r>
              <w:rPr>
                <w:rFonts w:hint="eastAsia" w:ascii="宋体" w:hAnsi="宋体"/>
                <w:bCs/>
                <w:szCs w:val="21"/>
              </w:rPr>
              <w:t>注册资本（万元）</w:t>
            </w:r>
          </w:p>
        </w:tc>
        <w:tc>
          <w:tcPr>
            <w:tcW w:w="1323" w:type="dxa"/>
            <w:vAlign w:val="center"/>
          </w:tcPr>
          <w:p>
            <w:pPr>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exact"/>
        </w:trPr>
        <w:tc>
          <w:tcPr>
            <w:tcW w:w="1750" w:type="dxa"/>
            <w:vAlign w:val="center"/>
          </w:tcPr>
          <w:p>
            <w:pPr>
              <w:jc w:val="center"/>
              <w:rPr>
                <w:rFonts w:ascii="宋体" w:hAnsi="宋体"/>
                <w:b/>
                <w:bCs/>
                <w:szCs w:val="21"/>
              </w:rPr>
            </w:pPr>
            <w:r>
              <w:rPr>
                <w:rFonts w:hint="eastAsia" w:ascii="宋体" w:hAnsi="宋体"/>
                <w:bCs/>
                <w:szCs w:val="21"/>
              </w:rPr>
              <w:t>厂址</w:t>
            </w:r>
          </w:p>
        </w:tc>
        <w:tc>
          <w:tcPr>
            <w:tcW w:w="1088" w:type="dxa"/>
            <w:vAlign w:val="center"/>
          </w:tcPr>
          <w:p>
            <w:pPr>
              <w:jc w:val="center"/>
              <w:rPr>
                <w:rFonts w:ascii="宋体" w:hAnsi="宋体"/>
                <w:b/>
                <w:bCs/>
                <w:szCs w:val="21"/>
              </w:rPr>
            </w:pPr>
          </w:p>
        </w:tc>
        <w:tc>
          <w:tcPr>
            <w:tcW w:w="1928" w:type="dxa"/>
            <w:vAlign w:val="center"/>
          </w:tcPr>
          <w:p>
            <w:pPr>
              <w:jc w:val="center"/>
              <w:rPr>
                <w:rFonts w:ascii="宋体" w:hAnsi="宋体"/>
                <w:b/>
                <w:bCs/>
                <w:szCs w:val="21"/>
              </w:rPr>
            </w:pPr>
            <w:r>
              <w:rPr>
                <w:rFonts w:hint="eastAsia" w:ascii="宋体" w:hAnsi="宋体"/>
                <w:bCs/>
                <w:szCs w:val="21"/>
              </w:rPr>
              <w:t>处置场地面积（㎡）</w:t>
            </w:r>
          </w:p>
        </w:tc>
        <w:tc>
          <w:tcPr>
            <w:tcW w:w="953" w:type="dxa"/>
            <w:vAlign w:val="center"/>
          </w:tcPr>
          <w:p>
            <w:pPr>
              <w:jc w:val="center"/>
              <w:rPr>
                <w:rFonts w:ascii="宋体" w:hAnsi="宋体"/>
                <w:b/>
                <w:bCs/>
                <w:szCs w:val="21"/>
              </w:rPr>
            </w:pPr>
          </w:p>
        </w:tc>
        <w:tc>
          <w:tcPr>
            <w:tcW w:w="1928" w:type="dxa"/>
            <w:vAlign w:val="center"/>
          </w:tcPr>
          <w:p>
            <w:pPr>
              <w:jc w:val="center"/>
              <w:rPr>
                <w:rFonts w:ascii="宋体" w:hAnsi="宋体"/>
                <w:b/>
                <w:bCs/>
                <w:szCs w:val="21"/>
              </w:rPr>
            </w:pPr>
            <w:r>
              <w:rPr>
                <w:rFonts w:hint="eastAsia" w:ascii="宋体" w:hAnsi="宋体"/>
                <w:bCs/>
                <w:szCs w:val="21"/>
              </w:rPr>
              <w:t>在册员工人数（人）</w:t>
            </w:r>
          </w:p>
        </w:tc>
        <w:tc>
          <w:tcPr>
            <w:tcW w:w="1323" w:type="dxa"/>
            <w:vAlign w:val="center"/>
          </w:tcPr>
          <w:p>
            <w:pPr>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4" w:hRule="exact"/>
        </w:trPr>
        <w:tc>
          <w:tcPr>
            <w:tcW w:w="1750" w:type="dxa"/>
            <w:vAlign w:val="center"/>
          </w:tcPr>
          <w:p>
            <w:pPr>
              <w:jc w:val="center"/>
              <w:rPr>
                <w:rFonts w:ascii="宋体" w:hAnsi="宋体"/>
                <w:bCs/>
                <w:szCs w:val="21"/>
              </w:rPr>
            </w:pPr>
            <w:r>
              <w:rPr>
                <w:rFonts w:hint="eastAsia" w:ascii="宋体" w:hAnsi="宋体"/>
                <w:szCs w:val="21"/>
              </w:rPr>
              <w:t>企业所通过的体系认证情况</w:t>
            </w:r>
          </w:p>
        </w:tc>
        <w:tc>
          <w:tcPr>
            <w:tcW w:w="7220" w:type="dxa"/>
            <w:gridSpan w:val="5"/>
            <w:vAlign w:val="center"/>
          </w:tcPr>
          <w:p>
            <w:pPr>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4" w:hRule="exact"/>
        </w:trPr>
        <w:tc>
          <w:tcPr>
            <w:tcW w:w="1750" w:type="dxa"/>
            <w:vAlign w:val="center"/>
          </w:tcPr>
          <w:p>
            <w:pPr>
              <w:jc w:val="center"/>
              <w:rPr>
                <w:rFonts w:ascii="宋体" w:hAnsi="宋体"/>
                <w:bCs/>
                <w:szCs w:val="21"/>
              </w:rPr>
            </w:pPr>
            <w:r>
              <w:rPr>
                <w:rFonts w:hint="eastAsia" w:ascii="宋体" w:hAnsi="宋体"/>
                <w:bCs/>
                <w:szCs w:val="21"/>
              </w:rPr>
              <w:t>经营范围</w:t>
            </w:r>
          </w:p>
        </w:tc>
        <w:tc>
          <w:tcPr>
            <w:tcW w:w="7220" w:type="dxa"/>
            <w:gridSpan w:val="5"/>
            <w:vAlign w:val="center"/>
          </w:tcPr>
          <w:p>
            <w:pPr>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750" w:type="dxa"/>
            <w:vAlign w:val="center"/>
          </w:tcPr>
          <w:p>
            <w:pPr>
              <w:jc w:val="center"/>
              <w:rPr>
                <w:rFonts w:ascii="宋体" w:hAnsi="宋体"/>
                <w:bCs/>
                <w:szCs w:val="21"/>
              </w:rPr>
            </w:pPr>
            <w:r>
              <w:rPr>
                <w:rFonts w:hint="eastAsia" w:ascii="宋体" w:hAnsi="宋体"/>
                <w:bCs/>
                <w:szCs w:val="21"/>
              </w:rPr>
              <w:t>专利</w:t>
            </w:r>
          </w:p>
        </w:tc>
        <w:tc>
          <w:tcPr>
            <w:tcW w:w="7220" w:type="dxa"/>
            <w:gridSpan w:val="5"/>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750" w:type="dxa"/>
            <w:vAlign w:val="center"/>
          </w:tcPr>
          <w:p>
            <w:pPr>
              <w:jc w:val="center"/>
              <w:rPr>
                <w:rFonts w:ascii="宋体" w:hAnsi="宋体"/>
                <w:bCs/>
                <w:szCs w:val="21"/>
              </w:rPr>
            </w:pPr>
            <w:r>
              <w:rPr>
                <w:rFonts w:hint="eastAsia" w:ascii="宋体" w:hAnsi="宋体"/>
                <w:bCs/>
                <w:szCs w:val="21"/>
              </w:rPr>
              <w:t>本企业其它优势</w:t>
            </w:r>
          </w:p>
        </w:tc>
        <w:tc>
          <w:tcPr>
            <w:tcW w:w="7220" w:type="dxa"/>
            <w:gridSpan w:val="5"/>
            <w:vAlign w:val="center"/>
          </w:tcPr>
          <w:p>
            <w:pPr>
              <w:jc w:val="center"/>
              <w:rPr>
                <w:rFonts w:ascii="宋体" w:hAnsi="宋体"/>
                <w:bCs/>
                <w:szCs w:val="21"/>
              </w:rPr>
            </w:pPr>
          </w:p>
        </w:tc>
      </w:tr>
    </w:tbl>
    <w:p>
      <w:pPr>
        <w:rPr>
          <w:rFonts w:eastAsia="黑体"/>
          <w:b/>
          <w:bCs/>
          <w:sz w:val="28"/>
        </w:rPr>
      </w:pPr>
    </w:p>
    <w:p>
      <w:pPr>
        <w:pStyle w:val="11"/>
        <w:spacing w:line="360" w:lineRule="auto"/>
        <w:ind w:firstLine="240" w:firstLineChars="100"/>
        <w:rPr>
          <w:rFonts w:eastAsia="仿宋_GB2312"/>
        </w:rPr>
      </w:pPr>
      <w:r>
        <w:rPr>
          <w:rFonts w:hint="eastAsia" w:ascii="仿宋_GB2312" w:hAnsi="宋体" w:eastAsia="仿宋_GB2312"/>
          <w:sz w:val="24"/>
        </w:rPr>
        <w:t>投标人名称（盖章）：              法定代表人或授权代表签字：</w:t>
      </w:r>
    </w:p>
    <w:p>
      <w:pPr>
        <w:pStyle w:val="2"/>
        <w:ind w:left="0" w:leftChars="0" w:firstLine="0"/>
      </w:pPr>
    </w:p>
    <w:p/>
    <w:p>
      <w:pPr>
        <w:pStyle w:val="2"/>
        <w:ind w:firstLine="480"/>
      </w:pPr>
    </w:p>
    <w:p/>
    <w:p>
      <w:pPr>
        <w:pStyle w:val="2"/>
        <w:ind w:firstLine="480"/>
      </w:pPr>
    </w:p>
    <w:p/>
    <w:p>
      <w:pPr>
        <w:pStyle w:val="2"/>
        <w:ind w:firstLine="480"/>
      </w:pPr>
    </w:p>
    <w:p/>
    <w:p>
      <w:pPr>
        <w:pStyle w:val="2"/>
        <w:ind w:firstLine="480"/>
      </w:pPr>
    </w:p>
    <w:p/>
    <w:p>
      <w:pPr>
        <w:rPr>
          <w:rFonts w:ascii="宋体" w:hAnsi="宋体" w:cs="宋体"/>
          <w:b/>
          <w:bCs/>
          <w:sz w:val="28"/>
        </w:rPr>
      </w:pPr>
    </w:p>
    <w:p>
      <w:pPr>
        <w:pStyle w:val="11"/>
        <w:outlineLvl w:val="2"/>
        <w:rPr>
          <w:rFonts w:hint="eastAsia" w:hAnsi="宋体" w:cs="宋体"/>
          <w:b/>
          <w:bCs/>
          <w:color w:val="000000"/>
          <w:sz w:val="24"/>
          <w:szCs w:val="24"/>
        </w:rPr>
      </w:pPr>
      <w:r>
        <w:rPr>
          <w:rFonts w:hint="eastAsia" w:hAnsi="宋体" w:cs="宋体"/>
          <w:b/>
          <w:bCs/>
          <w:color w:val="000000"/>
          <w:sz w:val="24"/>
          <w:szCs w:val="24"/>
        </w:rPr>
        <w:t>附件八：</w:t>
      </w:r>
    </w:p>
    <w:p>
      <w:pPr>
        <w:rPr>
          <w:rFonts w:ascii="仿宋" w:hAnsi="仿宋" w:eastAsia="仿宋" w:cs="仿宋"/>
          <w:color w:val="FF0000"/>
          <w:u w:val="single"/>
        </w:rPr>
      </w:pPr>
      <w:r>
        <w:rPr>
          <w:rFonts w:hint="eastAsia" w:ascii="仿宋" w:hAnsi="仿宋" w:eastAsia="仿宋" w:cs="仿宋"/>
        </w:rPr>
        <w:t>项目名称：</w:t>
      </w:r>
      <w:r>
        <w:rPr>
          <w:rFonts w:hint="eastAsia" w:hAnsi="宋体"/>
          <w:spacing w:val="2"/>
        </w:rPr>
        <w:t>中国重汽杭发公司2026年铸造除尘灰回收处理项目</w:t>
      </w:r>
    </w:p>
    <w:p>
      <w:pPr>
        <w:rPr>
          <w:rFonts w:ascii="仿宋" w:hAnsi="仿宋" w:eastAsia="仿宋" w:cs="仿宋"/>
          <w:u w:val="single"/>
        </w:rPr>
      </w:pPr>
    </w:p>
    <w:p>
      <w:pPr>
        <w:rPr>
          <w:rFonts w:ascii="仿宋" w:hAnsi="仿宋" w:eastAsia="仿宋" w:cs="仿宋"/>
          <w:szCs w:val="21"/>
        </w:rPr>
      </w:pPr>
      <w:r>
        <w:rPr>
          <w:rFonts w:hint="eastAsia" w:ascii="仿宋" w:hAnsi="仿宋" w:eastAsia="仿宋" w:cs="仿宋"/>
          <w:szCs w:val="21"/>
        </w:rPr>
        <w:t>日期：  年   月   日</w:t>
      </w:r>
    </w:p>
    <w:p>
      <w:pPr>
        <w:pStyle w:val="10"/>
        <w:jc w:val="center"/>
        <w:rPr>
          <w:b/>
          <w:bCs/>
        </w:rPr>
      </w:pPr>
      <w:r>
        <w:rPr>
          <w:rFonts w:hint="eastAsia"/>
          <w:b/>
          <w:bCs/>
        </w:rPr>
        <w:t>开标一览表</w:t>
      </w:r>
    </w:p>
    <w:p>
      <w:pPr>
        <w:pStyle w:val="10"/>
        <w:jc w:val="center"/>
      </w:pPr>
    </w:p>
    <w:p>
      <w:pPr>
        <w:rPr>
          <w:rFonts w:ascii="仿宋" w:hAnsi="仿宋" w:eastAsia="仿宋" w:cs="仿宋"/>
        </w:rPr>
      </w:pPr>
      <w:r>
        <w:rPr>
          <w:rFonts w:hint="eastAsia" w:ascii="仿宋" w:hAnsi="仿宋" w:eastAsia="仿宋" w:cs="仿宋"/>
        </w:rPr>
        <w:t>投标人名称（盖章）：                 法定代表人或授权代表签字：</w:t>
      </w:r>
    </w:p>
    <w:p>
      <w:pPr>
        <w:rPr>
          <w:rFonts w:ascii="仿宋" w:hAnsi="仿宋" w:eastAsia="仿宋" w:cs="仿宋"/>
        </w:rPr>
      </w:pPr>
    </w:p>
    <w:tbl>
      <w:tblPr>
        <w:tblStyle w:val="19"/>
        <w:tblW w:w="8910" w:type="dxa"/>
        <w:tblInd w:w="0" w:type="dxa"/>
        <w:tblLayout w:type="fixed"/>
        <w:tblCellMar>
          <w:top w:w="0" w:type="dxa"/>
          <w:left w:w="0" w:type="dxa"/>
          <w:bottom w:w="0" w:type="dxa"/>
          <w:right w:w="0" w:type="dxa"/>
        </w:tblCellMar>
      </w:tblPr>
      <w:tblGrid>
        <w:gridCol w:w="669"/>
        <w:gridCol w:w="3730"/>
        <w:gridCol w:w="4511"/>
      </w:tblGrid>
      <w:tr>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序号</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投标人名称</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000000"/>
                <w:sz w:val="28"/>
                <w:szCs w:val="28"/>
              </w:rPr>
            </w:pPr>
          </w:p>
        </w:tc>
      </w:tr>
      <w:tr>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报价（万元，不含税）</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000000"/>
                <w:sz w:val="28"/>
                <w:szCs w:val="28"/>
              </w:rPr>
            </w:pPr>
          </w:p>
        </w:tc>
      </w:tr>
      <w:tr>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000000"/>
                <w:kern w:val="0"/>
                <w:sz w:val="28"/>
                <w:szCs w:val="28"/>
                <w:lang w:bidi="ar"/>
              </w:rPr>
            </w:pP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税率</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000000"/>
                <w:sz w:val="28"/>
                <w:szCs w:val="28"/>
              </w:rPr>
            </w:pPr>
          </w:p>
        </w:tc>
      </w:tr>
      <w:tr>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价税合计金额（万元）</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000000"/>
                <w:sz w:val="28"/>
                <w:szCs w:val="28"/>
              </w:rPr>
            </w:pPr>
          </w:p>
        </w:tc>
      </w:tr>
      <w:tr>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3</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付款方式有无偏离</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000000"/>
                <w:sz w:val="28"/>
                <w:szCs w:val="28"/>
              </w:rPr>
            </w:pPr>
          </w:p>
        </w:tc>
      </w:tr>
      <w:tr>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4</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对招标文件的认同程度</w:t>
            </w:r>
          </w:p>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（是否完全认同）</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000000"/>
                <w:sz w:val="28"/>
                <w:szCs w:val="28"/>
              </w:rPr>
            </w:pPr>
          </w:p>
        </w:tc>
      </w:tr>
      <w:tr>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5</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备注</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000000"/>
                <w:sz w:val="28"/>
                <w:szCs w:val="28"/>
              </w:rPr>
            </w:pPr>
          </w:p>
        </w:tc>
      </w:tr>
    </w:tbl>
    <w:p>
      <w:pPr>
        <w:rPr>
          <w:rFonts w:ascii="宋体" w:hAnsi="宋体"/>
          <w:b/>
          <w:szCs w:val="21"/>
        </w:rPr>
      </w:pPr>
    </w:p>
    <w:p>
      <w:pPr>
        <w:rPr>
          <w:rFonts w:ascii="宋体" w:hAnsi="宋体"/>
          <w:szCs w:val="21"/>
        </w:rPr>
      </w:pPr>
      <w:r>
        <w:rPr>
          <w:rFonts w:hint="eastAsia" w:ascii="宋体" w:hAnsi="宋体"/>
          <w:b/>
          <w:szCs w:val="21"/>
        </w:rPr>
        <w:t>注：</w:t>
      </w:r>
    </w:p>
    <w:p>
      <w:pPr>
        <w:ind w:firstLine="630" w:firstLineChars="300"/>
        <w:rPr>
          <w:rFonts w:ascii="宋体" w:hAnsi="宋体" w:cs="Arial"/>
          <w:snapToGrid w:val="0"/>
          <w:kern w:val="0"/>
          <w:szCs w:val="21"/>
        </w:rPr>
      </w:pPr>
      <w:r>
        <w:rPr>
          <w:rFonts w:hint="eastAsia" w:ascii="宋体" w:hAnsi="宋体"/>
          <w:szCs w:val="21"/>
        </w:rPr>
        <w:t>1.如果开标一览表中的投标价格与投标文件的投标价格有</w:t>
      </w:r>
      <w:r>
        <w:rPr>
          <w:rFonts w:hint="eastAsia" w:ascii="宋体" w:hAnsi="宋体" w:cs="Arial"/>
          <w:snapToGrid w:val="0"/>
          <w:kern w:val="0"/>
          <w:szCs w:val="21"/>
        </w:rPr>
        <w:t>差异</w:t>
      </w:r>
      <w:r>
        <w:rPr>
          <w:rFonts w:ascii="宋体" w:hAnsi="宋体" w:cs="Arial"/>
          <w:snapToGrid w:val="0"/>
          <w:kern w:val="0"/>
          <w:szCs w:val="21"/>
        </w:rPr>
        <w:t>，以开标一览表为准</w:t>
      </w:r>
      <w:r>
        <w:rPr>
          <w:rFonts w:hint="eastAsia" w:ascii="宋体" w:hAnsi="宋体" w:cs="Arial"/>
          <w:snapToGrid w:val="0"/>
          <w:kern w:val="0"/>
          <w:szCs w:val="21"/>
        </w:rPr>
        <w:t>；</w:t>
      </w:r>
    </w:p>
    <w:p>
      <w:pPr>
        <w:ind w:firstLine="630" w:firstLineChars="300"/>
        <w:rPr>
          <w:rFonts w:ascii="宋体" w:hAnsi="宋体"/>
          <w:szCs w:val="21"/>
        </w:rPr>
      </w:pPr>
      <w:r>
        <w:rPr>
          <w:rFonts w:hint="eastAsia" w:ascii="宋体" w:hAnsi="宋体"/>
          <w:szCs w:val="21"/>
        </w:rPr>
        <w:t>2.</w:t>
      </w:r>
      <w:r>
        <w:rPr>
          <w:rFonts w:ascii="宋体" w:hAnsi="宋体"/>
          <w:szCs w:val="21"/>
        </w:rPr>
        <w:t>不接受</w:t>
      </w:r>
      <w:r>
        <w:rPr>
          <w:rFonts w:hint="eastAsia" w:ascii="宋体" w:hAnsi="宋体"/>
          <w:szCs w:val="21"/>
        </w:rPr>
        <w:t>可</w:t>
      </w:r>
      <w:r>
        <w:rPr>
          <w:rFonts w:ascii="宋体" w:hAnsi="宋体"/>
          <w:szCs w:val="21"/>
        </w:rPr>
        <w:t>选择</w:t>
      </w:r>
      <w:r>
        <w:rPr>
          <w:rFonts w:hint="eastAsia" w:ascii="宋体" w:hAnsi="宋体"/>
          <w:szCs w:val="21"/>
        </w:rPr>
        <w:t>或可调整</w:t>
      </w:r>
      <w:r>
        <w:rPr>
          <w:rFonts w:ascii="宋体" w:hAnsi="宋体"/>
          <w:szCs w:val="21"/>
        </w:rPr>
        <w:t>的报价</w:t>
      </w:r>
      <w:r>
        <w:rPr>
          <w:rFonts w:hint="eastAsia" w:ascii="宋体" w:hAnsi="宋体"/>
          <w:szCs w:val="21"/>
        </w:rPr>
        <w:t>方案和报价；</w:t>
      </w:r>
    </w:p>
    <w:p>
      <w:pPr>
        <w:ind w:firstLine="630" w:firstLineChars="300"/>
        <w:rPr>
          <w:rFonts w:ascii="宋体" w:hAnsi="宋体"/>
          <w:szCs w:val="21"/>
        </w:rPr>
      </w:pPr>
      <w:r>
        <w:rPr>
          <w:rFonts w:hint="eastAsia" w:ascii="宋体" w:hAnsi="宋体"/>
          <w:szCs w:val="21"/>
        </w:rPr>
        <w:t>3.投标人对报价若有说明，必须在开标一览表显著处注明，只有注明的报价和优惠才会在评标时予以考虑。</w:t>
      </w:r>
    </w:p>
    <w:p>
      <w:pPr>
        <w:ind w:firstLine="630" w:firstLineChars="300"/>
        <w:rPr>
          <w:rFonts w:ascii="宋体" w:hAnsi="宋体"/>
          <w:szCs w:val="21"/>
        </w:rPr>
      </w:pPr>
      <w:r>
        <w:rPr>
          <w:rFonts w:hint="eastAsia" w:ascii="宋体" w:hAnsi="宋体"/>
          <w:szCs w:val="21"/>
        </w:rPr>
        <w:t>4.本表用于开标宣读用，请单独封存。</w:t>
      </w:r>
    </w:p>
    <w:p>
      <w:pPr>
        <w:rPr>
          <w:szCs w:val="21"/>
        </w:rPr>
      </w:pPr>
    </w:p>
    <w:p>
      <w:pPr>
        <w:pStyle w:val="2"/>
        <w:ind w:firstLine="480"/>
      </w:pPr>
    </w:p>
    <w:p/>
    <w:p/>
    <w:p/>
    <w:p>
      <w:pPr>
        <w:pStyle w:val="2"/>
        <w:ind w:firstLine="480"/>
      </w:pPr>
    </w:p>
    <w:p>
      <w:pPr>
        <w:pStyle w:val="2"/>
        <w:ind w:firstLine="480"/>
      </w:pPr>
    </w:p>
    <w:p>
      <w:pPr>
        <w:rPr>
          <w:rFonts w:ascii="宋体" w:hAnsi="宋体" w:cs="宋体"/>
          <w:b/>
          <w:bCs/>
          <w:sz w:val="28"/>
        </w:rPr>
      </w:pPr>
      <w:r>
        <w:rPr>
          <w:rFonts w:hint="eastAsia" w:ascii="宋体" w:hAnsi="宋体" w:cs="宋体"/>
          <w:b/>
          <w:bCs/>
          <w:sz w:val="28"/>
        </w:rPr>
        <w:br w:type="page"/>
      </w:r>
    </w:p>
    <w:p>
      <w:pPr>
        <w:pStyle w:val="11"/>
        <w:outlineLvl w:val="2"/>
        <w:rPr>
          <w:rFonts w:hint="eastAsia" w:hAnsi="宋体" w:cs="宋体"/>
          <w:b/>
          <w:bCs/>
          <w:color w:val="000000"/>
          <w:sz w:val="24"/>
          <w:szCs w:val="24"/>
        </w:rPr>
      </w:pPr>
      <w:r>
        <w:rPr>
          <w:rFonts w:hint="eastAsia" w:hAnsi="宋体" w:cs="宋体"/>
          <w:b/>
          <w:bCs/>
          <w:color w:val="000000"/>
          <w:sz w:val="24"/>
          <w:szCs w:val="24"/>
        </w:rPr>
        <w:t>附件九：</w:t>
      </w:r>
    </w:p>
    <w:p>
      <w:pPr>
        <w:jc w:val="center"/>
        <w:rPr>
          <w:rFonts w:ascii="宋体" w:hAnsi="宋体" w:cs="宋体"/>
          <w:b/>
          <w:lang w:bidi="ar"/>
        </w:rPr>
      </w:pPr>
      <w:r>
        <w:rPr>
          <w:rFonts w:hint="eastAsia" w:ascii="宋体" w:hAnsi="宋体" w:cs="宋体"/>
          <w:b/>
          <w:lang w:bidi="ar"/>
        </w:rPr>
        <w:t xml:space="preserve">  投标人应邀函</w:t>
      </w:r>
    </w:p>
    <w:p>
      <w:pPr>
        <w:ind w:firstLine="105" w:firstLineChars="50"/>
      </w:pPr>
      <w:r>
        <w:rPr>
          <w:rFonts w:hint="eastAsia"/>
        </w:rPr>
        <w:t>公章：</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pPr>
              <w:jc w:val="center"/>
            </w:pPr>
            <w:r>
              <w:rPr>
                <w:rFonts w:hint="eastAsia"/>
              </w:rPr>
              <w:t>项目名称</w:t>
            </w:r>
          </w:p>
        </w:tc>
        <w:tc>
          <w:tcPr>
            <w:tcW w:w="7123"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pPr>
              <w:jc w:val="center"/>
            </w:pPr>
            <w:r>
              <w:rPr>
                <w:rFonts w:hint="eastAsia" w:ascii="宋体" w:hAnsi="宋体"/>
              </w:rPr>
              <w:t>项目编号</w:t>
            </w:r>
          </w:p>
        </w:tc>
        <w:tc>
          <w:tcPr>
            <w:tcW w:w="7123"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vAlign w:val="center"/>
          </w:tcPr>
          <w:p>
            <w:pPr>
              <w:jc w:val="center"/>
            </w:pPr>
            <w:r>
              <w:rPr>
                <w:rFonts w:hint="eastAsia"/>
              </w:rPr>
              <w:t>投标单位</w:t>
            </w:r>
          </w:p>
          <w:p>
            <w:pPr>
              <w:jc w:val="center"/>
            </w:pPr>
            <w:r>
              <w:rPr>
                <w:rFonts w:hint="eastAsia"/>
              </w:rPr>
              <w:t>（全称）</w:t>
            </w:r>
          </w:p>
        </w:tc>
        <w:tc>
          <w:tcPr>
            <w:tcW w:w="7123"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vAlign w:val="center"/>
          </w:tcPr>
          <w:p>
            <w:pPr>
              <w:jc w:val="center"/>
            </w:pPr>
            <w:r>
              <w:rPr>
                <w:rFonts w:hint="eastAsia"/>
              </w:rPr>
              <w:t>项目负责人</w:t>
            </w:r>
          </w:p>
        </w:tc>
        <w:tc>
          <w:tcPr>
            <w:tcW w:w="2526" w:type="dxa"/>
            <w:vAlign w:val="center"/>
          </w:tcPr>
          <w:p>
            <w:pPr>
              <w:jc w:val="center"/>
            </w:pPr>
          </w:p>
        </w:tc>
        <w:tc>
          <w:tcPr>
            <w:tcW w:w="2272" w:type="dxa"/>
            <w:vAlign w:val="center"/>
          </w:tcPr>
          <w:p>
            <w:pPr>
              <w:jc w:val="center"/>
            </w:pPr>
            <w:r>
              <w:rPr>
                <w:rFonts w:hint="eastAsia"/>
              </w:rPr>
              <w:t>联系电话</w:t>
            </w:r>
          </w:p>
        </w:tc>
        <w:tc>
          <w:tcPr>
            <w:tcW w:w="2325"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vAlign w:val="center"/>
          </w:tcPr>
          <w:p>
            <w:pPr>
              <w:jc w:val="center"/>
            </w:pPr>
            <w:r>
              <w:rPr>
                <w:rFonts w:hint="eastAsia"/>
              </w:rPr>
              <w:t>公司电话</w:t>
            </w:r>
          </w:p>
        </w:tc>
        <w:tc>
          <w:tcPr>
            <w:tcW w:w="2526" w:type="dxa"/>
            <w:vAlign w:val="center"/>
          </w:tcPr>
          <w:p>
            <w:pPr>
              <w:jc w:val="center"/>
            </w:pPr>
          </w:p>
        </w:tc>
        <w:tc>
          <w:tcPr>
            <w:tcW w:w="2272" w:type="dxa"/>
            <w:vAlign w:val="center"/>
          </w:tcPr>
          <w:p>
            <w:pPr>
              <w:jc w:val="center"/>
            </w:pPr>
            <w:r>
              <w:rPr>
                <w:rFonts w:hint="eastAsia"/>
              </w:rPr>
              <w:t>传真</w:t>
            </w:r>
          </w:p>
        </w:tc>
        <w:tc>
          <w:tcPr>
            <w:tcW w:w="2325"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vAlign w:val="center"/>
          </w:tcPr>
          <w:p>
            <w:pPr>
              <w:jc w:val="center"/>
            </w:pPr>
            <w:r>
              <w:rPr>
                <w:rFonts w:hint="eastAsia"/>
              </w:rPr>
              <w:t>E-mail</w:t>
            </w:r>
          </w:p>
        </w:tc>
        <w:tc>
          <w:tcPr>
            <w:tcW w:w="7123"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vAlign w:val="center"/>
          </w:tcPr>
          <w:p>
            <w:pPr>
              <w:jc w:val="center"/>
            </w:pPr>
            <w:r>
              <w:rPr>
                <w:rFonts w:hint="eastAsia"/>
              </w:rPr>
              <w:t>报名时间</w:t>
            </w:r>
          </w:p>
        </w:tc>
        <w:tc>
          <w:tcPr>
            <w:tcW w:w="7123" w:type="dxa"/>
            <w:gridSpan w:val="3"/>
            <w:vAlign w:val="center"/>
          </w:tcPr>
          <w:p>
            <w:pPr>
              <w:jc w:val="center"/>
            </w:pPr>
            <w:r>
              <w:rPr>
                <w:rFonts w:hint="eastAsia"/>
              </w:rPr>
              <w:t>年    月    日</w:t>
            </w:r>
          </w:p>
        </w:tc>
      </w:tr>
    </w:tbl>
    <w:p>
      <w:pPr>
        <w:ind w:left="413" w:right="69" w:rightChars="33" w:hanging="413" w:hangingChars="196"/>
        <w:rPr>
          <w:rFonts w:ascii="宋体" w:hAnsi="宋体"/>
        </w:rPr>
      </w:pPr>
      <w:r>
        <w:rPr>
          <w:rFonts w:hint="eastAsia" w:ascii="宋体" w:hAnsi="宋体"/>
          <w:b/>
        </w:rPr>
        <w:t>注：</w:t>
      </w:r>
      <w:r>
        <w:rPr>
          <w:rFonts w:hint="eastAsia" w:ascii="宋体" w:hAnsi="宋体"/>
        </w:rPr>
        <w:t>请投标单位认真填写并加盖公章，并于规定日期前以扫描电子版形式回传至以下联系人邮箱。缺项及不按要求时间回复均视为自动放弃本次投标。</w:t>
      </w:r>
    </w:p>
    <w:p/>
    <w:p/>
    <w:p>
      <w:pPr>
        <w:pStyle w:val="2"/>
        <w:ind w:firstLine="480"/>
      </w:pPr>
    </w:p>
    <w:p/>
    <w:p>
      <w:pPr>
        <w:spacing w:line="360" w:lineRule="auto"/>
      </w:pPr>
    </w:p>
    <w:p>
      <w:pPr>
        <w:rPr>
          <w:rFonts w:hAnsi="宋体" w:cs="宋体"/>
          <w:b/>
          <w:bCs/>
          <w:color w:val="000000"/>
          <w:sz w:val="24"/>
          <w:szCs w:val="24"/>
        </w:rPr>
      </w:pPr>
      <w:r>
        <w:rPr>
          <w:rFonts w:hint="eastAsia" w:hAnsi="宋体" w:cs="宋体"/>
          <w:b/>
          <w:bCs/>
          <w:color w:val="000000"/>
          <w:sz w:val="24"/>
          <w:szCs w:val="24"/>
        </w:rPr>
        <w:br w:type="page"/>
      </w:r>
    </w:p>
    <w:p>
      <w:pPr>
        <w:pStyle w:val="11"/>
        <w:outlineLvl w:val="2"/>
        <w:rPr>
          <w:rFonts w:hint="eastAsia" w:hAnsi="宋体" w:cs="宋体"/>
          <w:b/>
          <w:bCs/>
          <w:color w:val="000000"/>
          <w:sz w:val="24"/>
          <w:szCs w:val="24"/>
        </w:rPr>
      </w:pPr>
      <w:r>
        <w:rPr>
          <w:rFonts w:hint="eastAsia" w:hAnsi="宋体" w:cs="宋体"/>
          <w:b/>
          <w:bCs/>
          <w:color w:val="000000"/>
          <w:sz w:val="24"/>
          <w:szCs w:val="24"/>
        </w:rPr>
        <w:t>附件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4" cstate="print"/>
                    <a:srcRect/>
                    <a:stretch>
                      <a:fillRect/>
                    </a:stretch>
                  </pic:blipFill>
                  <pic:spPr>
                    <a:xfrm>
                      <a:off x="0" y="0"/>
                      <a:ext cx="5760085" cy="293306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5"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6"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7" cstate="print"/>
                    <a:srcRect/>
                    <a:stretch>
                      <a:fillRect/>
                    </a:stretch>
                  </pic:blipFill>
                  <pic:spPr>
                    <a:xfrm>
                      <a:off x="0" y="0"/>
                      <a:ext cx="5760085" cy="2853055"/>
                    </a:xfrm>
                    <a:prstGeom prst="rect">
                      <a:avLst/>
                    </a:prstGeom>
                  </pic:spPr>
                </pic:pic>
              </a:graphicData>
            </a:graphic>
          </wp:inline>
        </w:drawing>
      </w:r>
    </w:p>
    <w:p>
      <w:pPr>
        <w:numPr>
          <w:ilvl w:val="0"/>
          <w:numId w:val="5"/>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pPr>
        <w:pStyle w:val="11"/>
      </w:pPr>
    </w:p>
    <w:p>
      <w:pPr>
        <w:rPr>
          <w:rFonts w:ascii="宋体" w:hAnsi="宋体" w:cs="宋体"/>
          <w:color w:val="000000"/>
        </w:rPr>
      </w:pPr>
    </w:p>
    <w:p>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8" cstate="print"/>
                    <a:srcRect/>
                    <a:stretch>
                      <a:fillRect/>
                    </a:stretch>
                  </pic:blipFill>
                  <pic:spPr>
                    <a:xfrm>
                      <a:off x="0" y="0"/>
                      <a:ext cx="5760085" cy="2809875"/>
                    </a:xfrm>
                    <a:prstGeom prst="rect">
                      <a:avLst/>
                    </a:prstGeom>
                  </pic:spPr>
                </pic:pic>
              </a:graphicData>
            </a:graphic>
          </wp:inline>
        </w:drawing>
      </w:r>
    </w:p>
    <w:p>
      <w:pPr>
        <w:pStyle w:val="11"/>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9" cstate="print"/>
                    <a:srcRect/>
                    <a:stretch>
                      <a:fillRect/>
                    </a:stretch>
                  </pic:blipFill>
                  <pic:spPr>
                    <a:xfrm>
                      <a:off x="0" y="0"/>
                      <a:ext cx="5760085" cy="2820035"/>
                    </a:xfrm>
                    <a:prstGeom prst="rect">
                      <a:avLst/>
                    </a:prstGeom>
                  </pic:spPr>
                </pic:pic>
              </a:graphicData>
            </a:graphic>
          </wp:inline>
        </w:drawing>
      </w:r>
    </w:p>
    <w:p>
      <w:pPr>
        <w:pStyle w:val="11"/>
      </w:pPr>
    </w:p>
    <w:p>
      <w:pPr>
        <w:pStyle w:val="11"/>
      </w:pPr>
    </w:p>
    <w:p>
      <w:pPr>
        <w:rPr>
          <w:rFonts w:ascii="宋体" w:hAnsi="宋体" w:cs="宋体"/>
          <w:b/>
          <w:bCs/>
          <w:color w:val="000000"/>
          <w:sz w:val="24"/>
          <w:szCs w:val="28"/>
        </w:rPr>
      </w:pPr>
      <w:r>
        <w:rPr>
          <w:rFonts w:hint="eastAsia" w:ascii="宋体" w:hAnsi="宋体" w:cs="宋体"/>
          <w:b/>
          <w:bCs/>
          <w:color w:val="000000"/>
          <w:sz w:val="24"/>
          <w:szCs w:val="28"/>
        </w:rPr>
        <w:t>注：</w:t>
      </w:r>
    </w:p>
    <w:p>
      <w:pPr>
        <w:rPr>
          <w:rFonts w:ascii="宋体" w:hAnsi="宋体" w:cs="宋体"/>
          <w:b/>
          <w:bCs/>
          <w:color w:val="000000"/>
          <w:sz w:val="24"/>
          <w:szCs w:val="28"/>
        </w:rPr>
      </w:pPr>
      <w:r>
        <w:rPr>
          <w:rFonts w:hint="eastAsia" w:ascii="宋体" w:hAnsi="宋体" w:cs="宋体"/>
          <w:b/>
          <w:bCs/>
          <w:color w:val="000000"/>
          <w:sz w:val="24"/>
          <w:szCs w:val="28"/>
        </w:rPr>
        <w:t>1.“项目名称”和“采购形式编号”见投标须知前附表1.1；</w:t>
      </w:r>
    </w:p>
    <w:p>
      <w:pPr>
        <w:pStyle w:val="11"/>
      </w:pPr>
      <w:r>
        <w:rPr>
          <w:rFonts w:hint="eastAsia" w:hAnsi="宋体" w:cs="宋体"/>
          <w:b/>
          <w:bCs/>
          <w:color w:val="000000"/>
          <w:sz w:val="24"/>
          <w:szCs w:val="28"/>
        </w:rPr>
        <w:t>2.配套能力“供货类别”填“直管单位非生产招标 / 服务 / 职业健康”，业务主管部门选择“安全环保部”。</w:t>
      </w:r>
    </w:p>
    <w:p>
      <w:pPr>
        <w:pStyle w:val="11"/>
        <w:sectPr>
          <w:headerReference r:id="rId6" w:type="first"/>
          <w:footerReference r:id="rId8" w:type="first"/>
          <w:headerReference r:id="rId5" w:type="default"/>
          <w:footerReference r:id="rId7" w:type="default"/>
          <w:pgSz w:w="11906" w:h="16838"/>
          <w:pgMar w:top="1588" w:right="1418" w:bottom="1134" w:left="1418" w:header="851" w:footer="992" w:gutter="0"/>
          <w:cols w:space="720" w:num="1"/>
          <w:titlePg/>
          <w:docGrid w:type="lines" w:linePitch="312" w:charSpace="0"/>
        </w:sectPr>
      </w:pPr>
    </w:p>
    <w:p>
      <w:pPr>
        <w:pStyle w:val="11"/>
        <w:outlineLvl w:val="2"/>
        <w:rPr>
          <w:rFonts w:hAnsi="宋体"/>
          <w:b/>
          <w:color w:val="000000"/>
          <w:sz w:val="24"/>
          <w:szCs w:val="24"/>
        </w:rPr>
      </w:pPr>
      <w:r>
        <w:rPr>
          <w:rFonts w:hint="eastAsia" w:hAnsi="宋体" w:cs="宋体"/>
          <w:b/>
          <w:bCs/>
          <w:color w:val="000000"/>
          <w:sz w:val="24"/>
          <w:szCs w:val="24"/>
        </w:rPr>
        <w:t xml:space="preserve">附件 </w:t>
      </w:r>
      <w:r>
        <w:rPr>
          <w:rFonts w:hint="eastAsia" w:hAnsi="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5"/>
          <w:rFonts w:hint="eastAsia" w:ascii="宋体" w:hAnsi="宋体" w:cs="宋体"/>
          <w:sz w:val="24"/>
          <w:szCs w:val="24"/>
        </w:rPr>
        <w:t>https://ecaitong.sinotruk.com:8012/</w:t>
      </w:r>
      <w:r>
        <w:rPr>
          <w:rStyle w:val="25"/>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pPr>
        <w:spacing w:line="360" w:lineRule="auto"/>
        <w:rPr>
          <w:rFonts w:ascii="宋体" w:hAnsi="宋体" w:cs="宋体"/>
          <w:sz w:val="24"/>
          <w:szCs w:val="24"/>
        </w:rPr>
      </w:pPr>
      <w:r>
        <w:rPr>
          <w:rFonts w:hint="eastAsia" w:ascii="宋体" w:hAnsi="宋体" w:cs="宋体"/>
          <w:color w:val="000000"/>
          <w:sz w:val="24"/>
          <w:szCs w:val="24"/>
        </w:rPr>
        <w:t>初始密码：scm@2022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0" cstate="print"/>
                    <a:srcRect/>
                    <a:stretch>
                      <a:fillRect/>
                    </a:stretch>
                  </pic:blipFill>
                  <pic:spPr>
                    <a:xfrm>
                      <a:off x="0" y="0"/>
                      <a:ext cx="5760085" cy="2269490"/>
                    </a:xfrm>
                    <a:prstGeom prst="rect">
                      <a:avLst/>
                    </a:prstGeom>
                  </pic:spPr>
                </pic:pic>
              </a:graphicData>
            </a:graphic>
          </wp:inline>
        </w:drawing>
      </w:r>
    </w:p>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1"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pPr>
        <w:pStyle w:val="11"/>
      </w:pPr>
      <w:r>
        <w:rPr>
          <w:rFonts w:hint="eastAsia" w:hAnsi="宋体" w:cs="宋体"/>
          <w:b/>
          <w:bCs/>
          <w:color w:val="000000"/>
          <w:sz w:val="24"/>
          <w:szCs w:val="28"/>
          <w:highlight w:val="yellow"/>
        </w:rPr>
        <w:t>注意：系统内的投标报价单位为“万元”，如开标现场发现填错报价，即直接淘汰。</w:t>
      </w:r>
    </w:p>
    <w:p>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2"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pPr>
        <w:spacing w:line="360" w:lineRule="auto"/>
        <w:rPr>
          <w:rFonts w:ascii="宋体" w:hAnsi="宋体" w:cs="宋体"/>
          <w:color w:val="000000"/>
          <w:sz w:val="24"/>
          <w:szCs w:val="24"/>
        </w:rPr>
      </w:pPr>
      <w:r>
        <w:rPr>
          <w:rFonts w:ascii="宋体" w:hAnsi="宋体" w:cs="宋体"/>
          <w:color w:val="000000"/>
          <w:sz w:val="24"/>
          <w:szCs w:val="24"/>
        </w:rPr>
        <w:t>开标之后所有投标的供应商都可编辑提交，技术标入围之后都不可编辑</w:t>
      </w:r>
      <w:r>
        <w:rPr>
          <w:rFonts w:hint="eastAsia" w:ascii="宋体" w:hAnsi="宋体" w:cs="宋体"/>
          <w:color w:val="000000"/>
          <w:sz w:val="24"/>
          <w:szCs w:val="24"/>
        </w:rPr>
        <w:t>。</w:t>
      </w:r>
    </w:p>
    <w:p>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3"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4"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pPr>
        <w:spacing w:line="360" w:lineRule="auto"/>
        <w:rPr>
          <w:rFonts w:ascii="宋体" w:hAnsi="宋体" w:cs="宋体"/>
          <w:sz w:val="24"/>
          <w:szCs w:val="24"/>
        </w:rPr>
      </w:pPr>
      <w:r>
        <w:rPr>
          <w:rFonts w:ascii="宋体" w:hAnsi="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5" cstate="print"/>
                    <a:srcRect/>
                    <a:stretch>
                      <a:fillRect/>
                    </a:stretch>
                  </pic:blipFill>
                  <pic:spPr>
                    <a:xfrm>
                      <a:off x="0" y="0"/>
                      <a:ext cx="5760085" cy="1956435"/>
                    </a:xfrm>
                    <a:prstGeom prst="rect">
                      <a:avLst/>
                    </a:prstGeom>
                  </pic:spPr>
                </pic:pic>
              </a:graphicData>
            </a:graphic>
          </wp:inline>
        </w:drawing>
      </w:r>
    </w:p>
    <w:p>
      <w:pPr>
        <w:pStyle w:val="11"/>
        <w:rPr>
          <w:rFonts w:hAnsi="宋体"/>
          <w:b/>
          <w:color w:val="000000"/>
          <w:sz w:val="24"/>
          <w:szCs w:val="24"/>
        </w:rPr>
      </w:pPr>
    </w:p>
    <w:p>
      <w:pPr>
        <w:pStyle w:val="11"/>
        <w:rPr>
          <w:rFonts w:hAnsi="宋体"/>
          <w:b/>
          <w:color w:val="000000"/>
          <w:sz w:val="24"/>
          <w:szCs w:val="24"/>
        </w:rPr>
      </w:pPr>
    </w:p>
    <w:p>
      <w:pPr>
        <w:pStyle w:val="30"/>
        <w:rPr>
          <w:rFonts w:hAnsi="宋体"/>
          <w:sz w:val="24"/>
        </w:rPr>
      </w:pPr>
    </w:p>
    <w:p>
      <w:pPr>
        <w:pStyle w:val="5"/>
      </w:pPr>
    </w:p>
    <w:sectPr>
      <w:footerReference r:id="rId12" w:type="first"/>
      <w:headerReference r:id="rId9" w:type="default"/>
      <w:footerReference r:id="rId10" w:type="default"/>
      <w:footerReference r:id="rId11" w:type="even"/>
      <w:pgSz w:w="11907" w:h="16840"/>
      <w:pgMar w:top="1587" w:right="1418" w:bottom="1418" w:left="1418" w:header="724" w:footer="851" w:gutter="0"/>
      <w:pgNumType w:start="1"/>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4"/>
                          </w:pPr>
                          <w:r>
                            <w:fldChar w:fldCharType="begin"/>
                          </w:r>
                          <w:r>
                            <w:instrText xml:space="preserve"> PAGE  \* MERGEFORMAT </w:instrText>
                          </w:r>
                          <w:r>
                            <w:fldChar w:fldCharType="separate"/>
                          </w:r>
                          <w:r>
                            <w:t>4</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4</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4"/>
                          </w:pPr>
                          <w:r>
                            <w:fldChar w:fldCharType="begin"/>
                          </w:r>
                          <w:r>
                            <w:instrText xml:space="preserve"> PAGE  \* MERGEFORMAT </w:instrText>
                          </w:r>
                          <w:r>
                            <w:fldChar w:fldCharType="separate"/>
                          </w:r>
                          <w:r>
                            <w:t>3</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3</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xTN8ABAACN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2cg0Ib44JC5d+MuoENRfDKRVG80blNXh8L1kPf9H2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CdDFM3wAEAAI0DAAAOAAAAAAAAAAEAIAAAAB4BAABkcnMvZTJvRG9jLnhtbFBLBQYA&#10;AAAABgAGAFkBAABQBQAAAAA=&#10;">
              <v:fill on="f" focussize="0,0"/>
              <v:stroke on="f"/>
              <v:imagedata o:title=""/>
              <o:lock v:ext="edit" aspectratio="f"/>
              <v:textbox inset="0mm,0mm,0mm,0mm" style="mso-fit-shape-to-text:t;">
                <w:txbxContent>
                  <w:p>
                    <w:pPr>
                      <w:pStyle w:val="14"/>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3"/>
      </w:rPr>
    </w:pPr>
    <w:r>
      <w:fldChar w:fldCharType="begin"/>
    </w:r>
    <w:r>
      <w:rPr>
        <w:rStyle w:val="23"/>
      </w:rPr>
      <w:instrText xml:space="preserve">PAGE  </w:instrText>
    </w:r>
    <w:r>
      <w:fldChar w:fldCharType="end"/>
    </w:r>
  </w:p>
  <w:p>
    <w:pPr>
      <w:pStyle w:val="1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jc w:val="left"/>
    </w:pPr>
    <w:r>
      <w:drawing>
        <wp:inline distT="0" distB="0" distL="114300" distR="114300">
          <wp:extent cx="1257300" cy="398145"/>
          <wp:effectExtent l="0" t="0" r="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7"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1">
    <w:nsid w:val="E9DDACA4"/>
    <w:multiLevelType w:val="singleLevel"/>
    <w:tmpl w:val="E9DDACA4"/>
    <w:lvl w:ilvl="0" w:tentative="0">
      <w:start w:val="3"/>
      <w:numFmt w:val="decimal"/>
      <w:lvlText w:val="%1."/>
      <w:lvlJc w:val="left"/>
      <w:pPr>
        <w:tabs>
          <w:tab w:val="left" w:pos="312"/>
        </w:tabs>
      </w:p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656A6EAE"/>
    <w:multiLevelType w:val="multilevel"/>
    <w:tmpl w:val="656A6EAE"/>
    <w:lvl w:ilvl="0" w:tentative="0">
      <w:start w:val="1"/>
      <w:numFmt w:val="chineseCountingThousand"/>
      <w:pStyle w:val="29"/>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70EB3FAA"/>
    <w:multiLevelType w:val="singleLevel"/>
    <w:tmpl w:val="70EB3FAA"/>
    <w:lvl w:ilvl="0" w:tentative="0">
      <w:start w:val="1"/>
      <w:numFmt w:val="decimal"/>
      <w:lvlText w:val="%1."/>
      <w:lvlJc w:val="left"/>
      <w:pPr>
        <w:ind w:left="425" w:hanging="425"/>
      </w:pPr>
      <w:rPr>
        <w:rFont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TViYjUyMjA3NDdjNDFjY2ZjZWYwYmZhZmI2YTEifQ=="/>
  </w:docVars>
  <w:rsids>
    <w:rsidRoot w:val="50367907"/>
    <w:rsid w:val="00036CFE"/>
    <w:rsid w:val="000F5BEC"/>
    <w:rsid w:val="001279E2"/>
    <w:rsid w:val="00197039"/>
    <w:rsid w:val="001C33A5"/>
    <w:rsid w:val="00213CF6"/>
    <w:rsid w:val="002205A4"/>
    <w:rsid w:val="00237994"/>
    <w:rsid w:val="00277B46"/>
    <w:rsid w:val="002F6248"/>
    <w:rsid w:val="00434522"/>
    <w:rsid w:val="0046492E"/>
    <w:rsid w:val="004860C8"/>
    <w:rsid w:val="00487D80"/>
    <w:rsid w:val="005032AE"/>
    <w:rsid w:val="005462FF"/>
    <w:rsid w:val="00553226"/>
    <w:rsid w:val="005B4C78"/>
    <w:rsid w:val="005E4B39"/>
    <w:rsid w:val="00684125"/>
    <w:rsid w:val="00694CDE"/>
    <w:rsid w:val="006C34E9"/>
    <w:rsid w:val="0070456F"/>
    <w:rsid w:val="00707789"/>
    <w:rsid w:val="00775994"/>
    <w:rsid w:val="00784799"/>
    <w:rsid w:val="00795776"/>
    <w:rsid w:val="00832463"/>
    <w:rsid w:val="0088065C"/>
    <w:rsid w:val="008D0A7D"/>
    <w:rsid w:val="00901D29"/>
    <w:rsid w:val="00A20D30"/>
    <w:rsid w:val="00A7148F"/>
    <w:rsid w:val="00A729CD"/>
    <w:rsid w:val="00A73825"/>
    <w:rsid w:val="00AA4396"/>
    <w:rsid w:val="00AB71F0"/>
    <w:rsid w:val="00AF17BF"/>
    <w:rsid w:val="00B217F5"/>
    <w:rsid w:val="00B57466"/>
    <w:rsid w:val="00BD758D"/>
    <w:rsid w:val="00BE4D3A"/>
    <w:rsid w:val="00D315FE"/>
    <w:rsid w:val="00D91AA9"/>
    <w:rsid w:val="00DC339B"/>
    <w:rsid w:val="00E47C24"/>
    <w:rsid w:val="00E663DD"/>
    <w:rsid w:val="00E67679"/>
    <w:rsid w:val="00E736DA"/>
    <w:rsid w:val="00EA14BE"/>
    <w:rsid w:val="00ED1510"/>
    <w:rsid w:val="00EE7A3F"/>
    <w:rsid w:val="00EF64FC"/>
    <w:rsid w:val="00F04CD7"/>
    <w:rsid w:val="00F06571"/>
    <w:rsid w:val="00F27441"/>
    <w:rsid w:val="012478C3"/>
    <w:rsid w:val="015679D0"/>
    <w:rsid w:val="01EE5E5A"/>
    <w:rsid w:val="02427F54"/>
    <w:rsid w:val="02C63F63"/>
    <w:rsid w:val="03AA5078"/>
    <w:rsid w:val="03C1780B"/>
    <w:rsid w:val="040645B1"/>
    <w:rsid w:val="04275653"/>
    <w:rsid w:val="045370A8"/>
    <w:rsid w:val="0462668B"/>
    <w:rsid w:val="05720B50"/>
    <w:rsid w:val="05850883"/>
    <w:rsid w:val="059C28C2"/>
    <w:rsid w:val="05FE0636"/>
    <w:rsid w:val="06356D2A"/>
    <w:rsid w:val="0754675F"/>
    <w:rsid w:val="07660241"/>
    <w:rsid w:val="07AB0349"/>
    <w:rsid w:val="09727371"/>
    <w:rsid w:val="09AE43B9"/>
    <w:rsid w:val="0A256191"/>
    <w:rsid w:val="0A434869"/>
    <w:rsid w:val="0A906BC4"/>
    <w:rsid w:val="0BC33EB3"/>
    <w:rsid w:val="0BF347E8"/>
    <w:rsid w:val="0CC021A1"/>
    <w:rsid w:val="0D083FB4"/>
    <w:rsid w:val="0D5A377C"/>
    <w:rsid w:val="0D6B10F3"/>
    <w:rsid w:val="0DCF4A41"/>
    <w:rsid w:val="0EE7610B"/>
    <w:rsid w:val="0EFE3455"/>
    <w:rsid w:val="0F010326"/>
    <w:rsid w:val="0F946D68"/>
    <w:rsid w:val="0FB104C7"/>
    <w:rsid w:val="103F3D25"/>
    <w:rsid w:val="10991687"/>
    <w:rsid w:val="10A84534"/>
    <w:rsid w:val="11286567"/>
    <w:rsid w:val="11295BB9"/>
    <w:rsid w:val="1147185D"/>
    <w:rsid w:val="115B2DE0"/>
    <w:rsid w:val="118B27F3"/>
    <w:rsid w:val="11922EE2"/>
    <w:rsid w:val="119A3908"/>
    <w:rsid w:val="11F41C82"/>
    <w:rsid w:val="121E1ADF"/>
    <w:rsid w:val="125515DD"/>
    <w:rsid w:val="12DD37BE"/>
    <w:rsid w:val="136E6A2E"/>
    <w:rsid w:val="139D4FEA"/>
    <w:rsid w:val="1517661E"/>
    <w:rsid w:val="15657D89"/>
    <w:rsid w:val="165350E2"/>
    <w:rsid w:val="16C44F84"/>
    <w:rsid w:val="16D76A65"/>
    <w:rsid w:val="16EA2C3C"/>
    <w:rsid w:val="17032A46"/>
    <w:rsid w:val="17726840"/>
    <w:rsid w:val="17BA0860"/>
    <w:rsid w:val="193A152D"/>
    <w:rsid w:val="19444B5F"/>
    <w:rsid w:val="19722A75"/>
    <w:rsid w:val="19CE23A1"/>
    <w:rsid w:val="1A134258"/>
    <w:rsid w:val="1AD125CA"/>
    <w:rsid w:val="1CAA49F8"/>
    <w:rsid w:val="1CBE2546"/>
    <w:rsid w:val="1D623FD6"/>
    <w:rsid w:val="1E1E766F"/>
    <w:rsid w:val="1F8A033E"/>
    <w:rsid w:val="20801F1B"/>
    <w:rsid w:val="215B7B93"/>
    <w:rsid w:val="21B93937"/>
    <w:rsid w:val="220D5A31"/>
    <w:rsid w:val="22160D89"/>
    <w:rsid w:val="23244DE0"/>
    <w:rsid w:val="235B27CC"/>
    <w:rsid w:val="23714228"/>
    <w:rsid w:val="23CB7951"/>
    <w:rsid w:val="23E9442E"/>
    <w:rsid w:val="24694FDB"/>
    <w:rsid w:val="24D665AE"/>
    <w:rsid w:val="259C2031"/>
    <w:rsid w:val="25A5657F"/>
    <w:rsid w:val="26686166"/>
    <w:rsid w:val="26AE0482"/>
    <w:rsid w:val="26C07516"/>
    <w:rsid w:val="26D34E8D"/>
    <w:rsid w:val="27035654"/>
    <w:rsid w:val="272A0AD1"/>
    <w:rsid w:val="280E0B21"/>
    <w:rsid w:val="287560DE"/>
    <w:rsid w:val="29C76E0D"/>
    <w:rsid w:val="2A1132FB"/>
    <w:rsid w:val="2A2D4EC2"/>
    <w:rsid w:val="2A5103CA"/>
    <w:rsid w:val="2A895E70"/>
    <w:rsid w:val="2AAD6003"/>
    <w:rsid w:val="2ACB0237"/>
    <w:rsid w:val="2B2E2E69"/>
    <w:rsid w:val="2B6366C1"/>
    <w:rsid w:val="2B8925CC"/>
    <w:rsid w:val="2C3818FC"/>
    <w:rsid w:val="2CDA35EC"/>
    <w:rsid w:val="2CDA6E57"/>
    <w:rsid w:val="2D236108"/>
    <w:rsid w:val="2D50441C"/>
    <w:rsid w:val="2D962D7E"/>
    <w:rsid w:val="2E026666"/>
    <w:rsid w:val="2F216C64"/>
    <w:rsid w:val="2F61560E"/>
    <w:rsid w:val="2FF47BED"/>
    <w:rsid w:val="308E2433"/>
    <w:rsid w:val="30F027A5"/>
    <w:rsid w:val="31DD5420"/>
    <w:rsid w:val="32BA306B"/>
    <w:rsid w:val="33731823"/>
    <w:rsid w:val="341E587B"/>
    <w:rsid w:val="34E73EBF"/>
    <w:rsid w:val="35E0728C"/>
    <w:rsid w:val="36262C62"/>
    <w:rsid w:val="36A35AAF"/>
    <w:rsid w:val="36B67FED"/>
    <w:rsid w:val="370451FC"/>
    <w:rsid w:val="373A29CC"/>
    <w:rsid w:val="382A0C93"/>
    <w:rsid w:val="38523D46"/>
    <w:rsid w:val="387651EF"/>
    <w:rsid w:val="38F176D4"/>
    <w:rsid w:val="393050F9"/>
    <w:rsid w:val="39A20CFD"/>
    <w:rsid w:val="39A71E6F"/>
    <w:rsid w:val="3A033549"/>
    <w:rsid w:val="3A46703D"/>
    <w:rsid w:val="3AEA4709"/>
    <w:rsid w:val="3B365BA1"/>
    <w:rsid w:val="3B4756B8"/>
    <w:rsid w:val="3BC1546A"/>
    <w:rsid w:val="3C4D6CFE"/>
    <w:rsid w:val="3CCF1E09"/>
    <w:rsid w:val="3D8B21D4"/>
    <w:rsid w:val="3F144495"/>
    <w:rsid w:val="3F760C61"/>
    <w:rsid w:val="3F863274"/>
    <w:rsid w:val="3FE61943"/>
    <w:rsid w:val="3FF322B2"/>
    <w:rsid w:val="40EC18A8"/>
    <w:rsid w:val="414D154E"/>
    <w:rsid w:val="41656898"/>
    <w:rsid w:val="41962EF5"/>
    <w:rsid w:val="41AC44C7"/>
    <w:rsid w:val="420C5DAD"/>
    <w:rsid w:val="42141C1A"/>
    <w:rsid w:val="423A5F76"/>
    <w:rsid w:val="42D54FED"/>
    <w:rsid w:val="43256E7E"/>
    <w:rsid w:val="434B5F61"/>
    <w:rsid w:val="439416B6"/>
    <w:rsid w:val="43F54DA9"/>
    <w:rsid w:val="44513222"/>
    <w:rsid w:val="44A27E03"/>
    <w:rsid w:val="453036AF"/>
    <w:rsid w:val="45A35BE1"/>
    <w:rsid w:val="45CD0EAF"/>
    <w:rsid w:val="46A1129B"/>
    <w:rsid w:val="47BC567F"/>
    <w:rsid w:val="47C81250"/>
    <w:rsid w:val="49CA5E32"/>
    <w:rsid w:val="4C325F10"/>
    <w:rsid w:val="4C432784"/>
    <w:rsid w:val="4CDA761C"/>
    <w:rsid w:val="4CFE4F27"/>
    <w:rsid w:val="4D6F029E"/>
    <w:rsid w:val="4D996326"/>
    <w:rsid w:val="4E832A53"/>
    <w:rsid w:val="4EE02FF7"/>
    <w:rsid w:val="4F4F0335"/>
    <w:rsid w:val="4F732AC8"/>
    <w:rsid w:val="4FC926E8"/>
    <w:rsid w:val="50367907"/>
    <w:rsid w:val="507029B3"/>
    <w:rsid w:val="50A72271"/>
    <w:rsid w:val="50B96959"/>
    <w:rsid w:val="512A365A"/>
    <w:rsid w:val="51300A07"/>
    <w:rsid w:val="517C731C"/>
    <w:rsid w:val="52925986"/>
    <w:rsid w:val="52A66D10"/>
    <w:rsid w:val="52EA12F3"/>
    <w:rsid w:val="53226CDE"/>
    <w:rsid w:val="53277100"/>
    <w:rsid w:val="535D31CD"/>
    <w:rsid w:val="53934391"/>
    <w:rsid w:val="5435659E"/>
    <w:rsid w:val="54B6421E"/>
    <w:rsid w:val="5663112E"/>
    <w:rsid w:val="569021B1"/>
    <w:rsid w:val="56C62E6D"/>
    <w:rsid w:val="575E405D"/>
    <w:rsid w:val="57B65C47"/>
    <w:rsid w:val="57B8376D"/>
    <w:rsid w:val="57D936E4"/>
    <w:rsid w:val="57EF1159"/>
    <w:rsid w:val="59280444"/>
    <w:rsid w:val="59DF307F"/>
    <w:rsid w:val="5B635D3E"/>
    <w:rsid w:val="5BDF6DA3"/>
    <w:rsid w:val="5CDF79EE"/>
    <w:rsid w:val="5D465377"/>
    <w:rsid w:val="5D4E06D0"/>
    <w:rsid w:val="5D973E25"/>
    <w:rsid w:val="5D973F41"/>
    <w:rsid w:val="5DC50992"/>
    <w:rsid w:val="5DD159D8"/>
    <w:rsid w:val="5DDE1A77"/>
    <w:rsid w:val="5E2F405E"/>
    <w:rsid w:val="5E3873B6"/>
    <w:rsid w:val="5EA031AD"/>
    <w:rsid w:val="60EE1FAE"/>
    <w:rsid w:val="611A2DA3"/>
    <w:rsid w:val="616B0B5C"/>
    <w:rsid w:val="619568CD"/>
    <w:rsid w:val="61EA1238"/>
    <w:rsid w:val="62051CA5"/>
    <w:rsid w:val="621C2B4B"/>
    <w:rsid w:val="63293771"/>
    <w:rsid w:val="63343EC4"/>
    <w:rsid w:val="63B41E9C"/>
    <w:rsid w:val="63C70946"/>
    <w:rsid w:val="646F3406"/>
    <w:rsid w:val="64BA4740"/>
    <w:rsid w:val="64E01C52"/>
    <w:rsid w:val="654E019A"/>
    <w:rsid w:val="654F3237"/>
    <w:rsid w:val="658F7EFB"/>
    <w:rsid w:val="66171B8A"/>
    <w:rsid w:val="661F2C0A"/>
    <w:rsid w:val="66650F64"/>
    <w:rsid w:val="666D1BC7"/>
    <w:rsid w:val="67874F0A"/>
    <w:rsid w:val="683F57E5"/>
    <w:rsid w:val="6874548F"/>
    <w:rsid w:val="68993147"/>
    <w:rsid w:val="689B09AB"/>
    <w:rsid w:val="68EB3A39"/>
    <w:rsid w:val="68EB3DB7"/>
    <w:rsid w:val="69467F49"/>
    <w:rsid w:val="694A61CA"/>
    <w:rsid w:val="696A60B8"/>
    <w:rsid w:val="696A6892"/>
    <w:rsid w:val="6B3E3B32"/>
    <w:rsid w:val="6B480E55"/>
    <w:rsid w:val="6B4D7F19"/>
    <w:rsid w:val="6B6C68F1"/>
    <w:rsid w:val="6B822971"/>
    <w:rsid w:val="6C35284A"/>
    <w:rsid w:val="6C7749C2"/>
    <w:rsid w:val="6CC91FF4"/>
    <w:rsid w:val="6CDE73AA"/>
    <w:rsid w:val="6DFD15BC"/>
    <w:rsid w:val="6E2711F5"/>
    <w:rsid w:val="6F6532C9"/>
    <w:rsid w:val="6F9775A3"/>
    <w:rsid w:val="6FA81EC2"/>
    <w:rsid w:val="6FAA3E8C"/>
    <w:rsid w:val="70407F78"/>
    <w:rsid w:val="70B34FC2"/>
    <w:rsid w:val="715611F3"/>
    <w:rsid w:val="71F633B8"/>
    <w:rsid w:val="7298621E"/>
    <w:rsid w:val="72E01973"/>
    <w:rsid w:val="72F74E03"/>
    <w:rsid w:val="73C53042"/>
    <w:rsid w:val="73DE4104"/>
    <w:rsid w:val="73F77193"/>
    <w:rsid w:val="73FD2E3F"/>
    <w:rsid w:val="7416564C"/>
    <w:rsid w:val="745B39A7"/>
    <w:rsid w:val="7476258E"/>
    <w:rsid w:val="74CC6652"/>
    <w:rsid w:val="74F945A2"/>
    <w:rsid w:val="75A40A8D"/>
    <w:rsid w:val="75AC3A76"/>
    <w:rsid w:val="75E654F2"/>
    <w:rsid w:val="761B163F"/>
    <w:rsid w:val="76515061"/>
    <w:rsid w:val="770E0474"/>
    <w:rsid w:val="77437B39"/>
    <w:rsid w:val="77EB3293"/>
    <w:rsid w:val="78063C29"/>
    <w:rsid w:val="797E7695"/>
    <w:rsid w:val="7A6B246A"/>
    <w:rsid w:val="7B47744F"/>
    <w:rsid w:val="7B7B048A"/>
    <w:rsid w:val="7B8A691F"/>
    <w:rsid w:val="7D0F17D2"/>
    <w:rsid w:val="7D360E79"/>
    <w:rsid w:val="7DA168CE"/>
    <w:rsid w:val="7DC720AD"/>
    <w:rsid w:val="7E464D80"/>
    <w:rsid w:val="7E7F64E4"/>
    <w:rsid w:val="7F547970"/>
    <w:rsid w:val="7FC44AF6"/>
    <w:rsid w:val="7FFA4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98"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1"/>
    <w:link w:val="125"/>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uiPriority w:val="0"/>
    <w:pPr>
      <w:keepNext/>
      <w:keepLines/>
      <w:spacing w:line="416" w:lineRule="auto"/>
      <w:outlineLvl w:val="2"/>
    </w:pPr>
    <w:rPr>
      <w:b/>
      <w:bCs/>
      <w:sz w:val="32"/>
      <w:szCs w:val="32"/>
    </w:rPr>
  </w:style>
  <w:style w:type="paragraph" w:styleId="7">
    <w:name w:val="heading 4"/>
    <w:basedOn w:val="1"/>
    <w:next w:val="1"/>
    <w:link w:val="82"/>
    <w:qFormat/>
    <w:uiPriority w:val="0"/>
    <w:pPr>
      <w:keepNext/>
      <w:keepLines/>
      <w:spacing w:before="280" w:after="290" w:line="372" w:lineRule="auto"/>
      <w:outlineLvl w:val="3"/>
    </w:pPr>
    <w:rPr>
      <w:rFonts w:ascii="Arial" w:hAnsi="Arial" w:eastAsia="黑体"/>
      <w:b/>
      <w:sz w:val="28"/>
      <w:szCs w:val="24"/>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pPr>
  </w:style>
  <w:style w:type="paragraph" w:styleId="3">
    <w:name w:val="Body Text Indent"/>
    <w:basedOn w:val="1"/>
    <w:next w:val="4"/>
    <w:unhideWhenUsed/>
    <w:qFormat/>
    <w:uiPriority w:val="0"/>
    <w:pPr>
      <w:spacing w:after="120"/>
      <w:ind w:left="420" w:leftChars="200"/>
    </w:pPr>
    <w:rPr>
      <w:rFonts w:ascii="Calibri" w:hAnsi="Calibri"/>
      <w:szCs w:val="22"/>
    </w:rPr>
  </w:style>
  <w:style w:type="paragraph" w:styleId="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annotation text"/>
    <w:basedOn w:val="1"/>
    <w:link w:val="94"/>
    <w:qFormat/>
    <w:uiPriority w:val="99"/>
    <w:pPr>
      <w:jc w:val="left"/>
    </w:pPr>
  </w:style>
  <w:style w:type="paragraph" w:styleId="10">
    <w:name w:val="Body Text"/>
    <w:basedOn w:val="1"/>
    <w:qFormat/>
    <w:uiPriority w:val="0"/>
    <w:rPr>
      <w:rFonts w:ascii="仿宋_GB2312" w:eastAsia="仿宋_GB2312"/>
      <w:sz w:val="32"/>
    </w:rPr>
  </w:style>
  <w:style w:type="paragraph" w:styleId="11">
    <w:name w:val="Plain Text"/>
    <w:basedOn w:val="1"/>
    <w:link w:val="80"/>
    <w:qFormat/>
    <w:uiPriority w:val="0"/>
    <w:rPr>
      <w:rFonts w:ascii="宋体" w:hAnsi="Courier New"/>
    </w:rPr>
  </w:style>
  <w:style w:type="paragraph" w:styleId="12">
    <w:name w:val="Body Text Indent 2"/>
    <w:basedOn w:val="1"/>
    <w:link w:val="83"/>
    <w:qFormat/>
    <w:uiPriority w:val="0"/>
    <w:pPr>
      <w:spacing w:line="520" w:lineRule="exact"/>
      <w:ind w:firstLine="478" w:firstLineChars="199"/>
    </w:pPr>
    <w:rPr>
      <w:sz w:val="24"/>
      <w:szCs w:val="24"/>
    </w:rPr>
  </w:style>
  <w:style w:type="paragraph" w:styleId="13">
    <w:name w:val="Balloon Text"/>
    <w:basedOn w:val="1"/>
    <w:link w:val="84"/>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toc 1"/>
    <w:basedOn w:val="1"/>
    <w:next w:val="1"/>
    <w:qFormat/>
    <w:uiPriority w:val="0"/>
    <w:pPr>
      <w:tabs>
        <w:tab w:val="right" w:leader="dot" w:pos="8729"/>
      </w:tabs>
      <w:spacing w:line="480" w:lineRule="auto"/>
      <w:jc w:val="left"/>
    </w:pPr>
    <w:rPr>
      <w:rFonts w:ascii="宋体" w:hAnsi="宋体"/>
      <w:b/>
      <w:caps/>
      <w:sz w:val="28"/>
      <w:szCs w:val="28"/>
    </w:rPr>
  </w:style>
  <w:style w:type="paragraph" w:styleId="16">
    <w:name w:val="List"/>
    <w:basedOn w:val="1"/>
    <w:qFormat/>
    <w:uiPriority w:val="0"/>
    <w:pPr>
      <w:ind w:left="200" w:hanging="200" w:hangingChars="200"/>
    </w:pPr>
  </w:style>
  <w:style w:type="paragraph" w:styleId="17">
    <w:name w:val="Normal (Web)"/>
    <w:basedOn w:val="1"/>
    <w:qFormat/>
    <w:uiPriority w:val="0"/>
    <w:rPr>
      <w:sz w:val="24"/>
    </w:rPr>
  </w:style>
  <w:style w:type="paragraph" w:styleId="18">
    <w:name w:val="Title"/>
    <w:basedOn w:val="1"/>
    <w:link w:val="96"/>
    <w:qFormat/>
    <w:uiPriority w:val="0"/>
    <w:pPr>
      <w:tabs>
        <w:tab w:val="left" w:pos="480"/>
      </w:tabs>
      <w:adjustRightInd w:val="0"/>
      <w:spacing w:before="240" w:after="60"/>
      <w:ind w:left="2972" w:hanging="420"/>
      <w:jc w:val="center"/>
      <w:outlineLvl w:val="0"/>
    </w:pPr>
    <w:rPr>
      <w:rFonts w:ascii="Arial" w:hAnsi="Arial" w:cs="Arial"/>
      <w:b/>
      <w:bCs/>
      <w:sz w:val="32"/>
      <w:szCs w:val="32"/>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rPr>
  </w:style>
  <w:style w:type="character" w:styleId="23">
    <w:name w:val="page number"/>
    <w:basedOn w:val="21"/>
    <w:qFormat/>
    <w:uiPriority w:val="0"/>
  </w:style>
  <w:style w:type="character" w:styleId="24">
    <w:name w:val="FollowedHyperlink"/>
    <w:unhideWhenUsed/>
    <w:qFormat/>
    <w:uiPriority w:val="99"/>
    <w:rPr>
      <w:color w:val="800080"/>
      <w:u w:val="single"/>
    </w:rPr>
  </w:style>
  <w:style w:type="character" w:styleId="25">
    <w:name w:val="Hyperlink"/>
    <w:basedOn w:val="21"/>
    <w:semiHidden/>
    <w:qFormat/>
    <w:uiPriority w:val="99"/>
    <w:rPr>
      <w:rFonts w:cs="Times New Roman"/>
      <w:color w:val="1F4F88"/>
      <w:u w:val="none"/>
    </w:rPr>
  </w:style>
  <w:style w:type="character" w:styleId="26">
    <w:name w:val="annotation reference"/>
    <w:qFormat/>
    <w:uiPriority w:val="99"/>
    <w:rPr>
      <w:sz w:val="21"/>
      <w:szCs w:val="21"/>
    </w:rPr>
  </w:style>
  <w:style w:type="paragraph" w:customStyle="1" w:styleId="27">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28">
    <w:name w:val="List Paragraph"/>
    <w:basedOn w:val="1"/>
    <w:qFormat/>
    <w:uiPriority w:val="99"/>
    <w:pPr>
      <w:ind w:firstLine="420" w:firstLineChars="200"/>
    </w:pPr>
  </w:style>
  <w:style w:type="paragraph" w:customStyle="1" w:styleId="29">
    <w:name w:val="一级标题"/>
    <w:basedOn w:val="11"/>
    <w:link w:val="129"/>
    <w:qFormat/>
    <w:uiPriority w:val="1"/>
    <w:pPr>
      <w:numPr>
        <w:ilvl w:val="0"/>
        <w:numId w:val="1"/>
      </w:numPr>
      <w:spacing w:line="360" w:lineRule="auto"/>
      <w:ind w:left="420"/>
      <w:outlineLvl w:val="1"/>
    </w:pPr>
    <w:rPr>
      <w:rFonts w:ascii="黑体" w:eastAsia="黑体"/>
      <w:b/>
      <w:bCs/>
      <w:sz w:val="28"/>
    </w:rPr>
  </w:style>
  <w:style w:type="paragraph" w:customStyle="1" w:styleId="30">
    <w:name w:val="标书正文"/>
    <w:basedOn w:val="11"/>
    <w:link w:val="126"/>
    <w:qFormat/>
    <w:uiPriority w:val="9"/>
    <w:pPr>
      <w:spacing w:line="360" w:lineRule="auto"/>
      <w:jc w:val="left"/>
    </w:pPr>
  </w:style>
  <w:style w:type="paragraph" w:customStyle="1" w:styleId="31">
    <w:name w:val="标书正文格式"/>
    <w:basedOn w:val="11"/>
    <w:link w:val="127"/>
    <w:qFormat/>
    <w:uiPriority w:val="0"/>
    <w:pPr>
      <w:spacing w:line="360" w:lineRule="auto"/>
      <w:ind w:firstLine="200" w:firstLineChars="200"/>
    </w:pPr>
    <w:rPr>
      <w:rFonts w:hAnsi="宋体" w:eastAsiaTheme="minorEastAsia"/>
      <w:color w:val="000000"/>
      <w:sz w:val="24"/>
      <w:szCs w:val="24"/>
    </w:rPr>
  </w:style>
  <w:style w:type="paragraph" w:customStyle="1" w:styleId="32">
    <w:name w:val="Table Paragraph"/>
    <w:basedOn w:val="1"/>
    <w:link w:val="128"/>
    <w:qFormat/>
    <w:uiPriority w:val="1"/>
    <w:rPr>
      <w:rFonts w:ascii="宋体" w:hAnsi="宋体" w:cs="宋体"/>
    </w:rPr>
  </w:style>
  <w:style w:type="table" w:customStyle="1" w:styleId="33">
    <w:name w:val="Table Normal"/>
    <w:qFormat/>
    <w:uiPriority w:val="0"/>
    <w:tblPr>
      <w:tblCellMar>
        <w:top w:w="0" w:type="dxa"/>
        <w:left w:w="0" w:type="dxa"/>
        <w:bottom w:w="0" w:type="dxa"/>
        <w:right w:w="0" w:type="dxa"/>
      </w:tblCellMar>
    </w:tblPr>
  </w:style>
  <w:style w:type="paragraph" w:customStyle="1" w:styleId="34">
    <w:name w:val="null22"/>
    <w:qFormat/>
    <w:uiPriority w:val="0"/>
    <w:rPr>
      <w:rFonts w:ascii="Times New Roman" w:hAnsi="Times New Roman" w:eastAsia="宋体" w:cs="Times New Roman"/>
      <w:szCs w:val="21"/>
      <w:lang w:val="en-US" w:eastAsia="zh-CN" w:bidi="ar-SA"/>
    </w:rPr>
  </w:style>
  <w:style w:type="paragraph" w:customStyle="1" w:styleId="35">
    <w:name w:val="null23"/>
    <w:qFormat/>
    <w:uiPriority w:val="0"/>
    <w:rPr>
      <w:rFonts w:ascii="Times New Roman" w:hAnsi="Times New Roman" w:eastAsia="宋体" w:cs="Times New Roman"/>
      <w:szCs w:val="21"/>
      <w:lang w:val="en-US" w:eastAsia="zh-CN" w:bidi="ar-SA"/>
    </w:rPr>
  </w:style>
  <w:style w:type="paragraph" w:customStyle="1" w:styleId="36">
    <w:name w:val="null24"/>
    <w:qFormat/>
    <w:uiPriority w:val="0"/>
    <w:rPr>
      <w:rFonts w:ascii="Times New Roman" w:hAnsi="Times New Roman" w:eastAsia="宋体" w:cs="Times New Roman"/>
      <w:szCs w:val="21"/>
      <w:lang w:val="en-US" w:eastAsia="zh-CN" w:bidi="ar-SA"/>
    </w:rPr>
  </w:style>
  <w:style w:type="paragraph" w:customStyle="1" w:styleId="37">
    <w:name w:val="null25"/>
    <w:qFormat/>
    <w:uiPriority w:val="0"/>
    <w:rPr>
      <w:rFonts w:ascii="Times New Roman" w:hAnsi="Times New Roman" w:eastAsia="宋体" w:cs="Times New Roman"/>
      <w:szCs w:val="21"/>
      <w:lang w:val="en-US" w:eastAsia="zh-CN" w:bidi="ar-SA"/>
    </w:rPr>
  </w:style>
  <w:style w:type="paragraph" w:customStyle="1" w:styleId="38">
    <w:name w:val="null26"/>
    <w:qFormat/>
    <w:uiPriority w:val="0"/>
    <w:rPr>
      <w:rFonts w:ascii="Times New Roman" w:hAnsi="Times New Roman" w:eastAsia="宋体" w:cs="Times New Roman"/>
      <w:szCs w:val="21"/>
      <w:lang w:val="en-US" w:eastAsia="zh-CN" w:bidi="ar-SA"/>
    </w:rPr>
  </w:style>
  <w:style w:type="paragraph" w:customStyle="1" w:styleId="39">
    <w:name w:val="null27"/>
    <w:qFormat/>
    <w:uiPriority w:val="0"/>
    <w:rPr>
      <w:rFonts w:ascii="Times New Roman" w:hAnsi="Times New Roman" w:eastAsia="宋体" w:cs="Times New Roman"/>
      <w:szCs w:val="21"/>
      <w:lang w:val="en-US" w:eastAsia="zh-CN" w:bidi="ar-SA"/>
    </w:rPr>
  </w:style>
  <w:style w:type="paragraph" w:customStyle="1" w:styleId="40">
    <w:name w:val="null28"/>
    <w:qFormat/>
    <w:uiPriority w:val="0"/>
    <w:rPr>
      <w:rFonts w:ascii="Times New Roman" w:hAnsi="Times New Roman" w:eastAsia="宋体" w:cs="Times New Roman"/>
      <w:szCs w:val="21"/>
      <w:lang w:val="en-US" w:eastAsia="zh-CN" w:bidi="ar-SA"/>
    </w:rPr>
  </w:style>
  <w:style w:type="paragraph" w:customStyle="1" w:styleId="41">
    <w:name w:val="null29"/>
    <w:qFormat/>
    <w:uiPriority w:val="0"/>
    <w:rPr>
      <w:rFonts w:ascii="Times New Roman" w:hAnsi="Times New Roman" w:eastAsia="宋体" w:cs="Times New Roman"/>
      <w:szCs w:val="21"/>
      <w:lang w:val="en-US" w:eastAsia="zh-CN" w:bidi="ar-SA"/>
    </w:rPr>
  </w:style>
  <w:style w:type="paragraph" w:customStyle="1" w:styleId="42">
    <w:name w:val="null30"/>
    <w:qFormat/>
    <w:uiPriority w:val="0"/>
    <w:rPr>
      <w:rFonts w:ascii="Times New Roman" w:hAnsi="Times New Roman" w:eastAsia="宋体" w:cs="Times New Roman"/>
      <w:szCs w:val="21"/>
      <w:lang w:val="en-US" w:eastAsia="zh-CN" w:bidi="ar-SA"/>
    </w:rPr>
  </w:style>
  <w:style w:type="paragraph" w:customStyle="1" w:styleId="43">
    <w:name w:val="null31"/>
    <w:qFormat/>
    <w:uiPriority w:val="0"/>
    <w:rPr>
      <w:rFonts w:ascii="Times New Roman" w:hAnsi="Times New Roman" w:eastAsia="宋体" w:cs="Times New Roman"/>
      <w:szCs w:val="21"/>
      <w:lang w:val="en-US" w:eastAsia="zh-CN" w:bidi="ar-SA"/>
    </w:rPr>
  </w:style>
  <w:style w:type="paragraph" w:customStyle="1" w:styleId="44">
    <w:name w:val="null32"/>
    <w:qFormat/>
    <w:uiPriority w:val="0"/>
    <w:rPr>
      <w:rFonts w:ascii="Times New Roman" w:hAnsi="Times New Roman" w:eastAsia="宋体" w:cs="Times New Roman"/>
      <w:szCs w:val="21"/>
      <w:lang w:val="en-US" w:eastAsia="zh-CN" w:bidi="ar-SA"/>
    </w:rPr>
  </w:style>
  <w:style w:type="paragraph" w:customStyle="1" w:styleId="45">
    <w:name w:val="null33"/>
    <w:qFormat/>
    <w:uiPriority w:val="0"/>
    <w:rPr>
      <w:rFonts w:ascii="Times New Roman" w:hAnsi="Times New Roman" w:eastAsia="宋体" w:cs="Times New Roman"/>
      <w:szCs w:val="21"/>
      <w:lang w:val="en-US" w:eastAsia="zh-CN" w:bidi="ar-SA"/>
    </w:rPr>
  </w:style>
  <w:style w:type="paragraph" w:customStyle="1" w:styleId="46">
    <w:name w:val="null34"/>
    <w:qFormat/>
    <w:uiPriority w:val="0"/>
    <w:rPr>
      <w:rFonts w:ascii="Times New Roman" w:hAnsi="Times New Roman" w:eastAsia="宋体" w:cs="Times New Roman"/>
      <w:szCs w:val="21"/>
      <w:lang w:val="en-US" w:eastAsia="zh-CN" w:bidi="ar-SA"/>
    </w:rPr>
  </w:style>
  <w:style w:type="paragraph" w:customStyle="1" w:styleId="47">
    <w:name w:val="null35"/>
    <w:qFormat/>
    <w:uiPriority w:val="0"/>
    <w:rPr>
      <w:rFonts w:ascii="Times New Roman" w:hAnsi="Times New Roman" w:eastAsia="宋体" w:cs="Times New Roman"/>
      <w:szCs w:val="21"/>
      <w:lang w:val="en-US" w:eastAsia="zh-CN" w:bidi="ar-SA"/>
    </w:rPr>
  </w:style>
  <w:style w:type="paragraph" w:customStyle="1" w:styleId="48">
    <w:name w:val="null36"/>
    <w:qFormat/>
    <w:uiPriority w:val="0"/>
    <w:rPr>
      <w:rFonts w:ascii="Times New Roman" w:hAnsi="Times New Roman" w:eastAsia="宋体" w:cs="Times New Roman"/>
      <w:szCs w:val="21"/>
      <w:lang w:val="en-US" w:eastAsia="zh-CN" w:bidi="ar-SA"/>
    </w:rPr>
  </w:style>
  <w:style w:type="paragraph" w:customStyle="1" w:styleId="49">
    <w:name w:val="null37"/>
    <w:qFormat/>
    <w:uiPriority w:val="0"/>
    <w:rPr>
      <w:rFonts w:ascii="Times New Roman" w:hAnsi="Times New Roman" w:eastAsia="宋体" w:cs="Times New Roman"/>
      <w:szCs w:val="21"/>
      <w:lang w:val="en-US" w:eastAsia="zh-CN" w:bidi="ar-SA"/>
    </w:rPr>
  </w:style>
  <w:style w:type="paragraph" w:customStyle="1" w:styleId="50">
    <w:name w:val="null38"/>
    <w:qFormat/>
    <w:uiPriority w:val="0"/>
    <w:rPr>
      <w:rFonts w:ascii="Times New Roman" w:hAnsi="Times New Roman" w:eastAsia="宋体" w:cs="Times New Roman"/>
      <w:szCs w:val="21"/>
      <w:lang w:val="en-US" w:eastAsia="zh-CN" w:bidi="ar-SA"/>
    </w:rPr>
  </w:style>
  <w:style w:type="paragraph" w:customStyle="1" w:styleId="51">
    <w:name w:val="null39"/>
    <w:qFormat/>
    <w:uiPriority w:val="0"/>
    <w:rPr>
      <w:rFonts w:ascii="Times New Roman" w:hAnsi="Times New Roman" w:eastAsia="宋体" w:cs="Times New Roman"/>
      <w:szCs w:val="21"/>
      <w:lang w:val="en-US" w:eastAsia="zh-CN" w:bidi="ar-SA"/>
    </w:rPr>
  </w:style>
  <w:style w:type="paragraph" w:customStyle="1" w:styleId="52">
    <w:name w:val="null40"/>
    <w:qFormat/>
    <w:uiPriority w:val="0"/>
    <w:rPr>
      <w:rFonts w:ascii="Times New Roman" w:hAnsi="Times New Roman" w:eastAsia="宋体" w:cs="Times New Roman"/>
      <w:szCs w:val="21"/>
      <w:lang w:val="en-US" w:eastAsia="zh-CN" w:bidi="ar-SA"/>
    </w:rPr>
  </w:style>
  <w:style w:type="paragraph" w:customStyle="1" w:styleId="53">
    <w:name w:val="null41"/>
    <w:qFormat/>
    <w:uiPriority w:val="0"/>
    <w:rPr>
      <w:rFonts w:ascii="Times New Roman" w:hAnsi="Times New Roman" w:eastAsia="宋体" w:cs="Times New Roman"/>
      <w:szCs w:val="21"/>
      <w:lang w:val="en-US" w:eastAsia="zh-CN" w:bidi="ar-SA"/>
    </w:rPr>
  </w:style>
  <w:style w:type="paragraph" w:customStyle="1" w:styleId="54">
    <w:name w:val="null42"/>
    <w:qFormat/>
    <w:uiPriority w:val="0"/>
    <w:rPr>
      <w:rFonts w:ascii="Times New Roman" w:hAnsi="Times New Roman" w:eastAsia="宋体" w:cs="Times New Roman"/>
      <w:szCs w:val="21"/>
      <w:lang w:val="en-US" w:eastAsia="zh-CN" w:bidi="ar-SA"/>
    </w:rPr>
  </w:style>
  <w:style w:type="paragraph" w:customStyle="1" w:styleId="55">
    <w:name w:val="null43"/>
    <w:qFormat/>
    <w:uiPriority w:val="0"/>
    <w:rPr>
      <w:rFonts w:ascii="Times New Roman" w:hAnsi="Times New Roman" w:eastAsia="宋体" w:cs="Times New Roman"/>
      <w:szCs w:val="21"/>
      <w:lang w:val="en-US" w:eastAsia="zh-CN" w:bidi="ar-SA"/>
    </w:rPr>
  </w:style>
  <w:style w:type="paragraph" w:customStyle="1" w:styleId="56">
    <w:name w:val="null44"/>
    <w:qFormat/>
    <w:uiPriority w:val="0"/>
    <w:rPr>
      <w:rFonts w:ascii="Times New Roman" w:hAnsi="Times New Roman" w:eastAsia="宋体" w:cs="Times New Roman"/>
      <w:szCs w:val="21"/>
      <w:lang w:val="en-US" w:eastAsia="zh-CN" w:bidi="ar-SA"/>
    </w:rPr>
  </w:style>
  <w:style w:type="paragraph" w:customStyle="1" w:styleId="57">
    <w:name w:val="null45"/>
    <w:qFormat/>
    <w:uiPriority w:val="0"/>
    <w:rPr>
      <w:rFonts w:ascii="Times New Roman" w:hAnsi="Times New Roman" w:eastAsia="宋体" w:cs="Times New Roman"/>
      <w:szCs w:val="21"/>
      <w:lang w:val="en-US" w:eastAsia="zh-CN" w:bidi="ar-SA"/>
    </w:rPr>
  </w:style>
  <w:style w:type="paragraph" w:customStyle="1" w:styleId="58">
    <w:name w:val="null46"/>
    <w:qFormat/>
    <w:uiPriority w:val="0"/>
    <w:rPr>
      <w:rFonts w:ascii="Times New Roman" w:hAnsi="Times New Roman" w:eastAsia="宋体" w:cs="Times New Roman"/>
      <w:szCs w:val="21"/>
      <w:lang w:val="en-US" w:eastAsia="zh-CN" w:bidi="ar-SA"/>
    </w:rPr>
  </w:style>
  <w:style w:type="paragraph" w:customStyle="1" w:styleId="59">
    <w:name w:val="null47"/>
    <w:qFormat/>
    <w:uiPriority w:val="0"/>
    <w:rPr>
      <w:rFonts w:ascii="Times New Roman" w:hAnsi="Times New Roman" w:eastAsia="宋体" w:cs="Times New Roman"/>
      <w:szCs w:val="21"/>
      <w:lang w:val="en-US" w:eastAsia="zh-CN" w:bidi="ar-SA"/>
    </w:rPr>
  </w:style>
  <w:style w:type="paragraph" w:customStyle="1" w:styleId="60">
    <w:name w:val="null48"/>
    <w:qFormat/>
    <w:uiPriority w:val="0"/>
    <w:rPr>
      <w:rFonts w:ascii="Times New Roman" w:hAnsi="Times New Roman" w:eastAsia="宋体" w:cs="Times New Roman"/>
      <w:szCs w:val="21"/>
      <w:lang w:val="en-US" w:eastAsia="zh-CN" w:bidi="ar-SA"/>
    </w:rPr>
  </w:style>
  <w:style w:type="paragraph" w:customStyle="1" w:styleId="61">
    <w:name w:val="null58"/>
    <w:qFormat/>
    <w:uiPriority w:val="0"/>
    <w:rPr>
      <w:rFonts w:ascii="Times New Roman" w:hAnsi="Times New Roman" w:eastAsia="宋体" w:cs="Times New Roman"/>
      <w:szCs w:val="21"/>
      <w:lang w:val="en-US" w:eastAsia="zh-CN" w:bidi="ar-SA"/>
    </w:rPr>
  </w:style>
  <w:style w:type="paragraph" w:customStyle="1" w:styleId="62">
    <w:name w:val="null59"/>
    <w:qFormat/>
    <w:uiPriority w:val="0"/>
    <w:rPr>
      <w:rFonts w:ascii="Times New Roman" w:hAnsi="Times New Roman" w:eastAsia="宋体" w:cs="Times New Roman"/>
      <w:szCs w:val="21"/>
      <w:lang w:val="en-US" w:eastAsia="zh-CN" w:bidi="ar-SA"/>
    </w:rPr>
  </w:style>
  <w:style w:type="paragraph" w:customStyle="1" w:styleId="63">
    <w:name w:val="null60"/>
    <w:qFormat/>
    <w:uiPriority w:val="0"/>
    <w:rPr>
      <w:rFonts w:ascii="Times New Roman" w:hAnsi="Times New Roman" w:eastAsia="宋体" w:cs="Times New Roman"/>
      <w:szCs w:val="21"/>
      <w:lang w:val="en-US" w:eastAsia="zh-CN" w:bidi="ar-SA"/>
    </w:rPr>
  </w:style>
  <w:style w:type="paragraph" w:customStyle="1" w:styleId="64">
    <w:name w:val="null67"/>
    <w:qFormat/>
    <w:uiPriority w:val="0"/>
    <w:rPr>
      <w:rFonts w:ascii="Times New Roman" w:hAnsi="Times New Roman" w:eastAsia="宋体" w:cs="Times New Roman"/>
      <w:szCs w:val="21"/>
      <w:lang w:val="en-US" w:eastAsia="zh-CN" w:bidi="ar-SA"/>
    </w:rPr>
  </w:style>
  <w:style w:type="paragraph" w:customStyle="1" w:styleId="65">
    <w:name w:val="null68"/>
    <w:qFormat/>
    <w:uiPriority w:val="0"/>
    <w:rPr>
      <w:rFonts w:ascii="Times New Roman" w:hAnsi="Times New Roman" w:eastAsia="宋体" w:cs="Times New Roman"/>
      <w:szCs w:val="21"/>
      <w:lang w:val="en-US" w:eastAsia="zh-CN" w:bidi="ar-SA"/>
    </w:rPr>
  </w:style>
  <w:style w:type="paragraph" w:customStyle="1" w:styleId="66">
    <w:name w:val="null69"/>
    <w:qFormat/>
    <w:uiPriority w:val="0"/>
    <w:rPr>
      <w:rFonts w:ascii="Times New Roman" w:hAnsi="Times New Roman" w:eastAsia="宋体" w:cs="Times New Roman"/>
      <w:szCs w:val="21"/>
      <w:lang w:val="en-US" w:eastAsia="zh-CN" w:bidi="ar-SA"/>
    </w:rPr>
  </w:style>
  <w:style w:type="paragraph" w:customStyle="1" w:styleId="67">
    <w:name w:val="null70"/>
    <w:qFormat/>
    <w:uiPriority w:val="0"/>
    <w:rPr>
      <w:rFonts w:ascii="Times New Roman" w:hAnsi="Times New Roman" w:eastAsia="宋体" w:cs="Times New Roman"/>
      <w:szCs w:val="21"/>
      <w:lang w:val="en-US" w:eastAsia="zh-CN" w:bidi="ar-SA"/>
    </w:rPr>
  </w:style>
  <w:style w:type="paragraph" w:customStyle="1" w:styleId="68">
    <w:name w:val="null71"/>
    <w:qFormat/>
    <w:uiPriority w:val="0"/>
    <w:rPr>
      <w:rFonts w:ascii="Times New Roman" w:hAnsi="Times New Roman" w:eastAsia="宋体" w:cs="Times New Roman"/>
      <w:szCs w:val="21"/>
      <w:lang w:val="en-US" w:eastAsia="zh-CN" w:bidi="ar-SA"/>
    </w:rPr>
  </w:style>
  <w:style w:type="paragraph" w:customStyle="1" w:styleId="69">
    <w:name w:val="null72"/>
    <w:qFormat/>
    <w:uiPriority w:val="0"/>
    <w:rPr>
      <w:rFonts w:ascii="Times New Roman" w:hAnsi="Times New Roman" w:eastAsia="宋体" w:cs="Times New Roman"/>
      <w:szCs w:val="21"/>
      <w:lang w:val="en-US" w:eastAsia="zh-CN" w:bidi="ar-SA"/>
    </w:rPr>
  </w:style>
  <w:style w:type="paragraph" w:customStyle="1" w:styleId="70">
    <w:name w:val="null76"/>
    <w:qFormat/>
    <w:uiPriority w:val="0"/>
    <w:rPr>
      <w:rFonts w:ascii="Times New Roman" w:hAnsi="Times New Roman" w:eastAsia="宋体" w:cs="Times New Roman"/>
      <w:szCs w:val="21"/>
      <w:lang w:val="en-US" w:eastAsia="zh-CN" w:bidi="ar-SA"/>
    </w:rPr>
  </w:style>
  <w:style w:type="paragraph" w:customStyle="1" w:styleId="71">
    <w:name w:val="null77"/>
    <w:qFormat/>
    <w:uiPriority w:val="0"/>
    <w:rPr>
      <w:rFonts w:ascii="Times New Roman" w:hAnsi="Times New Roman" w:eastAsia="宋体" w:cs="Times New Roman"/>
      <w:szCs w:val="21"/>
      <w:lang w:val="en-US" w:eastAsia="zh-CN" w:bidi="ar-SA"/>
    </w:rPr>
  </w:style>
  <w:style w:type="paragraph" w:customStyle="1" w:styleId="72">
    <w:name w:val="null78"/>
    <w:qFormat/>
    <w:uiPriority w:val="0"/>
    <w:rPr>
      <w:rFonts w:ascii="Times New Roman" w:hAnsi="Times New Roman" w:eastAsia="宋体" w:cs="Times New Roman"/>
      <w:szCs w:val="21"/>
      <w:lang w:val="en-US" w:eastAsia="zh-CN" w:bidi="ar-SA"/>
    </w:rPr>
  </w:style>
  <w:style w:type="paragraph" w:customStyle="1" w:styleId="73">
    <w:name w:val="null82"/>
    <w:qFormat/>
    <w:uiPriority w:val="0"/>
    <w:rPr>
      <w:rFonts w:ascii="Times New Roman" w:hAnsi="Times New Roman" w:eastAsia="宋体" w:cs="Times New Roman"/>
      <w:szCs w:val="21"/>
      <w:lang w:val="en-US" w:eastAsia="zh-CN" w:bidi="ar-SA"/>
    </w:rPr>
  </w:style>
  <w:style w:type="paragraph" w:customStyle="1" w:styleId="74">
    <w:name w:val="null83"/>
    <w:qFormat/>
    <w:uiPriority w:val="0"/>
    <w:rPr>
      <w:rFonts w:ascii="Times New Roman" w:hAnsi="Times New Roman" w:eastAsia="宋体" w:cs="Times New Roman"/>
      <w:szCs w:val="21"/>
      <w:lang w:val="en-US" w:eastAsia="zh-CN" w:bidi="ar-SA"/>
    </w:rPr>
  </w:style>
  <w:style w:type="paragraph" w:customStyle="1" w:styleId="75">
    <w:name w:val="null84"/>
    <w:qFormat/>
    <w:uiPriority w:val="0"/>
    <w:rPr>
      <w:rFonts w:ascii="Times New Roman" w:hAnsi="Times New Roman" w:eastAsia="宋体" w:cs="Times New Roman"/>
      <w:szCs w:val="21"/>
      <w:lang w:val="en-US" w:eastAsia="zh-CN" w:bidi="ar-SA"/>
    </w:rPr>
  </w:style>
  <w:style w:type="paragraph" w:customStyle="1" w:styleId="76">
    <w:name w:val="null85"/>
    <w:qFormat/>
    <w:uiPriority w:val="0"/>
    <w:rPr>
      <w:rFonts w:ascii="Times New Roman" w:hAnsi="Times New Roman" w:eastAsia="宋体" w:cs="Times New Roman"/>
      <w:szCs w:val="21"/>
      <w:lang w:val="en-US" w:eastAsia="zh-CN" w:bidi="ar-SA"/>
    </w:rPr>
  </w:style>
  <w:style w:type="paragraph" w:customStyle="1" w:styleId="77">
    <w:name w:val="null86"/>
    <w:qFormat/>
    <w:uiPriority w:val="0"/>
    <w:rPr>
      <w:rFonts w:ascii="Times New Roman" w:hAnsi="Times New Roman" w:eastAsia="宋体" w:cs="Times New Roman"/>
      <w:szCs w:val="21"/>
      <w:lang w:val="en-US" w:eastAsia="zh-CN" w:bidi="ar-SA"/>
    </w:rPr>
  </w:style>
  <w:style w:type="paragraph" w:customStyle="1" w:styleId="78">
    <w:name w:val="null87"/>
    <w:qFormat/>
    <w:uiPriority w:val="0"/>
    <w:rPr>
      <w:rFonts w:ascii="Times New Roman" w:hAnsi="Times New Roman" w:eastAsia="宋体" w:cs="Times New Roman"/>
      <w:szCs w:val="21"/>
      <w:lang w:val="en-US" w:eastAsia="zh-CN" w:bidi="ar-SA"/>
    </w:rPr>
  </w:style>
  <w:style w:type="paragraph" w:customStyle="1" w:styleId="79">
    <w:name w:val="正文_18"/>
    <w:qFormat/>
    <w:uiPriority w:val="0"/>
    <w:pPr>
      <w:widowControl w:val="0"/>
      <w:jc w:val="both"/>
    </w:pPr>
    <w:rPr>
      <w:rFonts w:ascii="Calibri" w:hAnsi="Calibri" w:eastAsia="宋体" w:cs="Times New Roman"/>
      <w:kern w:val="2"/>
      <w:sz w:val="21"/>
      <w:lang w:val="en-US" w:eastAsia="zh-CN" w:bidi="ar-SA"/>
    </w:rPr>
  </w:style>
  <w:style w:type="character" w:customStyle="1" w:styleId="80">
    <w:name w:val="纯文本 字符1"/>
    <w:link w:val="11"/>
    <w:qFormat/>
    <w:uiPriority w:val="0"/>
    <w:rPr>
      <w:rFonts w:ascii="宋体" w:hAnsi="Courier New"/>
      <w:kern w:val="2"/>
      <w:sz w:val="21"/>
    </w:rPr>
  </w:style>
  <w:style w:type="character" w:customStyle="1" w:styleId="81">
    <w:name w:val="纯文本 字符"/>
    <w:qFormat/>
    <w:uiPriority w:val="0"/>
    <w:rPr>
      <w:rFonts w:ascii="宋体" w:hAnsi="Courier New"/>
      <w:kern w:val="2"/>
      <w:sz w:val="21"/>
      <w:szCs w:val="21"/>
    </w:rPr>
  </w:style>
  <w:style w:type="character" w:customStyle="1" w:styleId="82">
    <w:name w:val="标题 4 字符"/>
    <w:basedOn w:val="21"/>
    <w:link w:val="7"/>
    <w:qFormat/>
    <w:uiPriority w:val="0"/>
    <w:rPr>
      <w:rFonts w:ascii="Arial" w:hAnsi="Arial" w:eastAsia="黑体"/>
      <w:b/>
      <w:kern w:val="2"/>
      <w:sz w:val="28"/>
      <w:szCs w:val="24"/>
    </w:rPr>
  </w:style>
  <w:style w:type="character" w:customStyle="1" w:styleId="83">
    <w:name w:val="正文文本缩进 2 字符"/>
    <w:basedOn w:val="21"/>
    <w:link w:val="12"/>
    <w:qFormat/>
    <w:uiPriority w:val="0"/>
    <w:rPr>
      <w:kern w:val="2"/>
      <w:sz w:val="24"/>
      <w:szCs w:val="24"/>
    </w:rPr>
  </w:style>
  <w:style w:type="character" w:customStyle="1" w:styleId="84">
    <w:name w:val="批注框文本 字符"/>
    <w:basedOn w:val="21"/>
    <w:link w:val="13"/>
    <w:qFormat/>
    <w:uiPriority w:val="0"/>
    <w:rPr>
      <w:kern w:val="2"/>
      <w:sz w:val="18"/>
      <w:szCs w:val="18"/>
    </w:rPr>
  </w:style>
  <w:style w:type="paragraph" w:customStyle="1" w:styleId="85">
    <w:name w:val="样式 正文文本缩进 + 行距: 1.5 倍行距"/>
    <w:basedOn w:val="1"/>
    <w:qFormat/>
    <w:uiPriority w:val="0"/>
    <w:pPr>
      <w:spacing w:after="120"/>
      <w:ind w:left="90" w:leftChars="32" w:firstLine="560"/>
    </w:pPr>
    <w:rPr>
      <w:sz w:val="24"/>
      <w:szCs w:val="24"/>
    </w:rPr>
  </w:style>
  <w:style w:type="character" w:customStyle="1" w:styleId="86">
    <w:name w:val="纯文本 Char1"/>
    <w:qFormat/>
    <w:uiPriority w:val="0"/>
    <w:rPr>
      <w:rFonts w:ascii="宋体" w:hAnsi="Courier New" w:cs="Courier New"/>
      <w:kern w:val="2"/>
      <w:sz w:val="21"/>
      <w:szCs w:val="21"/>
    </w:rPr>
  </w:style>
  <w:style w:type="paragraph" w:customStyle="1" w:styleId="87">
    <w:name w:val="样式9 Char"/>
    <w:basedOn w:val="1"/>
    <w:qFormat/>
    <w:uiPriority w:val="0"/>
    <w:pPr>
      <w:spacing w:line="440" w:lineRule="exact"/>
      <w:ind w:firstLine="200" w:firstLineChars="200"/>
    </w:pPr>
    <w:rPr>
      <w:spacing w:val="6"/>
      <w:sz w:val="24"/>
      <w:szCs w:val="24"/>
    </w:rPr>
  </w:style>
  <w:style w:type="character" w:customStyle="1" w:styleId="88">
    <w:name w:val="wf-form-textarea"/>
    <w:qFormat/>
    <w:uiPriority w:val="0"/>
  </w:style>
  <w:style w:type="character" w:customStyle="1" w:styleId="89">
    <w:name w:val="纯文本 Char"/>
    <w:qFormat/>
    <w:uiPriority w:val="0"/>
    <w:rPr>
      <w:rFonts w:ascii="宋体" w:hAnsi="Courier New"/>
      <w:kern w:val="2"/>
      <w:sz w:val="21"/>
    </w:rPr>
  </w:style>
  <w:style w:type="character" w:customStyle="1" w:styleId="90">
    <w:name w:val="font11"/>
    <w:qFormat/>
    <w:uiPriority w:val="0"/>
    <w:rPr>
      <w:rFonts w:hint="eastAsia" w:ascii="宋体" w:hAnsi="宋体" w:eastAsia="宋体" w:cs="宋体"/>
      <w:color w:val="000000"/>
      <w:sz w:val="24"/>
      <w:szCs w:val="24"/>
      <w:u w:val="none"/>
    </w:rPr>
  </w:style>
  <w:style w:type="character" w:customStyle="1" w:styleId="91">
    <w:name w:val="font31"/>
    <w:qFormat/>
    <w:uiPriority w:val="0"/>
    <w:rPr>
      <w:rFonts w:hint="eastAsia" w:ascii="宋体" w:hAnsi="宋体" w:eastAsia="宋体" w:cs="宋体"/>
      <w:color w:val="000000"/>
      <w:sz w:val="15"/>
      <w:szCs w:val="15"/>
      <w:u w:val="none"/>
    </w:rPr>
  </w:style>
  <w:style w:type="character" w:customStyle="1" w:styleId="92">
    <w:name w:val="font21"/>
    <w:qFormat/>
    <w:uiPriority w:val="0"/>
    <w:rPr>
      <w:rFonts w:hint="eastAsia" w:ascii="仿宋" w:hAnsi="仿宋" w:eastAsia="仿宋" w:cs="仿宋"/>
      <w:color w:val="000000"/>
      <w:sz w:val="24"/>
      <w:szCs w:val="24"/>
      <w:u w:val="none"/>
    </w:rPr>
  </w:style>
  <w:style w:type="character" w:customStyle="1" w:styleId="93">
    <w:name w:val="font01"/>
    <w:qFormat/>
    <w:uiPriority w:val="0"/>
    <w:rPr>
      <w:rFonts w:hint="eastAsia" w:ascii="宋体" w:hAnsi="宋体" w:eastAsia="宋体" w:cs="宋体"/>
      <w:color w:val="000000"/>
      <w:sz w:val="22"/>
      <w:szCs w:val="22"/>
      <w:u w:val="none"/>
    </w:rPr>
  </w:style>
  <w:style w:type="character" w:customStyle="1" w:styleId="94">
    <w:name w:val="批注文字 字符"/>
    <w:link w:val="9"/>
    <w:qFormat/>
    <w:uiPriority w:val="99"/>
    <w:rPr>
      <w:kern w:val="2"/>
      <w:sz w:val="21"/>
    </w:rPr>
  </w:style>
  <w:style w:type="character" w:customStyle="1" w:styleId="95">
    <w:name w:val="批注文字 字符1"/>
    <w:basedOn w:val="21"/>
    <w:qFormat/>
    <w:uiPriority w:val="0"/>
    <w:rPr>
      <w:kern w:val="2"/>
      <w:sz w:val="21"/>
    </w:rPr>
  </w:style>
  <w:style w:type="character" w:customStyle="1" w:styleId="96">
    <w:name w:val="标题 字符"/>
    <w:basedOn w:val="21"/>
    <w:link w:val="18"/>
    <w:qFormat/>
    <w:uiPriority w:val="0"/>
    <w:rPr>
      <w:rFonts w:ascii="Arial" w:hAnsi="Arial" w:cs="Arial"/>
      <w:b/>
      <w:bCs/>
      <w:kern w:val="2"/>
      <w:sz w:val="32"/>
      <w:szCs w:val="32"/>
    </w:rPr>
  </w:style>
  <w:style w:type="paragraph" w:customStyle="1" w:styleId="97">
    <w:name w:val="标书三级标题"/>
    <w:basedOn w:val="6"/>
    <w:qFormat/>
    <w:uiPriority w:val="0"/>
    <w:pPr>
      <w:spacing w:line="240" w:lineRule="auto"/>
      <w:ind w:firstLine="482" w:firstLineChars="200"/>
    </w:pPr>
    <w:rPr>
      <w:color w:val="000000"/>
      <w:sz w:val="24"/>
      <w:szCs w:val="24"/>
    </w:rPr>
  </w:style>
  <w:style w:type="paragraph" w:customStyle="1" w:styleId="98">
    <w:name w:val="标书表格"/>
    <w:basedOn w:val="1"/>
    <w:qFormat/>
    <w:uiPriority w:val="0"/>
    <w:pPr>
      <w:jc w:val="center"/>
    </w:pPr>
    <w:rPr>
      <w:b/>
    </w:rPr>
  </w:style>
  <w:style w:type="paragraph" w:customStyle="1" w:styleId="99">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0">
    <w:name w:val="xl63"/>
    <w:basedOn w:val="1"/>
    <w:qFormat/>
    <w:uiPriority w:val="0"/>
    <w:pPr>
      <w:widowControl/>
      <w:spacing w:before="100" w:beforeAutospacing="1" w:after="100" w:afterAutospacing="1"/>
      <w:jc w:val="center"/>
      <w:textAlignment w:val="center"/>
    </w:pPr>
    <w:rPr>
      <w:rFonts w:ascii="宋体" w:hAnsi="宋体" w:cs="宋体"/>
      <w:kern w:val="0"/>
      <w:sz w:val="24"/>
      <w:szCs w:val="24"/>
    </w:rPr>
  </w:style>
  <w:style w:type="paragraph" w:customStyle="1" w:styleId="101">
    <w:name w:val="xl64"/>
    <w:basedOn w:val="1"/>
    <w:qFormat/>
    <w:uiPriority w:val="0"/>
    <w:pPr>
      <w:widowControl/>
      <w:spacing w:before="100" w:beforeAutospacing="1" w:after="100" w:afterAutospacing="1"/>
      <w:jc w:val="center"/>
      <w:textAlignment w:val="center"/>
    </w:pPr>
    <w:rPr>
      <w:rFonts w:ascii="宋体" w:hAnsi="宋体" w:cs="宋体"/>
      <w:kern w:val="0"/>
      <w:sz w:val="24"/>
      <w:szCs w:val="24"/>
    </w:rPr>
  </w:style>
  <w:style w:type="paragraph" w:customStyle="1" w:styleId="102">
    <w:name w:val="xl65"/>
    <w:basedOn w:val="1"/>
    <w:qFormat/>
    <w:uiPriority w:val="0"/>
    <w:pPr>
      <w:widowControl/>
      <w:spacing w:before="100" w:beforeAutospacing="1" w:after="100" w:afterAutospacing="1"/>
      <w:jc w:val="center"/>
      <w:textAlignment w:val="center"/>
    </w:pPr>
    <w:rPr>
      <w:rFonts w:ascii="宋体" w:hAnsi="宋体" w:cs="宋体"/>
      <w:kern w:val="0"/>
      <w:sz w:val="24"/>
      <w:szCs w:val="24"/>
    </w:rPr>
  </w:style>
  <w:style w:type="paragraph" w:customStyle="1" w:styleId="1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1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1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106">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10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0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09">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Cs w:val="21"/>
    </w:rPr>
  </w:style>
  <w:style w:type="paragraph" w:customStyle="1" w:styleId="110">
    <w:name w:val="xl7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1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rPr>
  </w:style>
  <w:style w:type="paragraph" w:customStyle="1" w:styleId="11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rPr>
  </w:style>
  <w:style w:type="paragraph" w:customStyle="1" w:styleId="113">
    <w:name w:val="xl76"/>
    <w:basedOn w:val="1"/>
    <w:uiPriority w:val="0"/>
    <w:pPr>
      <w:widowControl/>
      <w:spacing w:before="100" w:beforeAutospacing="1" w:after="100" w:afterAutospacing="1"/>
      <w:jc w:val="center"/>
      <w:textAlignment w:val="center"/>
    </w:pPr>
    <w:rPr>
      <w:rFonts w:ascii="宋体" w:hAnsi="宋体" w:cs="宋体"/>
      <w:kern w:val="0"/>
      <w:sz w:val="48"/>
      <w:szCs w:val="48"/>
    </w:rPr>
  </w:style>
  <w:style w:type="paragraph" w:customStyle="1" w:styleId="114">
    <w:name w:val="xl77"/>
    <w:basedOn w:val="1"/>
    <w:qFormat/>
    <w:uiPriority w:val="0"/>
    <w:pPr>
      <w:widowControl/>
      <w:spacing w:before="100" w:beforeAutospacing="1" w:after="100" w:afterAutospacing="1"/>
      <w:jc w:val="center"/>
      <w:textAlignment w:val="center"/>
    </w:pPr>
    <w:rPr>
      <w:rFonts w:ascii="宋体" w:hAnsi="宋体" w:cs="宋体"/>
      <w:kern w:val="0"/>
      <w:sz w:val="48"/>
      <w:szCs w:val="48"/>
    </w:rPr>
  </w:style>
  <w:style w:type="paragraph" w:customStyle="1" w:styleId="1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4"/>
      <w:szCs w:val="24"/>
    </w:rPr>
  </w:style>
  <w:style w:type="paragraph" w:customStyle="1" w:styleId="116">
    <w:name w:val="xl7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17">
    <w:name w:val="xl80"/>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18">
    <w:name w:val="xl81"/>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19">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20">
    <w:name w:val="xl8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21">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22">
    <w:name w:val="xl85"/>
    <w:basedOn w:val="1"/>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23">
    <w:name w:val="xl86"/>
    <w:basedOn w:val="1"/>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24">
    <w:name w:val="xl8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character" w:customStyle="1" w:styleId="125">
    <w:name w:val="标题 2 Char"/>
    <w:link w:val="5"/>
    <w:uiPriority w:val="0"/>
    <w:rPr>
      <w:rFonts w:ascii="Arial" w:hAnsi="Arial" w:eastAsia="黑体"/>
      <w:b/>
      <w:bCs/>
      <w:sz w:val="32"/>
      <w:szCs w:val="32"/>
    </w:rPr>
  </w:style>
  <w:style w:type="character" w:customStyle="1" w:styleId="126">
    <w:name w:val="标书正文 Char"/>
    <w:link w:val="30"/>
    <w:uiPriority w:val="9"/>
  </w:style>
  <w:style w:type="character" w:customStyle="1" w:styleId="127">
    <w:name w:val="标书正文格式 Char"/>
    <w:link w:val="31"/>
    <w:uiPriority w:val="0"/>
    <w:rPr>
      <w:rFonts w:hAnsi="宋体" w:eastAsiaTheme="minorEastAsia"/>
      <w:color w:val="000000"/>
      <w:sz w:val="24"/>
      <w:szCs w:val="24"/>
    </w:rPr>
  </w:style>
  <w:style w:type="character" w:customStyle="1" w:styleId="128">
    <w:name w:val="Table Paragraph Char"/>
    <w:link w:val="32"/>
    <w:uiPriority w:val="1"/>
    <w:rPr>
      <w:rFonts w:ascii="宋体" w:hAnsi="宋体" w:cs="宋体"/>
    </w:rPr>
  </w:style>
  <w:style w:type="character" w:customStyle="1" w:styleId="129">
    <w:name w:val="一级标题 Char"/>
    <w:link w:val="29"/>
    <w:uiPriority w:val="1"/>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33</Pages>
  <Words>2295</Words>
  <Characters>13088</Characters>
  <Lines>109</Lines>
  <Paragraphs>30</Paragraphs>
  <TotalTime>12</TotalTime>
  <ScaleCrop>false</ScaleCrop>
  <LinksUpToDate>false</LinksUpToDate>
  <CharactersWithSpaces>15353</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2023-07-13T06:53:00Z</dcterms:created>
  <dc:creator>求知无坦途～</dc:creator>
  <cp:lastModifiedBy>轻途</cp:lastModifiedBy>
  <dcterms:modified xsi:type="dcterms:W3CDTF">2025-11-06T03:12:43Z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FB00008AF9734EEFAAAAF752AA3E152D_13</vt:lpwstr>
  </property>
  <property fmtid="{D5CDD505-2E9C-101B-9397-08002B2CF9AE}" pid="4" name="KSOTemplateDocerSaveRecord">
    <vt:lpwstr>eyJoZGlkIjoiZTZkNDE3ZGE4Mjk4YmFlZDAwMWNlODJlYzdjMzk3YmQiLCJ1c2VySWQiOiI4MjIwMDM3MTEifQ==</vt:lpwstr>
  </property>
</Properties>
</file>