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Calibri" w:hAnsi="宋体" w:eastAsia="宋体" w:cs="Times New Roman"/>
          <w:b/>
          <w:bCs/>
          <w:color w:val="000000"/>
          <w:spacing w:val="-8"/>
          <w:sz w:val="48"/>
          <w:szCs w:val="44"/>
        </w:rPr>
      </w:pPr>
      <w:bookmarkStart w:id="0" w:name="OLE_LINK31"/>
      <w:bookmarkStart w:id="1" w:name="OLE_LINK30"/>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fldChar w:fldCharType="begin"/>
      </w:r>
      <w:r>
        <w:rPr>
          <w:rFonts w:hint="eastAsia" w:ascii="Calibri" w:hAnsi="宋体" w:eastAsia="宋体" w:cs="Times New Roman"/>
          <w:b/>
          <w:bCs/>
          <w:spacing w:val="-8"/>
          <w:sz w:val="48"/>
          <w:szCs w:val="44"/>
        </w:rPr>
        <w:instrText xml:space="preserve"> HYPERLINK "javascript:void(0);" \o "产品试验检测中心离合器压盘总成综合性能试验台技改项目" </w:instrText>
      </w:r>
      <w:r>
        <w:rPr>
          <w:rFonts w:hint="eastAsia" w:ascii="Calibri" w:hAnsi="宋体" w:eastAsia="宋体" w:cs="Times New Roman"/>
          <w:b/>
          <w:bCs/>
          <w:spacing w:val="-8"/>
          <w:sz w:val="48"/>
          <w:szCs w:val="44"/>
        </w:rPr>
        <w:fldChar w:fldCharType="separate"/>
      </w:r>
      <w:r>
        <w:rPr>
          <w:rFonts w:hint="eastAsia" w:ascii="Calibri" w:hAnsi="宋体" w:eastAsia="宋体" w:cs="Times New Roman"/>
          <w:b/>
          <w:bCs/>
          <w:spacing w:val="-8"/>
          <w:sz w:val="48"/>
          <w:szCs w:val="44"/>
        </w:rPr>
        <w:t>产品试验检测中心离合器压盘总成综合性能试验台技改项目</w:t>
      </w:r>
      <w:r>
        <w:rPr>
          <w:rFonts w:hint="eastAsia" w:ascii="Calibri" w:hAnsi="宋体" w:eastAsia="宋体" w:cs="Times New Roman"/>
          <w:b/>
          <w:bCs/>
          <w:spacing w:val="-8"/>
          <w:sz w:val="48"/>
          <w:szCs w:val="44"/>
        </w:rPr>
        <w:fldChar w:fldCharType="end"/>
      </w: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pPr>
        <w:jc w:val="center"/>
        <w:rPr>
          <w:rFonts w:ascii="Calibri" w:hAnsi="Calibri" w:eastAsia="宋体" w:cs="Times New Roman"/>
          <w:color w:val="000000"/>
          <w:sz w:val="28"/>
          <w:szCs w:val="28"/>
        </w:rPr>
      </w:pPr>
    </w:p>
    <w:p>
      <w:pPr>
        <w:pStyle w:val="17"/>
        <w:jc w:val="center"/>
      </w:pPr>
    </w:p>
    <w:p>
      <w:pPr>
        <w:jc w:val="center"/>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jc w:val="center"/>
        <w:rPr>
          <w:rFonts w:ascii="黑体" w:hAnsi="宋体" w:eastAsia="黑体" w:cs="Times New Roman"/>
          <w:color w:val="000000"/>
          <w:sz w:val="72"/>
          <w:szCs w:val="72"/>
        </w:rPr>
      </w:pPr>
    </w:p>
    <w:p>
      <w:pPr>
        <w:spacing w:line="860" w:lineRule="exact"/>
        <w:jc w:val="center"/>
        <w:rPr>
          <w:rFonts w:hint="eastAsia" w:ascii="华文仿宋" w:hAnsi="华文仿宋" w:eastAsia="华文仿宋"/>
          <w:b/>
          <w:bCs/>
          <w:sz w:val="32"/>
          <w:szCs w:val="28"/>
          <w:lang w:val="en-US" w:eastAsia="zh-CN"/>
        </w:rPr>
      </w:pPr>
    </w:p>
    <w:p>
      <w:pPr>
        <w:spacing w:line="860" w:lineRule="exact"/>
        <w:jc w:val="center"/>
        <w:rPr>
          <w:rFonts w:hint="eastAsia" w:ascii="华文仿宋" w:hAnsi="华文仿宋" w:eastAsia="华文仿宋"/>
          <w:b/>
          <w:bCs/>
          <w:sz w:val="32"/>
          <w:szCs w:val="28"/>
          <w:lang w:val="en-US" w:eastAsia="zh-CN"/>
        </w:rPr>
      </w:pPr>
    </w:p>
    <w:p>
      <w:pPr>
        <w:spacing w:line="860" w:lineRule="exact"/>
        <w:jc w:val="both"/>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lang w:val="en-US" w:eastAsia="zh-CN"/>
        </w:rPr>
        <w:t xml:space="preserve"> </w:t>
      </w:r>
    </w:p>
    <w:p>
      <w:pPr>
        <w:pStyle w:val="17"/>
        <w:jc w:val="center"/>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spacing w:line="480" w:lineRule="auto"/>
        <w:jc w:val="center"/>
        <w:rPr>
          <w:rFonts w:cs="宋体"/>
          <w:b/>
          <w:bCs/>
          <w:color w:val="auto"/>
          <w:sz w:val="48"/>
          <w:szCs w:val="48"/>
        </w:rPr>
      </w:pPr>
      <w:r>
        <w:rPr>
          <w:rFonts w:ascii="宋体" w:hAnsi="宋体" w:eastAsia="宋体" w:cs="宋体"/>
          <w:b/>
          <w:bCs/>
          <w:color w:val="auto"/>
          <w:sz w:val="48"/>
          <w:szCs w:val="48"/>
        </w:rPr>
        <w:t>目录</w:t>
      </w:r>
    </w:p>
    <w:p>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4</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7</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3</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pPr>
        <w:pStyle w:val="24"/>
        <w:tabs>
          <w:tab w:val="right" w:leader="dot" w:pos="9071"/>
        </w:tabs>
        <w:rPr>
          <w:rFonts w:hint="eastAsia"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p>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"javascript:void(0);" \o "产品试验检测中心离合器压盘总成综合性能试验台技改项目"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产品试验检测中心离合器压盘总成综合性能试验台技改项目</w:t>
            </w:r>
            <w:r>
              <w:rPr>
                <w:rFonts w:hint="eastAsia" w:ascii="宋体" w:hAnsi="宋体" w:eastAsia="宋体" w:cs="宋体"/>
                <w:b/>
                <w:bCs/>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eastAsia="zh-CN"/>
              </w:rPr>
              <w:t>：CGZX2025090127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离合器压盘总成综合性能试验台项目</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default" w:ascii="宋体" w:hAnsi="宋体" w:eastAsia="宋体" w:cs="宋体"/>
                <w:b w:val="0"/>
                <w:bCs/>
                <w:snapToGrid w:val="0"/>
                <w:kern w:val="0"/>
                <w:sz w:val="24"/>
                <w:szCs w:val="24"/>
                <w:highlight w:val="yellow"/>
                <w:lang w:val="en-US" w:eastAsia="zh-CN"/>
              </w:rPr>
            </w:pPr>
            <w:r>
              <w:rPr>
                <w:rFonts w:hint="eastAsia" w:ascii="宋体" w:hAnsi="宋体" w:eastAsia="宋体" w:cs="宋体"/>
                <w:b/>
                <w:bCs w:val="0"/>
                <w:snapToGrid w:val="0"/>
                <w:kern w:val="0"/>
                <w:sz w:val="24"/>
                <w:szCs w:val="24"/>
                <w:highlight w:val="yellow"/>
                <w:lang w:val="en-US" w:eastAsia="zh-CN"/>
              </w:rPr>
              <w:t>商务</w:t>
            </w:r>
            <w:r>
              <w:rPr>
                <w:rFonts w:hint="eastAsia" w:ascii="宋体" w:hAnsi="宋体" w:eastAsia="宋体" w:cs="宋体"/>
                <w:b/>
                <w:bCs w:val="0"/>
                <w:snapToGrid w:val="0"/>
                <w:kern w:val="0"/>
                <w:sz w:val="24"/>
                <w:szCs w:val="24"/>
                <w:highlight w:val="yellow"/>
              </w:rPr>
              <w:t>联系人</w:t>
            </w:r>
            <w:r>
              <w:rPr>
                <w:rFonts w:hint="eastAsia" w:ascii="宋体" w:hAnsi="宋体" w:eastAsia="宋体" w:cs="宋体"/>
                <w:b/>
                <w:bCs w:val="0"/>
                <w:snapToGrid w:val="0"/>
                <w:kern w:val="0"/>
                <w:sz w:val="24"/>
                <w:szCs w:val="24"/>
                <w:highlight w:val="yellow"/>
                <w:lang w:eastAsia="zh-CN"/>
              </w:rPr>
              <w:t>：</w:t>
            </w:r>
            <w:r>
              <w:rPr>
                <w:rFonts w:hint="eastAsia" w:ascii="宋体" w:hAnsi="宋体" w:eastAsia="宋体" w:cs="宋体"/>
                <w:b w:val="0"/>
                <w:bCs/>
                <w:snapToGrid w:val="0"/>
                <w:kern w:val="0"/>
                <w:sz w:val="24"/>
                <w:szCs w:val="24"/>
                <w:highlight w:val="yellow"/>
                <w:lang w:val="en-US" w:eastAsia="zh-CN"/>
              </w:rPr>
              <w:t>杨淑超</w:t>
            </w:r>
          </w:p>
          <w:p>
            <w:pPr>
              <w:pStyle w:val="17"/>
              <w:ind w:firstLine="482" w:firstLineChars="200"/>
              <w:rPr>
                <w:rFonts w:hint="eastAsia" w:hAnsi="宋体" w:eastAsia="宋体" w:cs="宋体"/>
                <w:b w:val="0"/>
                <w:bCs/>
                <w:snapToGrid w:val="0"/>
                <w:kern w:val="0"/>
                <w:sz w:val="24"/>
                <w:szCs w:val="24"/>
                <w:highlight w:val="yellow"/>
                <w:lang w:val="en-US" w:eastAsia="zh-CN"/>
              </w:rPr>
            </w:pPr>
            <w:r>
              <w:rPr>
                <w:rFonts w:hint="eastAsia" w:hAnsi="宋体" w:eastAsia="宋体" w:cs="宋体"/>
                <w:b/>
                <w:bCs w:val="0"/>
                <w:snapToGrid w:val="0"/>
                <w:kern w:val="0"/>
                <w:sz w:val="24"/>
                <w:szCs w:val="24"/>
                <w:highlight w:val="yellow"/>
              </w:rPr>
              <w:t>电话：</w:t>
            </w:r>
            <w:r>
              <w:rPr>
                <w:rFonts w:hint="eastAsia" w:hAnsi="宋体" w:cs="宋体"/>
                <w:b w:val="0"/>
                <w:bCs/>
                <w:snapToGrid w:val="0"/>
                <w:kern w:val="0"/>
                <w:sz w:val="24"/>
                <w:szCs w:val="24"/>
                <w:highlight w:val="yellow"/>
                <w:lang w:val="en-US" w:eastAsia="zh-CN"/>
              </w:rPr>
              <w:t>17860605820</w:t>
            </w:r>
          </w:p>
          <w:p>
            <w:pPr>
              <w:ind w:firstLine="482" w:firstLineChars="200"/>
              <w:rPr>
                <w:rFonts w:hint="eastAsia" w:ascii="宋体" w:hAnsi="宋体" w:eastAsia="宋体" w:cs="宋体"/>
                <w:b w:val="0"/>
                <w:bCs/>
                <w:snapToGrid w:val="0"/>
                <w:kern w:val="0"/>
                <w:sz w:val="24"/>
                <w:szCs w:val="24"/>
                <w:highlight w:val="yellow"/>
                <w:lang w:val="en-US" w:eastAsia="zh-CN"/>
              </w:rPr>
            </w:pPr>
            <w:r>
              <w:rPr>
                <w:rFonts w:hint="eastAsia" w:ascii="宋体" w:hAnsi="宋体" w:eastAsia="宋体" w:cs="宋体"/>
                <w:b/>
                <w:bCs w:val="0"/>
                <w:snapToGrid w:val="0"/>
                <w:kern w:val="0"/>
                <w:sz w:val="24"/>
                <w:szCs w:val="24"/>
                <w:highlight w:val="yellow"/>
              </w:rPr>
              <w:t>邮箱：</w:t>
            </w:r>
            <w:r>
              <w:rPr>
                <w:rFonts w:hint="eastAsia" w:ascii="宋体" w:hAnsi="宋体" w:eastAsia="宋体" w:cs="宋体"/>
                <w:b w:val="0"/>
                <w:bCs/>
                <w:snapToGrid w:val="0"/>
                <w:kern w:val="0"/>
                <w:sz w:val="24"/>
                <w:szCs w:val="24"/>
                <w:highlight w:val="yellow"/>
                <w:lang w:val="en-US" w:eastAsia="zh-CN"/>
              </w:rPr>
              <w:fldChar w:fldCharType="begin"/>
            </w:r>
            <w:r>
              <w:rPr>
                <w:rFonts w:hint="eastAsia" w:ascii="宋体" w:hAnsi="宋体" w:eastAsia="宋体" w:cs="宋体"/>
                <w:b w:val="0"/>
                <w:bCs/>
                <w:snapToGrid w:val="0"/>
                <w:kern w:val="0"/>
                <w:sz w:val="24"/>
                <w:szCs w:val="24"/>
                <w:highlight w:val="yellow"/>
                <w:lang w:val="en-US" w:eastAsia="zh-CN"/>
              </w:rPr>
              <w:instrText xml:space="preserve"> HYPERLINK "mailto:yangshuchao@sinotruk.com" </w:instrText>
            </w:r>
            <w:r>
              <w:rPr>
                <w:rFonts w:hint="eastAsia" w:ascii="宋体" w:hAnsi="宋体" w:eastAsia="宋体" w:cs="宋体"/>
                <w:b w:val="0"/>
                <w:bCs/>
                <w:snapToGrid w:val="0"/>
                <w:kern w:val="0"/>
                <w:sz w:val="24"/>
                <w:szCs w:val="24"/>
                <w:highlight w:val="yellow"/>
                <w:lang w:val="en-US" w:eastAsia="zh-CN"/>
              </w:rPr>
              <w:fldChar w:fldCharType="separate"/>
            </w:r>
            <w:r>
              <w:rPr>
                <w:rStyle w:val="46"/>
                <w:rFonts w:hint="eastAsia" w:ascii="宋体" w:hAnsi="宋体" w:eastAsia="宋体" w:cs="宋体"/>
                <w:b w:val="0"/>
                <w:bCs/>
                <w:snapToGrid w:val="0"/>
                <w:kern w:val="0"/>
                <w:sz w:val="24"/>
                <w:szCs w:val="24"/>
                <w:highlight w:val="yellow"/>
                <w:lang w:val="en-US" w:eastAsia="zh-CN"/>
              </w:rPr>
              <w:t>yangshuchao@sinotruk.com</w:t>
            </w:r>
            <w:r>
              <w:rPr>
                <w:rFonts w:hint="eastAsia" w:ascii="宋体" w:hAnsi="宋体" w:eastAsia="宋体" w:cs="宋体"/>
                <w:b w:val="0"/>
                <w:bCs/>
                <w:snapToGrid w:val="0"/>
                <w:kern w:val="0"/>
                <w:sz w:val="24"/>
                <w:szCs w:val="24"/>
                <w:highlight w:val="yellow"/>
                <w:lang w:val="en-US" w:eastAsia="zh-CN"/>
              </w:rPr>
              <w:fldChar w:fldCharType="end"/>
            </w:r>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lang w:val="en-US" w:eastAsia="zh-CN"/>
              </w:rPr>
              <w:t>杨元雷</w:t>
            </w:r>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b w:val="0"/>
                <w:bCs w:val="0"/>
                <w:sz w:val="24"/>
                <w:szCs w:val="24"/>
                <w:lang w:val="en-US" w:eastAsia="zh-CN"/>
              </w:rPr>
              <w:t>18766182786</w:t>
            </w:r>
          </w:p>
          <w:p>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b w:val="0"/>
                <w:bCs w:val="0"/>
                <w:sz w:val="24"/>
                <w:szCs w:val="24"/>
                <w:lang w:val="en-US" w:eastAsia="zh-CN"/>
              </w:rPr>
              <w:t>jnatcyyl@163.com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人民币</w:t>
            </w:r>
            <w:r>
              <w:rPr>
                <w:rFonts w:hint="eastAsia" w:hAnsi="宋体" w:eastAsia="宋体" w:cs="Times New Roman"/>
                <w:b/>
                <w:bCs/>
                <w:color w:val="000000"/>
                <w:sz w:val="24"/>
                <w:szCs w:val="24"/>
                <w:highlight w:val="yellow"/>
                <w:lang w:val="en-US" w:eastAsia="zh-CN"/>
              </w:rPr>
              <w:t>71.76</w:t>
            </w:r>
            <w:r>
              <w:rPr>
                <w:rFonts w:hint="eastAsia" w:hAnsi="宋体" w:eastAsia="宋体" w:cs="Times New Roman"/>
                <w:color w:val="000000"/>
                <w:sz w:val="24"/>
                <w:szCs w:val="24"/>
                <w:highlight w:val="yellow"/>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pPr>
              <w:pStyle w:val="17"/>
              <w:spacing w:line="320" w:lineRule="exact"/>
              <w:ind w:firstLine="482" w:firstLineChars="200"/>
              <w:rPr>
                <w:rFonts w:hint="eastAsia" w:ascii="宋体" w:hAnsi="宋体" w:eastAsia="宋体" w:cs="宋体"/>
                <w:b/>
                <w:bCs/>
                <w:sz w:val="24"/>
                <w:szCs w:val="24"/>
              </w:rPr>
            </w:pPr>
            <w:r>
              <w:rPr>
                <w:rFonts w:hint="eastAsia" w:hAnsi="宋体" w:eastAsia="宋体" w:cs="宋体"/>
                <w:b/>
                <w:bCs/>
                <w:sz w:val="24"/>
                <w:szCs w:val="24"/>
                <w:lang w:val="en-US" w:eastAsia="zh-CN"/>
              </w:rPr>
              <w:t>1.</w:t>
            </w:r>
            <w:r>
              <w:rPr>
                <w:rFonts w:hint="eastAsia" w:ascii="宋体" w:hAnsi="宋体" w:eastAsia="宋体" w:cs="宋体"/>
                <w:b/>
                <w:bCs/>
                <w:sz w:val="24"/>
                <w:szCs w:val="24"/>
              </w:rPr>
              <w:t>国内投标人，投标条件如下：</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color w:val="000000"/>
                <w:sz w:val="24"/>
                <w:szCs w:val="24"/>
              </w:rPr>
              <w:t>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color w:val="000000"/>
                <w:sz w:val="24"/>
                <w:szCs w:val="24"/>
              </w:rPr>
              <w:t>拟投标人应提供法定代表人资格证明文件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color w:val="000000"/>
                <w:sz w:val="24"/>
                <w:szCs w:val="24"/>
              </w:rPr>
              <w:t>拟投标人不存在严重违规或被列入招标人“黑名单”的声明</w:t>
            </w:r>
            <w:r>
              <w:rPr>
                <w:rFonts w:hint="eastAsia" w:ascii="宋体" w:hAnsi="宋体" w:eastAsia="宋体" w:cs="宋体"/>
                <w:sz w:val="24"/>
                <w:szCs w:val="24"/>
              </w:rPr>
              <w:t>。</w:t>
            </w:r>
          </w:p>
          <w:p>
            <w:pPr>
              <w:pStyle w:val="17"/>
              <w:ind w:firstLine="480" w:firstLineChars="200"/>
              <w:rPr>
                <w:rFonts w:hint="eastAsia" w:ascii="宋体" w:hAnsi="宋体" w:eastAsia="宋体" w:cs="宋体"/>
                <w:color w:val="FF0000"/>
                <w:sz w:val="24"/>
                <w:szCs w:val="24"/>
              </w:rPr>
            </w:pPr>
            <w:r>
              <w:rPr>
                <w:rFonts w:hint="eastAsia" w:ascii="宋体" w:hAnsi="宋体" w:eastAsia="宋体" w:cs="宋体"/>
                <w:bCs/>
                <w:sz w:val="24"/>
                <w:szCs w:val="24"/>
              </w:rPr>
              <w:t>1.6</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月1日</w:t>
            </w:r>
            <w:r>
              <w:rPr>
                <w:rFonts w:hint="eastAsia" w:hAnsi="宋体" w:eastAsia="宋体" w:cs="宋体"/>
                <w:sz w:val="24"/>
                <w:szCs w:val="24"/>
              </w:rPr>
              <w:t>至今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1.7拟投标人有与本次招标设备</w:t>
            </w:r>
            <w:r>
              <w:rPr>
                <w:rFonts w:hint="eastAsia" w:ascii="宋体" w:hAnsi="宋体" w:eastAsia="宋体" w:cs="宋体"/>
                <w:sz w:val="24"/>
                <w:szCs w:val="24"/>
                <w:highlight w:val="none"/>
              </w:rPr>
              <w:t>同类的项目经验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highlight w:val="none"/>
              </w:rPr>
              <w:t>1.8</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1.9</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r>
              <w:rPr>
                <w:rFonts w:hint="eastAsia" w:ascii="宋体" w:hAnsi="宋体" w:eastAsia="宋体" w:cs="宋体"/>
                <w:sz w:val="24"/>
                <w:szCs w:val="24"/>
              </w:rPr>
              <w:t>。</w:t>
            </w:r>
          </w:p>
          <w:p>
            <w:pPr>
              <w:pStyle w:val="17"/>
              <w:spacing w:line="32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lang w:val="en-US" w:eastAsia="zh-CN"/>
              </w:rPr>
              <w:t>1.11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spacing w:line="320" w:lineRule="exact"/>
              <w:ind w:firstLine="480"/>
              <w:rPr>
                <w:rFonts w:hint="eastAsia" w:ascii="宋体" w:hAnsi="宋体" w:eastAsia="宋体" w:cs="宋体"/>
                <w:color w:val="000000"/>
                <w:kern w:val="2"/>
                <w:sz w:val="24"/>
                <w:szCs w:val="24"/>
                <w:highlight w:val="none"/>
                <w:lang w:val="en-US" w:eastAsia="zh-CN" w:bidi="ar-SA"/>
              </w:rPr>
            </w:pPr>
            <w:r>
              <w:rPr>
                <w:rFonts w:hint="eastAsia" w:hAnsi="宋体" w:eastAsia="宋体" w:cs="宋体"/>
                <w:sz w:val="24"/>
                <w:szCs w:val="24"/>
                <w:lang w:val="en-US" w:eastAsia="zh-CN"/>
              </w:rPr>
              <w:t>1.12</w:t>
            </w:r>
            <w:r>
              <w:rPr>
                <w:rFonts w:hint="eastAsia" w:hAnsi="宋体" w:eastAsia="宋体" w:cs="宋体"/>
                <w:color w:val="000000"/>
                <w:sz w:val="24"/>
                <w:szCs w:val="24"/>
              </w:rPr>
              <w:t>拟投标人信用证明材料（</w:t>
            </w:r>
            <w:r>
              <w:rPr>
                <w:rFonts w:hint="eastAsia" w:hAnsi="宋体" w:eastAsia="宋体" w:cs="宋体"/>
                <w:color w:val="000000"/>
                <w:sz w:val="24"/>
                <w:szCs w:val="24"/>
                <w:lang w:val="en-US" w:eastAsia="zh-CN"/>
              </w:rPr>
              <w:t>信用</w:t>
            </w:r>
            <w:r>
              <w:rPr>
                <w:rFonts w:hint="eastAsia" w:hAnsi="宋体" w:eastAsia="宋体" w:cs="宋体"/>
                <w:color w:val="000000"/>
                <w:sz w:val="24"/>
                <w:szCs w:val="24"/>
              </w:rPr>
              <w:t>报告）未显示异常</w:t>
            </w:r>
            <w:r>
              <w:rPr>
                <w:rFonts w:hint="eastAsia" w:ascii="宋体" w:hAnsi="宋体" w:eastAsia="宋体" w:cs="宋体"/>
                <w:color w:val="000000"/>
                <w:kern w:val="2"/>
                <w:sz w:val="24"/>
                <w:szCs w:val="24"/>
                <w:highlight w:val="none"/>
                <w:lang w:val="en-US" w:eastAsia="zh-CN" w:bidi="ar-SA"/>
              </w:rPr>
              <w:t>。</w:t>
            </w:r>
          </w:p>
          <w:p>
            <w:pPr>
              <w:pStyle w:val="17"/>
              <w:spacing w:line="32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2"/>
                <w:sz w:val="24"/>
                <w:szCs w:val="24"/>
                <w:highlight w:val="none"/>
                <w:lang w:val="en-US" w:eastAsia="zh-CN" w:bidi="ar-SA"/>
              </w:rPr>
              <w:t>1.13</w:t>
            </w:r>
            <w:r>
              <w:rPr>
                <w:rFonts w:hint="eastAsia" w:hAnsi="宋体" w:eastAsia="宋体" w:cs="宋体"/>
                <w:color w:val="000000"/>
                <w:sz w:val="24"/>
                <w:szCs w:val="24"/>
              </w:rPr>
              <w:t>拟投标人的直接或间接股东、法定代表人、董事、监事、高管非重汽员工及其亲属</w:t>
            </w:r>
            <w:r>
              <w:rPr>
                <w:rFonts w:hint="eastAsia" w:ascii="宋体" w:hAnsi="宋体" w:eastAsia="宋体" w:cs="宋体"/>
                <w:color w:val="000000"/>
                <w:sz w:val="24"/>
                <w:szCs w:val="24"/>
                <w:highlight w:val="none"/>
                <w:lang w:eastAsia="zh-CN"/>
              </w:rPr>
              <w:t>。</w:t>
            </w:r>
          </w:p>
          <w:p>
            <w:pPr>
              <w:pStyle w:val="17"/>
              <w:spacing w:line="320" w:lineRule="exact"/>
              <w:ind w:firstLine="48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1.14</w:t>
            </w:r>
            <w:r>
              <w:rPr>
                <w:rFonts w:hint="eastAsia" w:hAnsi="宋体" w:eastAsia="宋体" w:cs="宋体"/>
                <w:color w:val="000000"/>
                <w:sz w:val="24"/>
                <w:szCs w:val="24"/>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val="en-US" w:eastAsia="zh-CN"/>
              </w:rPr>
              <w:t>。</w:t>
            </w:r>
          </w:p>
          <w:p>
            <w:pPr>
              <w:pStyle w:val="17"/>
              <w:spacing w:line="320" w:lineRule="exact"/>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1.15</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w:t>
            </w:r>
            <w:r>
              <w:rPr>
                <w:rFonts w:hint="eastAsia" w:hAnsi="宋体" w:eastAsia="宋体" w:cs="宋体"/>
                <w:color w:val="000000"/>
                <w:sz w:val="24"/>
                <w:szCs w:val="24"/>
                <w:highlight w:val="none"/>
              </w:rPr>
              <w:t>单位</w:t>
            </w:r>
            <w:r>
              <w:rPr>
                <w:rFonts w:ascii="宋体" w:hAnsi="宋体" w:eastAsia="宋体" w:cs="宋体"/>
                <w:sz w:val="24"/>
                <w:szCs w:val="24"/>
                <w:highlight w:val="none"/>
              </w:rPr>
              <w:t>。</w:t>
            </w:r>
          </w:p>
          <w:p>
            <w:pPr>
              <w:pStyle w:val="17"/>
              <w:spacing w:line="320" w:lineRule="exact"/>
              <w:ind w:firstLine="480"/>
              <w:rPr>
                <w:rFonts w:hint="eastAsia" w:ascii="宋体" w:hAnsi="宋体" w:eastAsia="宋体" w:cs="宋体"/>
                <w:sz w:val="24"/>
                <w:szCs w:val="24"/>
              </w:rPr>
            </w:pPr>
            <w:r>
              <w:rPr>
                <w:rFonts w:hint="eastAsia" w:hAnsi="宋体" w:eastAsia="宋体" w:cs="宋体"/>
                <w:sz w:val="24"/>
                <w:szCs w:val="24"/>
                <w:lang w:val="en-US" w:eastAsia="zh-CN"/>
              </w:rPr>
              <w:t>1.16</w:t>
            </w:r>
            <w:r>
              <w:rPr>
                <w:rFonts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rPr>
              <w:t>。</w:t>
            </w:r>
          </w:p>
          <w:p>
            <w:pPr>
              <w:pStyle w:val="17"/>
              <w:spacing w:line="320" w:lineRule="exact"/>
              <w:ind w:firstLine="482" w:firstLineChars="200"/>
              <w:rPr>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对于境外投标人，投标条件如下：</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2.1拟投标人设立的证明文件。</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2.2拟投标人对授权代表出具的可参加中国境内投标并签署合同的授权书。</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2.3请提供护照原件或者身份证原件，并准备复印件以备现场核验。</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2.4</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ascii="宋体" w:hAnsi="宋体" w:eastAsia="宋体" w:cs="宋体"/>
                <w:sz w:val="24"/>
                <w:szCs w:val="24"/>
              </w:rPr>
              <w:t>。若没有财务审计报告，需提供资产负债表、利润表、现金流量表（加盖公章版）未显示异常。</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2.5拟投标人有与本次招标设备同类的项目经验</w:t>
            </w:r>
            <w:r>
              <w:rPr>
                <w:rFonts w:hint="eastAsia" w:hAnsi="宋体" w:eastAsia="宋体" w:cs="宋体"/>
                <w:sz w:val="24"/>
                <w:szCs w:val="24"/>
                <w:lang w:eastAsia="zh-CN"/>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2.6</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2.7</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2.8</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ind w:firstLine="480" w:firstLineChars="200"/>
              <w:rPr>
                <w:rFonts w:hint="eastAsia" w:hAnsi="宋体" w:eastAsia="宋体" w:cs="宋体"/>
                <w:color w:val="000000"/>
                <w:sz w:val="24"/>
                <w:szCs w:val="24"/>
                <w:highlight w:val="none"/>
              </w:rPr>
            </w:pPr>
            <w:r>
              <w:rPr>
                <w:rFonts w:hint="eastAsia" w:hAnsi="宋体" w:eastAsia="宋体" w:cs="宋体"/>
                <w:sz w:val="24"/>
                <w:szCs w:val="24"/>
                <w:lang w:val="en-US" w:eastAsia="zh-CN"/>
              </w:rPr>
              <w:t>2.9</w:t>
            </w:r>
            <w:r>
              <w:rPr>
                <w:rFonts w:ascii="宋体" w:hAnsi="宋体" w:eastAsia="宋体" w:cs="宋体"/>
                <w:sz w:val="24"/>
                <w:szCs w:val="24"/>
              </w:rPr>
              <w:t>拟投标人必须是最终投标单位、签订合同单位，不得以任何形式分包或转包给其他单位。</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a)如果是授权委托人投标，要携带营业执照副本原件和复印件、法人授权委托书、身份证原件参加开标会议；否则视为弃标；</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b)如果是法人参加投标，要携带要携带营业执照副本原件和复印件、法人代表证明原件、身份证原件参加开标会议；否则视为弃标；</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c)如果是代理商投标，除上述a)b)中要求的资料，需另外携带生产商的授权书、原厂售后服务承诺书参加开标会议；否则视为弃标。</w:t>
            </w:r>
          </w:p>
          <w:p>
            <w:pPr>
              <w:pStyle w:val="17"/>
              <w:spacing w:line="320" w:lineRule="exact"/>
              <w:rPr>
                <w:rFonts w:hAnsi="宋体" w:eastAsia="宋体" w:cs="宋体"/>
                <w:sz w:val="24"/>
                <w:szCs w:val="24"/>
              </w:rPr>
            </w:pPr>
            <w:r>
              <w:rPr>
                <w:rFonts w:hint="eastAsia" w:hAnsi="宋体" w:eastAsia="宋体" w:cs="宋体"/>
                <w:color w:val="000000"/>
                <w:sz w:val="24"/>
                <w:szCs w:val="24"/>
                <w:highlight w:val="none"/>
                <w:lang w:val="en-US" w:eastAsia="zh-CN"/>
              </w:rPr>
              <w:t>d)本项目不接受联合体投标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9</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16</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color w:val="auto"/>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71"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10</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14</w:t>
            </w:r>
            <w:r>
              <w:rPr>
                <w:rFonts w:hint="eastAsia" w:ascii="宋体" w:hAnsi="宋体" w:eastAsia="宋体" w:cs="宋体"/>
                <w:bCs/>
                <w:color w:val="FF0000"/>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14</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color w:val="FF0000"/>
                <w:highlight w:val="yellow"/>
              </w:rPr>
            </w:pPr>
            <w:r>
              <w:rPr>
                <w:rFonts w:hint="eastAsia" w:eastAsia="宋体" w:cs="宋体"/>
                <w:b/>
                <w:bCs/>
                <w:color w:val="FF0000"/>
              </w:rPr>
              <w:t>应标截止时间：</w:t>
            </w:r>
            <w:r>
              <w:rPr>
                <w:rFonts w:hint="eastAsia" w:eastAsia="宋体" w:cs="宋体"/>
                <w:color w:val="FF0000"/>
                <w:highlight w:val="yellow"/>
              </w:rPr>
              <w:t>202</w:t>
            </w:r>
            <w:r>
              <w:rPr>
                <w:rFonts w:hint="eastAsia" w:eastAsia="宋体" w:cs="宋体"/>
                <w:color w:val="FF0000"/>
                <w:highlight w:val="yellow"/>
                <w:lang w:val="en-US" w:eastAsia="zh-CN"/>
              </w:rPr>
              <w:t>5</w:t>
            </w:r>
            <w:r>
              <w:rPr>
                <w:rFonts w:hint="eastAsia" w:eastAsia="宋体" w:cs="宋体"/>
                <w:color w:val="FF0000"/>
                <w:highlight w:val="yellow"/>
              </w:rPr>
              <w:t>年</w:t>
            </w:r>
            <w:r>
              <w:rPr>
                <w:rFonts w:hint="eastAsia" w:eastAsia="宋体" w:cs="宋体"/>
                <w:color w:val="FF0000"/>
                <w:highlight w:val="yellow"/>
                <w:u w:val="single"/>
                <w:lang w:val="en-US" w:eastAsia="zh-CN"/>
              </w:rPr>
              <w:t>9</w:t>
            </w:r>
            <w:r>
              <w:rPr>
                <w:rFonts w:hint="eastAsia" w:eastAsia="宋体" w:cs="宋体"/>
                <w:color w:val="FF0000"/>
                <w:highlight w:val="yellow"/>
              </w:rPr>
              <w:t>月</w:t>
            </w:r>
            <w:r>
              <w:rPr>
                <w:rFonts w:hint="eastAsia" w:eastAsia="宋体" w:cs="宋体"/>
                <w:color w:val="FF0000"/>
                <w:highlight w:val="yellow"/>
                <w:u w:val="single"/>
                <w:lang w:val="en-US" w:eastAsia="zh-CN"/>
              </w:rPr>
              <w:t>24</w:t>
            </w:r>
            <w:r>
              <w:rPr>
                <w:rFonts w:hint="eastAsia" w:eastAsia="宋体" w:cs="宋体"/>
                <w:color w:val="FF0000"/>
                <w:highlight w:val="yellow"/>
              </w:rPr>
              <w:t>日17时00分00秒</w:t>
            </w:r>
          </w:p>
          <w:p>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ascii="宋体" w:hAnsi="宋体" w:eastAsia="宋体" w:cs="宋体"/>
                <w:b/>
                <w:sz w:val="24"/>
                <w:szCs w:val="24"/>
                <w:highlight w:val="yellow"/>
                <w:lang w:val="en-US"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7"/>
              <w:ind w:firstLine="480" w:firstLineChars="200"/>
              <w:rPr>
                <w:rFonts w:hint="eastAsia" w:ascii="宋体" w:hAnsi="宋体" w:eastAsia="宋体" w:cs="宋体"/>
                <w:bCs/>
                <w:sz w:val="24"/>
                <w:szCs w:val="24"/>
              </w:rPr>
            </w:pPr>
            <w:r>
              <w:rPr>
                <w:rFonts w:hint="eastAsia" w:hAnsi="宋体" w:eastAsia="宋体" w:cs="宋体"/>
                <w:bCs/>
                <w:sz w:val="24"/>
                <w:szCs w:val="24"/>
                <w:lang w:val="en-US" w:eastAsia="zh-CN"/>
              </w:rPr>
              <w:t>线下</w:t>
            </w:r>
            <w:r>
              <w:rPr>
                <w:rFonts w:hint="eastAsia" w:ascii="宋体" w:hAnsi="宋体" w:eastAsia="宋体" w:cs="宋体"/>
                <w:bCs/>
                <w:sz w:val="24"/>
                <w:szCs w:val="24"/>
              </w:rPr>
              <w:t>开标，自行携带纸质投标文件于开标前至开标地点即可。</w:t>
            </w:r>
          </w:p>
          <w:p>
            <w:pPr>
              <w:pStyle w:val="17"/>
              <w:ind w:firstLine="480" w:firstLineChars="200"/>
              <w:rPr>
                <w:rFonts w:hint="eastAsia" w:ascii="宋体" w:hAnsi="宋体" w:eastAsia="宋体" w:cs="宋体"/>
                <w:bCs/>
                <w:sz w:val="24"/>
                <w:szCs w:val="24"/>
              </w:rPr>
            </w:pPr>
            <w:r>
              <w:rPr>
                <w:rFonts w:hint="eastAsia" w:ascii="宋体" w:hAnsi="宋体" w:eastAsia="宋体" w:cs="宋体"/>
                <w:bCs/>
                <w:sz w:val="24"/>
                <w:szCs w:val="24"/>
              </w:rPr>
              <w:t>线上开标，纸质投标文件需在开标日前两天，邮寄到指定地址。</w:t>
            </w:r>
          </w:p>
          <w:p>
            <w:pPr>
              <w:pStyle w:val="17"/>
              <w:rPr>
                <w:rFonts w:hint="eastAsia" w:ascii="宋体" w:hAnsi="宋体" w:eastAsia="宋体" w:cs="宋体"/>
                <w:b w:val="0"/>
                <w:bCs w:val="0"/>
                <w:color w:val="000000"/>
                <w:sz w:val="24"/>
                <w:szCs w:val="24"/>
                <w:highlight w:val="yellow"/>
              </w:rPr>
            </w:pPr>
            <w:r>
              <w:rPr>
                <w:rFonts w:hint="eastAsia" w:ascii="宋体" w:hAnsi="宋体" w:eastAsia="宋体" w:cs="宋体"/>
                <w:b/>
                <w:sz w:val="24"/>
                <w:szCs w:val="24"/>
              </w:rPr>
              <w:t>邮寄地址：</w:t>
            </w:r>
            <w:r>
              <w:rPr>
                <w:rFonts w:hint="eastAsia" w:ascii="宋体" w:hAnsi="宋体" w:eastAsia="宋体" w:cs="宋体"/>
                <w:b w:val="0"/>
                <w:bCs w:val="0"/>
                <w:color w:val="000000"/>
                <w:sz w:val="24"/>
                <w:szCs w:val="24"/>
                <w:highlight w:val="yellow"/>
              </w:rPr>
              <w:t>山东省济南市历城区华奥路777号</w:t>
            </w:r>
          </w:p>
          <w:p>
            <w:pPr>
              <w:pStyle w:val="17"/>
              <w:rPr>
                <w:rFonts w:hint="default" w:hAnsi="宋体" w:eastAsia="宋体" w:cs="Times New Roman"/>
                <w:color w:val="000000"/>
                <w:sz w:val="24"/>
                <w:szCs w:val="24"/>
                <w:lang w:val="en-US" w:eastAsia="zh-CN"/>
              </w:rPr>
            </w:pPr>
            <w:r>
              <w:rPr>
                <w:rFonts w:hint="eastAsia" w:ascii="宋体" w:hAnsi="宋体" w:eastAsia="宋体" w:cs="宋体"/>
                <w:b/>
                <w:bCs/>
                <w:color w:val="000000"/>
                <w:sz w:val="24"/>
                <w:szCs w:val="24"/>
              </w:rPr>
              <w:t>联系人及联系方式</w:t>
            </w:r>
            <w:r>
              <w:rPr>
                <w:rFonts w:hint="eastAsia" w:ascii="宋体" w:hAnsi="宋体" w:eastAsia="宋体" w:cs="宋体"/>
                <w:color w:val="000000"/>
                <w:sz w:val="24"/>
                <w:szCs w:val="24"/>
                <w:highlight w:val="yellow"/>
              </w:rPr>
              <w:t>：</w:t>
            </w:r>
            <w:r>
              <w:rPr>
                <w:rFonts w:hint="eastAsia" w:hAnsi="宋体" w:eastAsia="宋体" w:cs="宋体"/>
                <w:b w:val="0"/>
                <w:bCs w:val="0"/>
                <w:color w:val="000000"/>
                <w:sz w:val="24"/>
                <w:szCs w:val="24"/>
                <w:highlight w:val="yellow"/>
                <w:lang w:val="en-US" w:eastAsia="zh-CN"/>
              </w:rPr>
              <w:t>杨淑超</w:t>
            </w:r>
            <w:r>
              <w:rPr>
                <w:rFonts w:hint="eastAsia" w:ascii="宋体" w:hAnsi="宋体" w:eastAsia="宋体" w:cs="宋体"/>
                <w:b w:val="0"/>
                <w:bCs w:val="0"/>
                <w:color w:val="000000"/>
                <w:sz w:val="24"/>
                <w:szCs w:val="24"/>
                <w:highlight w:val="yellow"/>
              </w:rPr>
              <w:t>/</w:t>
            </w:r>
            <w:r>
              <w:rPr>
                <w:rFonts w:hint="eastAsia" w:hAnsi="宋体" w:eastAsia="宋体" w:cs="宋体"/>
                <w:b w:val="0"/>
                <w:bCs w:val="0"/>
                <w:snapToGrid w:val="0"/>
                <w:kern w:val="0"/>
                <w:sz w:val="24"/>
                <w:szCs w:val="24"/>
                <w:highlight w:val="yellow"/>
                <w:lang w:val="en-US" w:eastAsia="zh-CN"/>
              </w:rPr>
              <w:t>17860605820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ascii="等线" w:hAnsi="等线" w:eastAsia="宋体" w:cs="宋体"/>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before="0" w:after="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15</w:t>
            </w:r>
            <w:r>
              <w:rPr>
                <w:rFonts w:hint="eastAsia" w:hAnsi="宋体" w:eastAsia="宋体" w:cs="宋体"/>
                <w:sz w:val="24"/>
                <w:szCs w:val="24"/>
                <w:highlight w:val="yellow"/>
              </w:rPr>
              <w:t>日</w:t>
            </w:r>
            <w:r>
              <w:rPr>
                <w:rFonts w:hint="eastAsia" w:hAnsi="宋体" w:eastAsia="宋体" w:cs="宋体"/>
                <w:kern w:val="0"/>
                <w:sz w:val="24"/>
                <w:szCs w:val="24"/>
                <w:highlight w:val="yellow"/>
              </w:rPr>
              <w:t>上午</w:t>
            </w:r>
            <w:r>
              <w:rPr>
                <w:rFonts w:hint="eastAsia" w:hAnsi="宋体" w:eastAsia="宋体" w:cs="宋体"/>
                <w:kern w:val="0"/>
                <w:sz w:val="24"/>
                <w:szCs w:val="24"/>
                <w:highlight w:val="yellow"/>
                <w:lang w:val="en-US" w:eastAsia="zh-CN"/>
              </w:rPr>
              <w:t>8</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10000</w:t>
            </w:r>
            <w:r>
              <w:rPr>
                <w:rFonts w:hint="eastAsia" w:ascii="宋体" w:hAnsi="宋体" w:cs="宋体"/>
                <w:sz w:val="24"/>
                <w:szCs w:val="24"/>
                <w:highlight w:val="yellow"/>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trike/>
                <w:sz w:val="24"/>
                <w:szCs w:val="24"/>
              </w:rPr>
            </w:pPr>
            <w:r>
              <w:rPr>
                <w:rFonts w:hint="eastAsia" w:eastAsia="宋体" w:cs="Times New Roman"/>
                <w:sz w:val="24"/>
                <w:szCs w:val="28"/>
                <w:highlight w:val="yellow"/>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firstLineChars="200"/>
              <w:rPr>
                <w:rFonts w:hint="eastAsia" w:ascii="宋体" w:hAnsi="宋体" w:eastAsia="宋体" w:cs="宋体"/>
                <w:b/>
                <w:bCs/>
                <w:sz w:val="24"/>
                <w:szCs w:val="24"/>
              </w:rPr>
            </w:pPr>
            <w:r>
              <w:rPr>
                <w:rFonts w:hint="eastAsia" w:ascii="宋体" w:hAnsi="宋体" w:cs="宋体"/>
                <w:b/>
                <w:bCs/>
                <w:sz w:val="24"/>
                <w:szCs w:val="24"/>
              </w:rPr>
              <w:t>保证金缴纳截止时间：</w:t>
            </w:r>
            <w:r>
              <w:rPr>
                <w:rFonts w:hint="eastAsia" w:ascii="等线" w:hAnsi="宋体" w:eastAsia="宋体" w:cs="宋体"/>
                <w:kern w:val="2"/>
                <w:sz w:val="24"/>
                <w:szCs w:val="24"/>
                <w:highlight w:val="yellow"/>
                <w:u w:val="single"/>
                <w:lang w:val="en-US" w:eastAsia="zh-CN" w:bidi="ar-SA"/>
              </w:rPr>
              <w:t>202</w:t>
            </w:r>
            <w:r>
              <w:rPr>
                <w:rFonts w:hint="eastAsia" w:ascii="等线" w:hAnsi="宋体" w:cs="宋体"/>
                <w:kern w:val="2"/>
                <w:sz w:val="24"/>
                <w:szCs w:val="24"/>
                <w:highlight w:val="yellow"/>
                <w:u w:val="single"/>
                <w:lang w:val="en-US" w:eastAsia="zh-CN" w:bidi="ar-SA"/>
              </w:rPr>
              <w:t>5</w:t>
            </w:r>
            <w:r>
              <w:rPr>
                <w:rFonts w:hint="eastAsia" w:ascii="等线" w:hAnsi="宋体" w:eastAsia="宋体" w:cs="宋体"/>
                <w:kern w:val="2"/>
                <w:sz w:val="24"/>
                <w:szCs w:val="24"/>
                <w:highlight w:val="yellow"/>
                <w:u w:val="single"/>
                <w:lang w:val="en-US" w:eastAsia="zh-CN" w:bidi="ar-SA"/>
              </w:rPr>
              <w:t>年</w:t>
            </w:r>
            <w:r>
              <w:rPr>
                <w:rFonts w:hint="eastAsia" w:ascii="等线" w:hAnsi="宋体" w:cs="宋体"/>
                <w:kern w:val="2"/>
                <w:sz w:val="24"/>
                <w:szCs w:val="24"/>
                <w:highlight w:val="yellow"/>
                <w:u w:val="single"/>
                <w:lang w:val="en-US" w:eastAsia="zh-CN" w:bidi="ar-SA"/>
              </w:rPr>
              <w:t>10</w:t>
            </w:r>
            <w:r>
              <w:rPr>
                <w:rFonts w:hint="eastAsia" w:ascii="等线" w:hAnsi="宋体" w:eastAsia="宋体" w:cs="宋体"/>
                <w:kern w:val="2"/>
                <w:sz w:val="24"/>
                <w:szCs w:val="24"/>
                <w:highlight w:val="yellow"/>
                <w:u w:val="single"/>
                <w:lang w:val="en-US" w:eastAsia="zh-CN" w:bidi="ar-SA"/>
              </w:rPr>
              <w:t>月</w:t>
            </w:r>
            <w:r>
              <w:rPr>
                <w:rFonts w:hint="eastAsia" w:ascii="等线" w:hAnsi="宋体" w:cs="宋体"/>
                <w:kern w:val="2"/>
                <w:sz w:val="24"/>
                <w:szCs w:val="24"/>
                <w:highlight w:val="yellow"/>
                <w:u w:val="single"/>
                <w:lang w:val="en-US" w:eastAsia="zh-CN" w:bidi="ar-SA"/>
              </w:rPr>
              <w:t>14</w:t>
            </w:r>
            <w:r>
              <w:rPr>
                <w:rFonts w:hint="eastAsia" w:ascii="等线" w:hAnsi="宋体" w:eastAsia="宋体" w:cs="宋体"/>
                <w:kern w:val="2"/>
                <w:sz w:val="24"/>
                <w:szCs w:val="24"/>
                <w:highlight w:val="yellow"/>
                <w:u w:val="single"/>
                <w:lang w:val="en-US" w:eastAsia="zh-CN" w:bidi="ar-SA"/>
              </w:rPr>
              <w:t>日17:00:00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u w:val="single"/>
              </w:rPr>
              <w:t>年</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15</w:t>
            </w:r>
            <w:r>
              <w:rPr>
                <w:rFonts w:hint="eastAsia" w:hAnsi="宋体" w:eastAsia="宋体" w:cs="宋体"/>
                <w:sz w:val="24"/>
                <w:szCs w:val="24"/>
                <w:highlight w:val="yellow"/>
                <w:u w:val="single"/>
              </w:rPr>
              <w:t>日</w:t>
            </w:r>
            <w:r>
              <w:rPr>
                <w:rFonts w:hint="eastAsia" w:hAnsi="宋体" w:eastAsia="宋体" w:cs="宋体"/>
                <w:kern w:val="0"/>
                <w:sz w:val="24"/>
                <w:szCs w:val="24"/>
                <w:highlight w:val="yellow"/>
                <w:u w:val="single"/>
              </w:rPr>
              <w:t>上午9</w:t>
            </w:r>
            <w:r>
              <w:rPr>
                <w:rFonts w:hint="eastAsia" w:hAnsi="宋体" w:eastAsia="宋体" w:cs="宋体"/>
                <w:sz w:val="24"/>
                <w:szCs w:val="24"/>
                <w:highlight w:val="yellow"/>
                <w:u w:val="single"/>
              </w:rPr>
              <w:t>:00:00</w:t>
            </w:r>
            <w:r>
              <w:rPr>
                <w:rFonts w:hint="eastAsia" w:hAnsi="宋体" w:eastAsia="宋体" w:cs="宋体"/>
                <w:sz w:val="24"/>
                <w:szCs w:val="24"/>
                <w:highlight w:val="yellow"/>
              </w:rPr>
              <w:t>（北京时间）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暂定线上会议室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w:t>
            </w:r>
            <w:r>
              <w:rPr>
                <w:rFonts w:hint="eastAsia" w:ascii="宋体" w:hAnsi="宋体" w:eastAsia="宋体" w:cs="宋体"/>
                <w:b/>
                <w:bCs/>
                <w:sz w:val="24"/>
                <w:szCs w:val="24"/>
              </w:rPr>
              <w:t>技术标入围后，采用综合评标法，得分=技术标*30%+商务标*70%，</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180</w:t>
            </w:r>
            <w:r>
              <w:rPr>
                <w:rFonts w:hint="eastAsia" w:hAnsi="宋体" w:eastAsia="宋体" w:cs="宋体"/>
                <w:color w:val="000000"/>
                <w:sz w:val="24"/>
                <w:szCs w:val="24"/>
                <w:highlight w:val="yellow"/>
              </w:rPr>
              <w:t>个日历日</w:t>
            </w:r>
            <w:r>
              <w:rPr>
                <w:rFonts w:hint="eastAsia" w:hAnsi="宋体" w:eastAsia="宋体" w:cs="宋体"/>
                <w:color w:val="000000"/>
                <w:sz w:val="24"/>
                <w:szCs w:val="24"/>
                <w:lang w:val="en-US" w:eastAsia="zh-CN"/>
              </w:rPr>
              <w:t>交货</w:t>
            </w:r>
            <w:r>
              <w:rPr>
                <w:rFonts w:hint="eastAsia" w:hAnsi="宋体" w:eastAsia="宋体" w:cs="宋体"/>
                <w:color w:val="000000"/>
                <w:sz w:val="24"/>
                <w:szCs w:val="24"/>
              </w:rPr>
              <w:t>至供货地点。</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highlight w:val="none"/>
                <w:lang w:val="en-US" w:eastAsia="zh-CN"/>
              </w:rPr>
              <w:t xml:space="preserve">   </w:t>
            </w:r>
            <w:r>
              <w:rPr>
                <w:rFonts w:hint="eastAsia" w:hAnsi="宋体" w:eastAsia="宋体" w:cs="宋体"/>
                <w:b/>
                <w:bCs/>
                <w:color w:val="000000"/>
                <w:sz w:val="24"/>
                <w:szCs w:val="24"/>
                <w:highlight w:val="none"/>
              </w:rPr>
              <w:t>国内货物交货地点：</w:t>
            </w:r>
            <w:r>
              <w:rPr>
                <w:rFonts w:hint="eastAsia" w:hAnsi="宋体" w:eastAsia="宋体" w:cs="宋体"/>
                <w:b/>
                <w:bCs/>
                <w:color w:val="000000"/>
                <w:sz w:val="24"/>
                <w:szCs w:val="24"/>
                <w:highlight w:val="none"/>
                <w:lang w:val="en-US" w:eastAsia="zh-CN"/>
              </w:rPr>
              <w:t>重汽</w:t>
            </w:r>
            <w:r>
              <w:rPr>
                <w:rFonts w:hint="eastAsia" w:hAnsi="宋体" w:eastAsia="宋体" w:cs="宋体"/>
                <w:b/>
                <w:bCs/>
                <w:sz w:val="24"/>
                <w:szCs w:val="24"/>
                <w:highlight w:val="yellow"/>
                <w:lang w:val="en-US" w:eastAsia="zh-CN"/>
              </w:rPr>
              <w:t>莱芜试验园区</w:t>
            </w:r>
            <w:r>
              <w:rPr>
                <w:rFonts w:hint="eastAsia" w:hAnsi="宋体" w:eastAsia="宋体" w:cs="宋体"/>
                <w:color w:val="000000"/>
                <w:sz w:val="24"/>
                <w:szCs w:val="24"/>
                <w:highlight w:val="none"/>
              </w:rPr>
              <w:t>。</w:t>
            </w:r>
          </w:p>
          <w:p>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none"/>
              </w:rPr>
              <w:t>项目建设地点：</w:t>
            </w:r>
            <w:r>
              <w:rPr>
                <w:rFonts w:hint="eastAsia" w:hAnsi="宋体" w:eastAsia="宋体" w:cs="宋体"/>
                <w:b/>
                <w:bCs/>
                <w:color w:val="000000"/>
                <w:sz w:val="24"/>
                <w:szCs w:val="24"/>
                <w:highlight w:val="none"/>
                <w:lang w:val="en-US" w:eastAsia="zh-CN"/>
              </w:rPr>
              <w:t>重汽</w:t>
            </w:r>
            <w:r>
              <w:rPr>
                <w:rFonts w:hint="eastAsia" w:hAnsi="宋体" w:eastAsia="宋体" w:cs="宋体"/>
                <w:b/>
                <w:bCs/>
                <w:sz w:val="24"/>
                <w:szCs w:val="24"/>
                <w:highlight w:val="yellow"/>
                <w:lang w:val="en-US" w:eastAsia="zh-CN"/>
              </w:rPr>
              <w:t>莱芜试验园区</w:t>
            </w:r>
            <w:r>
              <w:rPr>
                <w:rFonts w:hint="eastAsia" w:hAnsi="宋体" w:eastAsia="宋体" w:cs="宋体"/>
                <w:color w:val="000000"/>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rPr>
            </w:pPr>
            <w:r>
              <w:rPr>
                <w:rFonts w:hint="eastAsia" w:ascii="宋体" w:hAnsi="宋体" w:cs="宋体"/>
                <w:b/>
                <w:bCs/>
                <w:sz w:val="24"/>
                <w:szCs w:val="24"/>
                <w:highlight w:val="yellow"/>
                <w:u w:val="single"/>
              </w:rPr>
              <w:t>Ⅰ.付款方式：半年期商业汇票（包括银行承兑汇票和商业承兑汇票）</w:t>
            </w:r>
          </w:p>
          <w:p>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付款方式：半年期商业汇票（包括银行承兑汇票和商业承兑汇票）：</w:t>
            </w:r>
          </w:p>
          <w:p>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（1）设备全部到齐，经现场安装调试验收合格交付使用后，卖方提交金额为合同价款90%的收据并附带下列单据，经买方依照财务制度审核无误后30个工作日内支付合同价款的90%。</w:t>
            </w:r>
          </w:p>
          <w:p>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A：金额为该合同设备价格100%的增值税专用发票（含复印件二份），具体开票信息详见发票信息表，根据表中所列分别开具增值税发票。</w:t>
            </w:r>
          </w:p>
          <w:p>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B：该套合同设备最终验收报告的原件及其复印件两份。</w:t>
            </w:r>
          </w:p>
          <w:p>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个工作日。如有质量问题，质量保证金予以相应扣除。</w:t>
            </w:r>
          </w:p>
          <w:p>
            <w:pPr>
              <w:pStyle w:val="17"/>
              <w:numPr>
                <w:ilvl w:val="0"/>
                <w:numId w:val="0"/>
              </w:numPr>
              <w:ind w:firstLine="480" w:firstLineChars="200"/>
              <w:jc w:val="left"/>
              <w:rPr>
                <w:rFonts w:hint="eastAsia" w:hAnsi="宋体" w:eastAsia="宋体" w:cs="宋体"/>
                <w:color w:val="000000"/>
                <w:sz w:val="24"/>
                <w:szCs w:val="24"/>
                <w:highlight w:val="yellow"/>
              </w:rPr>
            </w:pPr>
            <w:r>
              <w:rPr>
                <w:rFonts w:hint="eastAsia" w:ascii="宋体" w:hAnsi="宋体" w:eastAsia="宋体" w:cs="宋体"/>
                <w:sz w:val="24"/>
                <w:szCs w:val="24"/>
                <w:highlight w:val="yellow"/>
                <w:lang w:val="en-US" w:eastAsia="zh-CN"/>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4" w:name="_Toc29337"/>
      <w:r>
        <w:rPr>
          <w:rFonts w:hint="eastAsia" w:ascii="Calibri" w:hAnsi="Calibri" w:eastAsia="宋体" w:cs="Times New Roman"/>
          <w:b/>
          <w:bCs/>
          <w:kern w:val="44"/>
          <w:sz w:val="36"/>
          <w:szCs w:val="44"/>
        </w:rPr>
        <w:t>第二部分 投标须知</w:t>
      </w:r>
      <w:bookmarkEnd w:id="4"/>
    </w:p>
    <w:p>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rPr>
        <w:t>见《投标须知前附表》。</w:t>
      </w:r>
    </w:p>
    <w:bookmarkEnd w:id="5"/>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w:t>
      </w:r>
      <w:r>
        <w:rPr>
          <w:rFonts w:hint="eastAsia" w:eastAsia="宋体" w:cs="Times New Roman"/>
          <w:highlight w:val="none"/>
        </w:rPr>
        <w:t>描版，</w:t>
      </w:r>
      <w:r>
        <w:rPr>
          <w:rFonts w:hint="eastAsia" w:eastAsia="宋体" w:cs="Times New Roman"/>
          <w:highlight w:val="yellow"/>
        </w:rPr>
        <w:t>用公司名称+文件名称命名。</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bookmarkStart w:id="6" w:name="_Toc33265653"/>
      <w:bookmarkStart w:id="7" w:name="_Toc33266627"/>
      <w:bookmarkStart w:id="8" w:name="_Toc33267001"/>
      <w:bookmarkStart w:id="9" w:name="_Toc33265752"/>
      <w:bookmarkStart w:id="10" w:name="_Toc33266914"/>
      <w:bookmarkStart w:id="11" w:name="_Toc33285487"/>
      <w:bookmarkStart w:id="12" w:name="_Toc33266950"/>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6"/>
      <w:bookmarkEnd w:id="7"/>
      <w:bookmarkEnd w:id="8"/>
      <w:bookmarkEnd w:id="9"/>
      <w:bookmarkEnd w:id="10"/>
      <w:bookmarkEnd w:id="11"/>
      <w:bookmarkEnd w:id="12"/>
      <w:bookmarkStart w:id="13" w:name="_Toc395116633"/>
    </w:p>
    <w:bookmarkEnd w:id="13"/>
    <w:p>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spacing w:line="360" w:lineRule="auto"/>
        <w:ind w:firstLine="482" w:firstLineChars="200"/>
        <w:outlineLvl w:val="2"/>
        <w:rPr>
          <w:rFonts w:hint="eastAsia" w:ascii="宋体" w:hAnsi="宋体" w:eastAsia="宋体" w:cs="宋体"/>
          <w:b/>
          <w:sz w:val="24"/>
          <w:szCs w:val="24"/>
        </w:rPr>
      </w:pPr>
      <w:r>
        <w:rPr>
          <w:rFonts w:hint="eastAsia" w:ascii="宋体" w:hAnsi="宋体" w:eastAsia="宋体" w:cs="宋体"/>
          <w:b/>
          <w:sz w:val="24"/>
          <w:szCs w:val="24"/>
        </w:rPr>
        <w:t>评标模式：综合评标法，得分=技术标×30%+商务标×70%。</w:t>
      </w:r>
    </w:p>
    <w:p>
      <w:pPr>
        <w:snapToGrid w:val="0"/>
        <w:spacing w:line="240" w:lineRule="atLeast"/>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商务标：</w:t>
      </w:r>
      <w:r>
        <w:rPr>
          <w:rFonts w:hint="eastAsia" w:ascii="宋体" w:hAnsi="宋体" w:eastAsia="宋体" w:cs="宋体"/>
          <w:b/>
          <w:color w:val="000000"/>
          <w:sz w:val="24"/>
          <w:szCs w:val="24"/>
        </w:rPr>
        <w:t>商</w:t>
      </w:r>
      <w:r>
        <w:rPr>
          <w:rFonts w:hint="eastAsia" w:ascii="宋体" w:hAnsi="宋体" w:eastAsia="宋体" w:cs="宋体"/>
          <w:b/>
          <w:sz w:val="24"/>
          <w:szCs w:val="24"/>
        </w:rPr>
        <w:t>务标得分=当前轮次最低价/供方投标价×商务标总分。</w:t>
      </w:r>
    </w:p>
    <w:tbl>
      <w:tblPr>
        <w:tblStyle w:val="37"/>
        <w:tblpPr w:leftFromText="180" w:rightFromText="180" w:vertAnchor="text" w:horzAnchor="page" w:tblpX="1417" w:tblpY="653"/>
        <w:tblOverlap w:val="never"/>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558"/>
        <w:gridCol w:w="1225"/>
        <w:gridCol w:w="1009"/>
        <w:gridCol w:w="5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评审</w:t>
            </w:r>
          </w:p>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内容</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65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   容</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309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业绩</w:t>
            </w:r>
          </w:p>
        </w:tc>
        <w:tc>
          <w:tcPr>
            <w:tcW w:w="300"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543"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3099" w:type="pct"/>
            <w:vMerge w:val="restar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投标人提供自20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年1月1日以来</w:t>
            </w:r>
            <w:r>
              <w:rPr>
                <w:rFonts w:hint="eastAsia" w:ascii="宋体" w:hAnsi="宋体" w:eastAsia="宋体" w:cs="宋体"/>
                <w:sz w:val="21"/>
                <w:szCs w:val="21"/>
                <w:lang w:val="en-US" w:eastAsia="zh-CN"/>
              </w:rPr>
              <w:t>投入使用的同类项目</w:t>
            </w:r>
            <w:r>
              <w:rPr>
                <w:rFonts w:hint="eastAsia" w:ascii="宋体" w:hAnsi="宋体" w:eastAsia="宋体" w:cs="宋体"/>
                <w:sz w:val="21"/>
                <w:szCs w:val="21"/>
              </w:rPr>
              <w:t>的项目业绩（以合同复印件加盖公章为准，时间以签订日期为准）。由评标委员会成员按照合同数量及金额、合同相关性两个维度进行打分。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合同数量6-10份：4-8分；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合同数量11-15份：9-13分；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合同数量＞15份：14-15分。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合同相关性</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产品技术</w:t>
            </w:r>
          </w:p>
        </w:tc>
        <w:tc>
          <w:tcPr>
            <w:tcW w:w="300"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543"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40</w:t>
            </w:r>
          </w:p>
        </w:tc>
        <w:tc>
          <w:tcPr>
            <w:tcW w:w="3099" w:type="pct"/>
            <w:vMerge w:val="restar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测试台设计</w:t>
            </w:r>
            <w:r>
              <w:rPr>
                <w:rFonts w:hint="eastAsia" w:ascii="宋体" w:hAnsi="宋体" w:eastAsia="宋体" w:cs="宋体"/>
                <w:sz w:val="21"/>
                <w:szCs w:val="21"/>
              </w:rPr>
              <w:t>方案已达到招标要求且具备自身优势，打分0-10分；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方案</w:t>
            </w:r>
            <w:r>
              <w:rPr>
                <w:rFonts w:hint="eastAsia" w:ascii="宋体" w:hAnsi="宋体" w:eastAsia="宋体" w:cs="宋体"/>
                <w:sz w:val="21"/>
                <w:szCs w:val="21"/>
              </w:rPr>
              <w:t>系统配置合理，运行可靠，其性能指标、技术水平、可靠性等优势明显，打分0-10分；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答疑</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6"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10</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w:t>
            </w:r>
            <w:r>
              <w:rPr>
                <w:rFonts w:hint="eastAsia" w:ascii="宋体" w:hAnsi="宋体" w:eastAsia="宋体" w:cs="宋体"/>
                <w:sz w:val="21"/>
                <w:szCs w:val="21"/>
                <w:lang w:val="en-US" w:eastAsia="zh-CN"/>
              </w:rPr>
              <w:t>试验台设计方案</w:t>
            </w:r>
            <w:r>
              <w:rPr>
                <w:rFonts w:hint="eastAsia" w:ascii="宋体" w:hAnsi="宋体" w:eastAsia="宋体" w:cs="宋体"/>
                <w:sz w:val="21"/>
                <w:szCs w:val="21"/>
              </w:rPr>
              <w:t>、技术偏离情况，在满足我司技术基本要求的前提下偏离。由评标委员会成员独立进行客观、公正的评价打分。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售后及服务</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技术培训方案</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w:t>
            </w:r>
          </w:p>
        </w:tc>
        <w:tc>
          <w:tcPr>
            <w:tcW w:w="65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售后技术力量</w:t>
            </w:r>
          </w:p>
        </w:tc>
        <w:tc>
          <w:tcPr>
            <w:tcW w:w="543" w:type="pct"/>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309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7</w:t>
            </w:r>
          </w:p>
        </w:tc>
        <w:tc>
          <w:tcPr>
            <w:tcW w:w="65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543" w:type="pct"/>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309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p>
    <w:p>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sz w:val="24"/>
          <w:szCs w:val="24"/>
        </w:rPr>
        <w:t>综合评标法，得分=技术标×30%+商务标×70% ，得分最高者为中标人。</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pStyle w:val="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）投标人报价均超过采购预算的；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rPr>
      </w:pPr>
      <w:bookmarkStart w:id="14" w:name="_Toc217"/>
      <w:r>
        <w:rPr>
          <w:rFonts w:hint="eastAsia" w:ascii="Calibri" w:hAnsi="Calibri" w:eastAsia="宋体" w:cs="Times New Roman"/>
          <w:b/>
          <w:bCs/>
          <w:kern w:val="44"/>
          <w:sz w:val="36"/>
          <w:szCs w:val="44"/>
        </w:rPr>
        <w:t>第三部分 投标文件编制</w:t>
      </w:r>
      <w:bookmarkEnd w:id="14"/>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Times New Roman"/>
          <w:color w:val="000000"/>
          <w:sz w:val="24"/>
          <w:szCs w:val="24"/>
          <w:highlight w:val="none"/>
          <w:lang w:val="en-US" w:eastAsia="zh-CN"/>
        </w:rPr>
        <w:t>信用</w:t>
      </w:r>
      <w:r>
        <w:rPr>
          <w:rFonts w:hint="eastAsia" w:ascii="宋体" w:hAnsi="宋体" w:eastAsia="宋体" w:cs="Times New Roman"/>
          <w:color w:val="000000"/>
          <w:sz w:val="24"/>
          <w:szCs w:val="24"/>
          <w:highlight w:val="none"/>
        </w:rPr>
        <w:t>报告）；</w:t>
      </w:r>
    </w:p>
    <w:p>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Times New Roman"/>
          <w:b w:val="0"/>
          <w:bCs/>
          <w:color w:val="000000"/>
          <w:sz w:val="24"/>
          <w:szCs w:val="24"/>
          <w:highlight w:val="none"/>
        </w:rPr>
        <w:t>；</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1.10企业对外担保说明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1.11保密承诺函（附件4）；</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1.12 2022年1月1日至今，企业近三年同类项目业绩证明；</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 xml:space="preserve">3 </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Times New Roman" w:hAnsi="Times New Roman" w:eastAsia="宋体" w:cs="Times New Roman"/>
          <w:b w:val="0"/>
          <w:bCs w:val="0"/>
          <w:color w:val="000000"/>
          <w:sz w:val="24"/>
          <w:szCs w:val="24"/>
        </w:rPr>
        <w:t>近三年同类项目业绩一览表</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pPr>
        <w:spacing w:line="360" w:lineRule="auto"/>
        <w:ind w:firstLine="480" w:firstLineChars="200"/>
        <w:rPr>
          <w:rFonts w:ascii="宋体" w:hAnsi="宋体" w:eastAsia="宋体" w:cs="Times New Roman"/>
          <w:color w:val="000000"/>
          <w:sz w:val="24"/>
          <w:szCs w:val="24"/>
        </w:rPr>
      </w:pPr>
      <w:bookmarkStart w:id="15"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15"/>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pPr>
        <w:rPr>
          <w:rFonts w:ascii="宋体" w:hAnsi="Calibri" w:eastAsia="宋体" w:cs="Times New Roman"/>
          <w:color w:val="000000"/>
          <w:sz w:val="30"/>
          <w:szCs w:val="30"/>
        </w:rPr>
      </w:pPr>
    </w:p>
    <w:bookmarkEnd w:id="0"/>
    <w:bookmarkEnd w:id="1"/>
    <w:p>
      <w:pPr>
        <w:keepNext/>
        <w:keepLines/>
        <w:jc w:val="center"/>
        <w:outlineLvl w:val="0"/>
        <w:rPr>
          <w:rFonts w:ascii="Calibri" w:hAnsi="Calibri" w:eastAsia="宋体" w:cs="Times New Roman"/>
          <w:b/>
          <w:bCs/>
          <w:color w:val="auto"/>
          <w:kern w:val="44"/>
          <w:sz w:val="36"/>
          <w:szCs w:val="44"/>
          <w:highlight w:val="none"/>
        </w:rPr>
      </w:pPr>
      <w:bookmarkStart w:id="16" w:name="_Toc9849"/>
      <w:bookmarkStart w:id="17" w:name="_Toc169605877"/>
      <w:bookmarkStart w:id="18" w:name="_Toc465187648"/>
      <w:r>
        <w:rPr>
          <w:rFonts w:hint="eastAsia" w:ascii="Calibri" w:hAnsi="Calibri" w:eastAsia="宋体" w:cs="Times New Roman"/>
          <w:b/>
          <w:bCs/>
          <w:color w:val="auto"/>
          <w:kern w:val="44"/>
          <w:sz w:val="36"/>
          <w:szCs w:val="44"/>
          <w:highlight w:val="none"/>
        </w:rPr>
        <w:t>第</w:t>
      </w:r>
      <w:r>
        <w:rPr>
          <w:rFonts w:hint="eastAsia" w:ascii="Calibri" w:hAnsi="Calibri" w:eastAsia="宋体" w:cs="Times New Roman"/>
          <w:b/>
          <w:bCs/>
          <w:color w:val="auto"/>
          <w:kern w:val="44"/>
          <w:sz w:val="36"/>
          <w:szCs w:val="44"/>
          <w:highlight w:val="none"/>
          <w:lang w:val="en-US" w:eastAsia="zh-CN"/>
        </w:rPr>
        <w:t>四</w:t>
      </w:r>
      <w:r>
        <w:rPr>
          <w:rFonts w:hint="eastAsia" w:ascii="Calibri" w:hAnsi="Calibri" w:eastAsia="宋体" w:cs="Times New Roman"/>
          <w:b/>
          <w:bCs/>
          <w:color w:val="auto"/>
          <w:kern w:val="44"/>
          <w:sz w:val="36"/>
          <w:szCs w:val="44"/>
          <w:highlight w:val="none"/>
        </w:rPr>
        <w:t>部分 技术标书</w:t>
      </w:r>
      <w:bookmarkEnd w:id="16"/>
    </w:p>
    <w:p>
      <w:pPr>
        <w:pStyle w:val="17"/>
        <w:rPr>
          <w:color w:val="auto"/>
          <w:highlight w:val="none"/>
        </w:rPr>
      </w:pPr>
    </w:p>
    <w:p>
      <w:pPr>
        <w:jc w:val="center"/>
        <w:rPr>
          <w:rFonts w:ascii="Calibri" w:hAnsi="Calibri" w:eastAsia="宋体" w:cs="Times New Roman"/>
          <w:color w:val="auto"/>
          <w:sz w:val="28"/>
          <w:szCs w:val="28"/>
          <w:highlight w:val="none"/>
        </w:rPr>
      </w:pPr>
      <w:r>
        <w:rPr>
          <w:rFonts w:hint="eastAsia" w:ascii="Calibri" w:hAnsi="Calibri" w:eastAsia="宋体" w:cs="Times New Roman"/>
          <w:b/>
          <w:bCs/>
          <w:color w:val="auto"/>
          <w:kern w:val="44"/>
          <w:sz w:val="36"/>
          <w:szCs w:val="44"/>
          <w:highlight w:val="none"/>
        </w:rPr>
        <w:fldChar w:fldCharType="begin"/>
      </w:r>
      <w:r>
        <w:rPr>
          <w:rFonts w:hint="eastAsia" w:ascii="Calibri" w:hAnsi="Calibri" w:eastAsia="宋体" w:cs="Times New Roman"/>
          <w:b/>
          <w:bCs/>
          <w:color w:val="auto"/>
          <w:kern w:val="44"/>
          <w:sz w:val="36"/>
          <w:szCs w:val="44"/>
          <w:highlight w:val="none"/>
        </w:rPr>
        <w:instrText xml:space="preserve"> HYPERLINK "javascript:void(0);" \o "产品试验检测中心离合器压盘总成综合性能试验台技改项目" </w:instrText>
      </w:r>
      <w:r>
        <w:rPr>
          <w:rFonts w:hint="eastAsia" w:ascii="Calibri" w:hAnsi="Calibri" w:eastAsia="宋体" w:cs="Times New Roman"/>
          <w:b/>
          <w:bCs/>
          <w:color w:val="auto"/>
          <w:kern w:val="44"/>
          <w:sz w:val="36"/>
          <w:szCs w:val="44"/>
          <w:highlight w:val="none"/>
        </w:rPr>
        <w:fldChar w:fldCharType="separate"/>
      </w:r>
      <w:r>
        <w:rPr>
          <w:rFonts w:hint="eastAsia" w:ascii="Calibri" w:hAnsi="Calibri" w:eastAsia="宋体" w:cs="Times New Roman"/>
          <w:b/>
          <w:bCs/>
          <w:color w:val="auto"/>
          <w:kern w:val="44"/>
          <w:sz w:val="36"/>
          <w:szCs w:val="44"/>
          <w:highlight w:val="none"/>
        </w:rPr>
        <w:t>产品试验检测中心离合器压盘总成综合性能试验台技改项目</w:t>
      </w:r>
      <w:r>
        <w:rPr>
          <w:rFonts w:hint="eastAsia" w:ascii="Calibri" w:hAnsi="Calibri" w:eastAsia="宋体" w:cs="Times New Roman"/>
          <w:b/>
          <w:bCs/>
          <w:color w:val="auto"/>
          <w:kern w:val="44"/>
          <w:sz w:val="36"/>
          <w:szCs w:val="44"/>
          <w:highlight w:val="none"/>
        </w:rPr>
        <w:fldChar w:fldCharType="end"/>
      </w:r>
      <w:r>
        <w:rPr>
          <w:rFonts w:hint="eastAsia" w:ascii="Calibri" w:hAnsi="Calibri" w:eastAsia="宋体" w:cs="Times New Roman"/>
          <w:b/>
          <w:bCs/>
          <w:color w:val="auto"/>
          <w:kern w:val="44"/>
          <w:sz w:val="36"/>
          <w:szCs w:val="44"/>
          <w:highlight w:val="none"/>
        </w:rPr>
        <w:t>招标项目</w:t>
      </w:r>
    </w:p>
    <w:p>
      <w:pPr>
        <w:jc w:val="right"/>
        <w:rPr>
          <w:rFonts w:ascii="Calibri" w:hAnsi="Calibri" w:eastAsia="宋体" w:cs="Times New Roman"/>
          <w:color w:val="auto"/>
          <w:sz w:val="28"/>
          <w:szCs w:val="28"/>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pStyle w:val="17"/>
        <w:rPr>
          <w:color w:val="auto"/>
          <w:highlight w:val="none"/>
        </w:rPr>
      </w:pPr>
    </w:p>
    <w:p>
      <w:pPr>
        <w:jc w:val="center"/>
        <w:rPr>
          <w:rFonts w:ascii="黑体" w:hAnsi="宋体" w:eastAsia="黑体" w:cs="Times New Roman"/>
          <w:color w:val="auto"/>
          <w:sz w:val="72"/>
          <w:szCs w:val="72"/>
          <w:highlight w:val="none"/>
        </w:rPr>
      </w:pPr>
      <w:bookmarkStart w:id="38" w:name="_GoBack"/>
      <w:bookmarkEnd w:id="38"/>
      <w:r>
        <w:rPr>
          <w:rFonts w:hint="eastAsia" w:ascii="黑体" w:hAnsi="宋体" w:eastAsia="黑体" w:cs="Times New Roman"/>
          <w:color w:val="auto"/>
          <w:sz w:val="72"/>
          <w:szCs w:val="72"/>
          <w:highlight w:val="none"/>
        </w:rPr>
        <w:t>技</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pPr>
        <w:pStyle w:val="17"/>
        <w:rPr>
          <w:color w:val="auto"/>
          <w:highlight w:val="none"/>
        </w:rPr>
      </w:pPr>
    </w:p>
    <w:p>
      <w:pPr>
        <w:pStyle w:val="17"/>
        <w:rPr>
          <w:rFonts w:ascii="黑体" w:hAnsi="宋体" w:eastAsia="黑体" w:cs="Times New Roman"/>
          <w:color w:val="auto"/>
          <w:sz w:val="72"/>
          <w:szCs w:val="72"/>
          <w:highlight w:val="none"/>
        </w:rPr>
      </w:pPr>
    </w:p>
    <w:p>
      <w:pPr>
        <w:pStyle w:val="17"/>
        <w:rPr>
          <w:rFonts w:ascii="黑体" w:hAnsi="宋体" w:eastAsia="黑体" w:cs="Times New Roman"/>
          <w:color w:val="auto"/>
          <w:sz w:val="72"/>
          <w:szCs w:val="72"/>
          <w:highlight w:val="none"/>
        </w:rPr>
      </w:pPr>
    </w:p>
    <w:p>
      <w:pPr>
        <w:spacing w:line="860" w:lineRule="exact"/>
        <w:rPr>
          <w:rFonts w:hint="eastAsia" w:ascii="华文仿宋" w:hAnsi="华文仿宋" w:eastAsia="华文仿宋"/>
          <w:b/>
          <w:bCs/>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rPr>
        <w:t xml:space="preserve"> </w:t>
      </w:r>
      <w:r>
        <w:rPr>
          <w:rFonts w:hint="eastAsia" w:ascii="华文仿宋" w:hAnsi="华文仿宋" w:eastAsia="华文仿宋"/>
          <w:b/>
          <w:bCs/>
          <w:color w:val="auto"/>
          <w:sz w:val="32"/>
          <w:szCs w:val="28"/>
          <w:highlight w:val="none"/>
          <w:lang w:val="en-US" w:eastAsia="zh-CN"/>
        </w:rPr>
        <w:t xml:space="preserve"> </w:t>
      </w:r>
    </w:p>
    <w:p>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w:t>
      </w:r>
    </w:p>
    <w:p>
      <w:pPr>
        <w:pStyle w:val="17"/>
        <w:rPr>
          <w:b/>
          <w:bCs/>
          <w:color w:val="auto"/>
          <w:highlight w:val="none"/>
        </w:rPr>
      </w:pPr>
    </w:p>
    <w:p>
      <w:pPr>
        <w:jc w:val="center"/>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p>
    <w:p>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9</w:t>
      </w:r>
      <w:r>
        <w:rPr>
          <w:rFonts w:hint="eastAsia" w:ascii="Calibri" w:hAnsi="Calibri" w:eastAsia="宋体" w:cs="Times New Roman"/>
          <w:color w:val="auto"/>
          <w:sz w:val="28"/>
          <w:szCs w:val="28"/>
          <w:highlight w:val="none"/>
        </w:rPr>
        <w:t>月</w:t>
      </w:r>
    </w:p>
    <w:p>
      <w:pPr>
        <w:spacing w:line="360" w:lineRule="auto"/>
        <w:rPr>
          <w:rFonts w:ascii="宋体" w:hAnsi="宋体" w:eastAsia="宋体" w:cs="Times New Roman"/>
          <w:b/>
          <w:color w:val="auto"/>
          <w:sz w:val="36"/>
          <w:szCs w:val="36"/>
          <w:highlight w:val="none"/>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p>
    <w:p>
      <w:pPr>
        <w:keepNext/>
        <w:keepLines/>
        <w:spacing w:before="120" w:after="120" w:line="480" w:lineRule="exact"/>
        <w:jc w:val="center"/>
        <w:outlineLvl w:val="2"/>
        <w:rPr>
          <w:rFonts w:ascii="Arial" w:hAnsi="Arial" w:eastAsia="宋体" w:cs="Times New Roman"/>
          <w:b/>
          <w:bCs/>
          <w:color w:val="auto"/>
          <w:sz w:val="24"/>
          <w:szCs w:val="24"/>
          <w:highlight w:val="none"/>
        </w:rPr>
      </w:pPr>
      <w:bookmarkStart w:id="19" w:name="_Toc169605878"/>
      <w:r>
        <w:rPr>
          <w:rFonts w:hint="eastAsia" w:ascii="Arial" w:hAnsi="Arial" w:eastAsia="宋体" w:cs="Times New Roman"/>
          <w:b/>
          <w:bCs/>
          <w:color w:val="auto"/>
          <w:sz w:val="24"/>
          <w:szCs w:val="24"/>
          <w:highlight w:val="none"/>
        </w:rPr>
        <w:t>第一节</w:t>
      </w:r>
      <w:r>
        <w:rPr>
          <w:rFonts w:ascii="Arial" w:hAnsi="Arial" w:eastAsia="宋体" w:cs="Times New Roman"/>
          <w:b/>
          <w:bCs/>
          <w:color w:val="auto"/>
          <w:sz w:val="24"/>
          <w:szCs w:val="24"/>
          <w:highlight w:val="none"/>
        </w:rPr>
        <w:t xml:space="preserve">  </w:t>
      </w:r>
      <w:r>
        <w:rPr>
          <w:rFonts w:hint="eastAsia" w:ascii="Arial" w:hAnsi="Arial" w:eastAsia="宋体" w:cs="Times New Roman"/>
          <w:b/>
          <w:bCs/>
          <w:color w:val="auto"/>
          <w:sz w:val="24"/>
          <w:szCs w:val="24"/>
          <w:highlight w:val="none"/>
        </w:rPr>
        <w:t>使用环境</w:t>
      </w:r>
      <w:bookmarkEnd w:id="19"/>
    </w:p>
    <w:p>
      <w:pPr>
        <w:spacing w:line="360" w:lineRule="auto"/>
        <w:outlineLvl w:val="3"/>
        <w:rPr>
          <w:rFonts w:ascii="宋体" w:hAnsi="宋体" w:eastAsia="宋体" w:cs="宋体"/>
          <w:color w:val="auto"/>
          <w:sz w:val="24"/>
          <w:szCs w:val="24"/>
          <w:highlight w:val="none"/>
          <w:u w:val="single"/>
          <w:shd w:val="pct10" w:color="auto" w:fill="FFFFFF"/>
        </w:rPr>
      </w:pPr>
      <w:r>
        <w:rPr>
          <w:rFonts w:hint="eastAsia" w:ascii="宋体" w:hAnsi="宋体" w:eastAsia="宋体" w:cs="宋体"/>
          <w:color w:val="auto"/>
          <w:sz w:val="24"/>
          <w:szCs w:val="24"/>
          <w:highlight w:val="none"/>
        </w:rPr>
        <w:t>一、项目名称：</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"javascript:void(0);" \o "产品试验检测中心离合器压盘总成综合性能试验台技改项目"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产品试验检测中心离合器压盘总成综合性能试验台技改项目</w:t>
      </w:r>
      <w:r>
        <w:rPr>
          <w:rFonts w:hint="eastAsia" w:ascii="宋体" w:hAnsi="宋体" w:eastAsia="宋体" w:cs="宋体"/>
          <w:color w:val="auto"/>
          <w:sz w:val="24"/>
          <w:szCs w:val="24"/>
          <w:highlight w:val="none"/>
        </w:rPr>
        <w:fldChar w:fldCharType="end"/>
      </w:r>
    </w:p>
    <w:p>
      <w:pPr>
        <w:spacing w:line="360" w:lineRule="auto"/>
        <w:outlineLvl w:val="3"/>
        <w:rPr>
          <w:rFonts w:hint="default" w:ascii="宋体" w:hAnsi="宋体" w:eastAsia="宋体" w:cs="宋体"/>
          <w:color w:val="auto"/>
          <w:sz w:val="24"/>
          <w:szCs w:val="24"/>
          <w:highlight w:val="none"/>
          <w:u w:val="single"/>
          <w:shd w:val="pct10" w:color="auto" w:fill="FFFFFF"/>
          <w:lang w:val="en-US"/>
        </w:rPr>
      </w:pPr>
      <w:r>
        <w:rPr>
          <w:rFonts w:hint="eastAsia" w:ascii="宋体" w:hAnsi="宋体" w:eastAsia="宋体" w:cs="宋体"/>
          <w:color w:val="auto"/>
          <w:sz w:val="24"/>
          <w:szCs w:val="24"/>
          <w:highlight w:val="none"/>
        </w:rPr>
        <w:t xml:space="preserve">二、建设地点：中国重汽集团莱芜二期 </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#动力总成试验室</w:t>
      </w:r>
    </w:p>
    <w:p>
      <w:pPr>
        <w:spacing w:line="360" w:lineRule="auto"/>
        <w:outlineLvl w:val="3"/>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 xml:space="preserve">三、使用地点：中国重汽集团莱芜二期 </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#动力总成试验室</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四、工作制度：全年工作</w:t>
      </w:r>
      <w:r>
        <w:rPr>
          <w:rFonts w:hint="eastAsia" w:ascii="宋体" w:hAnsi="宋体" w:eastAsia="宋体" w:cs="宋体"/>
          <w:color w:val="auto"/>
          <w:sz w:val="24"/>
          <w:szCs w:val="24"/>
          <w:highlight w:val="none"/>
          <w:u w:val="single"/>
          <w:shd w:val="pct10" w:color="auto" w:fill="FFFFFF"/>
          <w:lang w:val="en-US" w:eastAsia="zh-CN"/>
        </w:rPr>
        <w:t>365</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u w:val="single"/>
          <w:shd w:val="pct10" w:color="auto" w:fill="FFFFFF"/>
          <w:lang w:val="en-US" w:eastAsia="zh-CN"/>
        </w:rPr>
        <w:t>二</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rPr>
        <w:t>班制、设备年时基数</w:t>
      </w:r>
      <w:r>
        <w:rPr>
          <w:rFonts w:hint="eastAsia" w:ascii="宋体" w:hAnsi="宋体" w:eastAsia="宋体" w:cs="宋体"/>
          <w:color w:val="auto"/>
          <w:sz w:val="24"/>
          <w:szCs w:val="24"/>
          <w:highlight w:val="none"/>
          <w:u w:val="single"/>
          <w:shd w:val="pct10" w:color="auto" w:fill="FFFFFF"/>
          <w:lang w:val="en-US" w:eastAsia="zh-CN"/>
        </w:rPr>
        <w:t>4380</w:t>
      </w:r>
      <w:r>
        <w:rPr>
          <w:rFonts w:hint="eastAsia" w:ascii="宋体" w:hAnsi="宋体" w:eastAsia="宋体" w:cs="宋体"/>
          <w:color w:val="auto"/>
          <w:sz w:val="24"/>
          <w:szCs w:val="24"/>
          <w:highlight w:val="none"/>
        </w:rPr>
        <w:t>小时</w:t>
      </w:r>
    </w:p>
    <w:p>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五、使用地点区域自然环境：</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1.海拔高度：20～60m。</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2.环境温度：室外极端最低温度-</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℃、极端最高温度4</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昼夜最大温差15℃，室内温度5～40</w:t>
      </w:r>
      <w:r>
        <w:rPr>
          <w:rFonts w:hint="eastAsia" w:ascii="宋体" w:hAnsi="宋体" w:eastAsia="宋体" w:cs="宋体"/>
          <w:bCs/>
          <w:color w:val="auto"/>
          <w:sz w:val="24"/>
          <w:szCs w:val="24"/>
          <w:highlight w:val="none"/>
        </w:rPr>
        <w:t>℃。</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3.相对湿度：最大95%、最小</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5%。</w:t>
      </w:r>
    </w:p>
    <w:p>
      <w:pPr>
        <w:spacing w:line="360" w:lineRule="auto"/>
        <w:outlineLvl w:val="3"/>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六、使用试验室环境条件：</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1.电力：中国制式，供电电压380V±10%，供电频率 50Hz±2%。</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.给水：冷却水25±3℃，0.5m³/min</w:t>
      </w:r>
      <w:r>
        <w:rPr>
          <w:rFonts w:hint="eastAsia" w:ascii="宋体" w:hAnsi="宋体" w:eastAsia="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3.压缩空气：空压机产的压缩空气1MPa，经除水、油处理。</w:t>
      </w:r>
    </w:p>
    <w:p>
      <w:pPr>
        <w:keepNext/>
        <w:keepLines/>
        <w:spacing w:before="120" w:after="120" w:line="480" w:lineRule="exact"/>
        <w:jc w:val="center"/>
        <w:outlineLvl w:val="2"/>
        <w:rPr>
          <w:rFonts w:ascii="宋体" w:hAnsi="Arial"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第二节</w:t>
      </w:r>
      <w:r>
        <w:rPr>
          <w:rFonts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rPr>
        <w:t>采购货物概况</w:t>
      </w:r>
    </w:p>
    <w:p>
      <w:pPr>
        <w:spacing w:line="420" w:lineRule="exact"/>
        <w:outlineLvl w:val="3"/>
        <w:rPr>
          <w:rFonts w:ascii="宋体" w:hAnsi="宋体" w:eastAsia="宋体" w:cs="宋体"/>
          <w:color w:val="auto"/>
          <w:sz w:val="24"/>
          <w:szCs w:val="24"/>
          <w:highlight w:val="none"/>
          <w:u w:val="single"/>
          <w:shd w:val="pct10" w:color="auto" w:fill="FFFFFF"/>
        </w:rPr>
      </w:pPr>
      <w:r>
        <w:rPr>
          <w:rFonts w:hint="eastAsia" w:ascii="宋体" w:hAnsi="宋体" w:eastAsia="宋体" w:cs="宋体"/>
          <w:b/>
          <w:color w:val="auto"/>
          <w:sz w:val="24"/>
          <w:szCs w:val="24"/>
          <w:highlight w:val="none"/>
        </w:rPr>
        <w:t>一、货物名称：</w:t>
      </w: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HYPERLINK "javascript:void(0);" \o "产品试验检测中心离合器压盘总成综合性能试验台技改项目"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b/>
          <w:color w:val="auto"/>
          <w:sz w:val="24"/>
          <w:szCs w:val="24"/>
          <w:highlight w:val="none"/>
        </w:rPr>
        <w:t>产品试验检测中心离合器压盘总成综合性能试验台技改项目</w:t>
      </w:r>
      <w:r>
        <w:rPr>
          <w:rFonts w:hint="eastAsia" w:ascii="宋体" w:hAnsi="宋体" w:eastAsia="宋体" w:cs="宋体"/>
          <w:b/>
          <w:color w:val="auto"/>
          <w:sz w:val="24"/>
          <w:szCs w:val="24"/>
          <w:highlight w:val="none"/>
        </w:rPr>
        <w:fldChar w:fldCharType="end"/>
      </w:r>
    </w:p>
    <w:p>
      <w:pPr>
        <w:spacing w:line="420" w:lineRule="exact"/>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二、货物数量：</w:t>
      </w:r>
      <w:r>
        <w:rPr>
          <w:rFonts w:hint="eastAsia" w:ascii="宋体" w:hAnsi="宋体" w:eastAsia="宋体" w:cs="宋体"/>
          <w:color w:val="auto"/>
          <w:sz w:val="24"/>
          <w:szCs w:val="24"/>
          <w:highlight w:val="none"/>
          <w:u w:val="single"/>
          <w:shd w:val="pct10" w:color="auto" w:fill="FFFFFF"/>
        </w:rPr>
        <w:t>1套</w:t>
      </w:r>
      <w:r>
        <w:rPr>
          <w:rFonts w:hint="eastAsia" w:ascii="宋体" w:hAnsi="宋体" w:eastAsia="宋体" w:cs="宋体"/>
          <w:color w:val="auto"/>
          <w:sz w:val="24"/>
          <w:szCs w:val="24"/>
          <w:highlight w:val="none"/>
        </w:rPr>
        <w:t>（详见表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表1</w:t>
      </w:r>
      <w:r>
        <w:rPr>
          <w:rFonts w:hint="eastAsia" w:ascii="宋体" w:hAnsi="宋体" w:eastAsia="宋体" w:cs="宋体"/>
          <w:color w:val="auto"/>
          <w:sz w:val="24"/>
          <w:szCs w:val="24"/>
          <w:highlight w:val="none"/>
        </w:rPr>
        <w:t>采购货物主要构</w:t>
      </w:r>
      <w:r>
        <w:rPr>
          <w:rFonts w:hint="eastAsia" w:ascii="宋体" w:hAnsi="宋体" w:eastAsia="宋体" w:cs="宋体"/>
          <w:color w:val="auto"/>
          <w:sz w:val="24"/>
          <w:szCs w:val="24"/>
          <w:highlight w:val="none"/>
          <w:lang w:val="en-US" w:eastAsia="zh-CN"/>
        </w:rPr>
        <w:t>成</w:t>
      </w:r>
    </w:p>
    <w:tbl>
      <w:tblPr>
        <w:tblStyle w:val="37"/>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184"/>
        <w:gridCol w:w="1569"/>
        <w:gridCol w:w="1665"/>
        <w:gridCol w:w="948"/>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184"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569"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1665"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948"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793" w:type="dxa"/>
            <w:vAlign w:val="center"/>
          </w:tcPr>
          <w:p>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84" w:type="dxa"/>
            <w:vAlign w:val="center"/>
          </w:tcPr>
          <w:p>
            <w:pPr>
              <w:spacing w:line="360" w:lineRule="exact"/>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 HYPERLINK "javascript:void(0);" \o "产品试验检测中心离合器压盘总成综合性能试验台技改项目" </w:instrText>
            </w:r>
            <w:r>
              <w:rPr>
                <w:rFonts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离合器压盘总成综合性能试验台</w:t>
            </w:r>
            <w:r>
              <w:rPr>
                <w:rFonts w:hint="eastAsia" w:ascii="宋体" w:hAnsi="宋体" w:eastAsia="宋体" w:cs="宋体"/>
                <w:color w:val="auto"/>
                <w:sz w:val="24"/>
                <w:szCs w:val="24"/>
                <w:highlight w:val="none"/>
              </w:rPr>
              <w:fldChar w:fldCharType="end"/>
            </w:r>
          </w:p>
        </w:tc>
        <w:tc>
          <w:tcPr>
            <w:tcW w:w="1569"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p>
        </w:tc>
        <w:tc>
          <w:tcPr>
            <w:tcW w:w="1665"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948" w:type="dxa"/>
            <w:vAlign w:val="center"/>
          </w:tcPr>
          <w:p>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793" w:type="dxa"/>
            <w:vAlign w:val="center"/>
          </w:tcPr>
          <w:p>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交钥匙方式</w:t>
            </w:r>
          </w:p>
        </w:tc>
      </w:tr>
    </w:tbl>
    <w:p>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0"/>
        </w:num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本表“供货方式”指：交钥匙方式——包括制造、运输、定点卸货、安装、调试和协助验收以及约定培训等</w:t>
      </w:r>
      <w:r>
        <w:rPr>
          <w:rFonts w:hint="eastAsia" w:ascii="宋体" w:hAnsi="宋体" w:eastAsia="宋体" w:cs="宋体"/>
          <w:bCs/>
          <w:color w:val="auto"/>
          <w:sz w:val="24"/>
          <w:szCs w:val="24"/>
          <w:highlight w:val="none"/>
          <w:lang w:eastAsia="zh-CN"/>
        </w:rPr>
        <w:t>。</w:t>
      </w:r>
    </w:p>
    <w:p>
      <w:pPr>
        <w:numPr>
          <w:ilvl w:val="0"/>
          <w:numId w:val="0"/>
        </w:numPr>
        <w:spacing w:line="360" w:lineRule="auto"/>
        <w:rPr>
          <w:rFonts w:hAnsi="宋体" w:eastAsia="宋体" w:cs="宋体"/>
          <w:bCs/>
          <w:color w:val="auto"/>
          <w:sz w:val="24"/>
          <w:szCs w:val="24"/>
          <w:highlight w:val="none"/>
        </w:rPr>
      </w:pPr>
      <w:r>
        <w:rPr>
          <w:rFonts w:hint="eastAsia" w:ascii="宋体" w:hAnsi="宋体" w:eastAsia="宋体" w:cs="宋体"/>
          <w:b/>
          <w:color w:val="auto"/>
          <w:sz w:val="24"/>
          <w:szCs w:val="24"/>
          <w:highlight w:val="none"/>
        </w:rPr>
        <w:t>三、分投分中：不允许</w:t>
      </w:r>
    </w:p>
    <w:p>
      <w:pPr>
        <w:pStyle w:val="17"/>
        <w:jc w:val="center"/>
        <w:rPr>
          <w:rFonts w:hint="eastAsia" w:ascii="宋体" w:hAnsi="宋体" w:eastAsia="宋体" w:cs="宋体"/>
          <w:bCs/>
          <w:color w:val="auto"/>
          <w:sz w:val="24"/>
          <w:szCs w:val="24"/>
          <w:highlight w:val="none"/>
        </w:rPr>
      </w:pPr>
    </w:p>
    <w:p>
      <w:pPr>
        <w:pStyle w:val="17"/>
        <w:jc w:val="center"/>
        <w:rPr>
          <w:rFonts w:hint="eastAsia" w:ascii="宋体" w:hAnsi="宋体" w:eastAsia="宋体" w:cs="宋体"/>
          <w:bCs/>
          <w:color w:val="auto"/>
          <w:sz w:val="24"/>
          <w:szCs w:val="24"/>
          <w:highlight w:val="none"/>
        </w:rPr>
      </w:pPr>
    </w:p>
    <w:p>
      <w:pPr>
        <w:pStyle w:val="17"/>
        <w:jc w:val="center"/>
        <w:rPr>
          <w:rFonts w:hint="eastAsia" w:ascii="宋体" w:hAnsi="宋体" w:eastAsia="宋体" w:cs="宋体"/>
          <w:bCs/>
          <w:color w:val="auto"/>
          <w:sz w:val="24"/>
          <w:szCs w:val="24"/>
          <w:highlight w:val="none"/>
        </w:rPr>
      </w:pPr>
    </w:p>
    <w:p>
      <w:pPr>
        <w:spacing w:line="360" w:lineRule="auto"/>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pPr>
        <w:spacing w:line="360" w:lineRule="auto"/>
        <w:ind w:firstLine="480" w:firstLineChars="200"/>
        <w:rPr>
          <w:rFonts w:hint="eastAsia"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p>
    <w:p>
      <w:pPr>
        <w:pStyle w:val="17"/>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主要器件品牌表（可选同等或更优质量品牌</w:t>
      </w:r>
      <w:r>
        <w:rPr>
          <w:rFonts w:hint="eastAsia" w:hAnsi="宋体" w:eastAsia="宋体" w:cs="宋体"/>
          <w:bCs/>
          <w:color w:val="auto"/>
          <w:sz w:val="24"/>
          <w:szCs w:val="24"/>
          <w:highlight w:val="none"/>
          <w:lang w:eastAsia="zh-CN"/>
        </w:rPr>
        <w:t>）</w:t>
      </w:r>
    </w:p>
    <w:p>
      <w:pPr>
        <w:pStyle w:val="17"/>
        <w:rPr>
          <w:rFonts w:hint="eastAsia" w:ascii="宋体" w:hAnsi="宋体" w:eastAsia="宋体" w:cs="宋体"/>
          <w:bCs/>
          <w:color w:val="auto"/>
          <w:sz w:val="24"/>
          <w:szCs w:val="24"/>
          <w:highlight w:val="none"/>
        </w:rPr>
      </w:pPr>
    </w:p>
    <w:tbl>
      <w:tblPr>
        <w:tblStyle w:val="38"/>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383"/>
        <w:gridCol w:w="361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5" w:type="dxa"/>
            <w:vAlign w:val="center"/>
          </w:tcPr>
          <w:p>
            <w:pPr>
              <w:spacing w:line="420" w:lineRule="exact"/>
              <w:jc w:val="center"/>
              <w:rPr>
                <w:color w:val="auto"/>
                <w:szCs w:val="21"/>
                <w:highlight w:val="none"/>
              </w:rPr>
            </w:pPr>
            <w:r>
              <w:rPr>
                <w:color w:val="auto"/>
                <w:kern w:val="0"/>
                <w:szCs w:val="21"/>
                <w:highlight w:val="none"/>
              </w:rPr>
              <w:t>序号</w:t>
            </w:r>
          </w:p>
        </w:tc>
        <w:tc>
          <w:tcPr>
            <w:tcW w:w="2383" w:type="dxa"/>
            <w:vAlign w:val="center"/>
          </w:tcPr>
          <w:p>
            <w:pPr>
              <w:spacing w:line="420" w:lineRule="exact"/>
              <w:jc w:val="center"/>
              <w:rPr>
                <w:color w:val="auto"/>
                <w:szCs w:val="21"/>
                <w:highlight w:val="none"/>
              </w:rPr>
            </w:pPr>
            <w:r>
              <w:rPr>
                <w:color w:val="auto"/>
                <w:kern w:val="0"/>
                <w:szCs w:val="21"/>
                <w:highlight w:val="none"/>
              </w:rPr>
              <w:t>器件名称</w:t>
            </w:r>
          </w:p>
        </w:tc>
        <w:tc>
          <w:tcPr>
            <w:tcW w:w="3610" w:type="dxa"/>
            <w:vAlign w:val="center"/>
          </w:tcPr>
          <w:p>
            <w:pPr>
              <w:spacing w:line="420" w:lineRule="exact"/>
              <w:jc w:val="center"/>
              <w:rPr>
                <w:color w:val="auto"/>
                <w:szCs w:val="21"/>
                <w:highlight w:val="none"/>
              </w:rPr>
            </w:pPr>
            <w:r>
              <w:rPr>
                <w:color w:val="auto"/>
                <w:kern w:val="0"/>
                <w:szCs w:val="21"/>
                <w:highlight w:val="none"/>
              </w:rPr>
              <w:t>品牌</w:t>
            </w:r>
          </w:p>
        </w:tc>
        <w:tc>
          <w:tcPr>
            <w:tcW w:w="2060" w:type="dxa"/>
            <w:vAlign w:val="center"/>
          </w:tcPr>
          <w:p>
            <w:pPr>
              <w:spacing w:line="420" w:lineRule="exact"/>
              <w:jc w:val="center"/>
              <w:rPr>
                <w:color w:val="auto"/>
                <w:szCs w:val="21"/>
                <w:highlight w:val="none"/>
              </w:rPr>
            </w:pPr>
            <w:r>
              <w:rPr>
                <w:color w:val="auto"/>
                <w:kern w:val="0"/>
                <w:szCs w:val="21"/>
                <w:highlight w:val="none"/>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5" w:type="dxa"/>
            <w:vAlign w:val="center"/>
          </w:tcPr>
          <w:p>
            <w:pPr>
              <w:spacing w:line="420" w:lineRule="exact"/>
              <w:jc w:val="center"/>
              <w:rPr>
                <w:color w:val="auto"/>
                <w:szCs w:val="21"/>
                <w:highlight w:val="none"/>
              </w:rPr>
            </w:pPr>
            <w:r>
              <w:rPr>
                <w:color w:val="auto"/>
                <w:szCs w:val="21"/>
                <w:highlight w:val="none"/>
              </w:rPr>
              <w:t>1</w:t>
            </w:r>
          </w:p>
        </w:tc>
        <w:tc>
          <w:tcPr>
            <w:tcW w:w="2383"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综合性能测试机主机</w:t>
            </w:r>
          </w:p>
        </w:tc>
        <w:tc>
          <w:tcPr>
            <w:tcW w:w="3610" w:type="dxa"/>
            <w:shd w:val="clear" w:color="auto" w:fill="auto"/>
            <w:vAlign w:val="center"/>
          </w:tcPr>
          <w:p>
            <w:pPr>
              <w:spacing w:line="42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定制</w:t>
            </w:r>
          </w:p>
        </w:tc>
        <w:tc>
          <w:tcPr>
            <w:tcW w:w="2060"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85" w:type="dxa"/>
            <w:vAlign w:val="center"/>
          </w:tcPr>
          <w:p>
            <w:pPr>
              <w:spacing w:line="420" w:lineRule="exact"/>
              <w:jc w:val="center"/>
              <w:rPr>
                <w:color w:val="auto"/>
                <w:szCs w:val="21"/>
                <w:highlight w:val="none"/>
              </w:rPr>
            </w:pPr>
            <w:r>
              <w:rPr>
                <w:color w:val="auto"/>
                <w:szCs w:val="21"/>
                <w:highlight w:val="none"/>
              </w:rPr>
              <w:t>2</w:t>
            </w:r>
          </w:p>
        </w:tc>
        <w:tc>
          <w:tcPr>
            <w:tcW w:w="2383"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伺服电机及伺服控制器</w:t>
            </w:r>
          </w:p>
        </w:tc>
        <w:tc>
          <w:tcPr>
            <w:tcW w:w="3610" w:type="dxa"/>
            <w:shd w:val="clear" w:color="auto" w:fill="auto"/>
            <w:vAlign w:val="center"/>
          </w:tcPr>
          <w:p>
            <w:pPr>
              <w:spacing w:line="42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国际一流品牌</w:t>
            </w:r>
          </w:p>
        </w:tc>
        <w:tc>
          <w:tcPr>
            <w:tcW w:w="2060"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德国/其他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5" w:type="dxa"/>
            <w:vAlign w:val="center"/>
          </w:tcPr>
          <w:p>
            <w:pPr>
              <w:spacing w:line="420" w:lineRule="exact"/>
              <w:jc w:val="center"/>
              <w:rPr>
                <w:color w:val="auto"/>
                <w:szCs w:val="21"/>
                <w:highlight w:val="none"/>
              </w:rPr>
            </w:pPr>
            <w:r>
              <w:rPr>
                <w:color w:val="auto"/>
                <w:szCs w:val="21"/>
                <w:highlight w:val="none"/>
              </w:rPr>
              <w:t>3</w:t>
            </w:r>
          </w:p>
        </w:tc>
        <w:tc>
          <w:tcPr>
            <w:tcW w:w="2383"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伺服电机专用精密行星减速机</w:t>
            </w:r>
          </w:p>
        </w:tc>
        <w:tc>
          <w:tcPr>
            <w:tcW w:w="3610" w:type="dxa"/>
            <w:shd w:val="clear" w:color="auto" w:fill="auto"/>
            <w:vAlign w:val="center"/>
          </w:tcPr>
          <w:p>
            <w:pPr>
              <w:spacing w:line="42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国际一流品牌</w:t>
            </w:r>
          </w:p>
        </w:tc>
        <w:tc>
          <w:tcPr>
            <w:tcW w:w="2060" w:type="dxa"/>
            <w:shd w:val="clear" w:color="auto" w:fill="auto"/>
            <w:vAlign w:val="center"/>
          </w:tcPr>
          <w:p>
            <w:pPr>
              <w:spacing w:line="4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德国/其他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5" w:type="dxa"/>
            <w:vAlign w:val="center"/>
          </w:tcPr>
          <w:p>
            <w:pPr>
              <w:spacing w:line="420" w:lineRule="exact"/>
              <w:jc w:val="center"/>
              <w:rPr>
                <w:color w:val="auto"/>
                <w:szCs w:val="21"/>
                <w:highlight w:val="none"/>
              </w:rPr>
            </w:pPr>
            <w:r>
              <w:rPr>
                <w:color w:val="auto"/>
                <w:szCs w:val="21"/>
                <w:highlight w:val="none"/>
              </w:rPr>
              <w:t>4</w:t>
            </w:r>
          </w:p>
        </w:tc>
        <w:tc>
          <w:tcPr>
            <w:tcW w:w="2383"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数据采集</w:t>
            </w:r>
          </w:p>
        </w:tc>
        <w:tc>
          <w:tcPr>
            <w:tcW w:w="3610" w:type="dxa"/>
            <w:shd w:val="clear" w:color="auto" w:fill="auto"/>
            <w:vAlign w:val="center"/>
          </w:tcPr>
          <w:p>
            <w:pPr>
              <w:spacing w:line="42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HBM等国际一流品牌</w:t>
            </w:r>
          </w:p>
        </w:tc>
        <w:tc>
          <w:tcPr>
            <w:tcW w:w="2060"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德国/其他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85" w:type="dxa"/>
            <w:shd w:val="clear" w:color="auto" w:fill="auto"/>
            <w:vAlign w:val="center"/>
          </w:tcPr>
          <w:p>
            <w:pPr>
              <w:spacing w:line="420" w:lineRule="exact"/>
              <w:jc w:val="center"/>
              <w:rPr>
                <w:rFonts w:asciiTheme="minorHAnsi" w:hAnsiTheme="minorHAnsi" w:eastAsiaTheme="minorEastAsia" w:cstheme="minorBidi"/>
                <w:color w:val="auto"/>
                <w:kern w:val="2"/>
                <w:sz w:val="21"/>
                <w:szCs w:val="21"/>
                <w:highlight w:val="none"/>
                <w:lang w:val="en-US" w:eastAsia="zh-CN" w:bidi="ar-SA"/>
              </w:rPr>
            </w:pPr>
            <w:r>
              <w:rPr>
                <w:color w:val="auto"/>
                <w:szCs w:val="21"/>
                <w:highlight w:val="none"/>
              </w:rPr>
              <w:t>5</w:t>
            </w:r>
          </w:p>
        </w:tc>
        <w:tc>
          <w:tcPr>
            <w:tcW w:w="2383"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2"/>
                <w:szCs w:val="22"/>
                <w:u w:val="none"/>
                <w:lang w:val="en-US" w:eastAsia="zh-CN" w:bidi="ar"/>
              </w:rPr>
              <w:t>负荷力传感器</w:t>
            </w:r>
          </w:p>
        </w:tc>
        <w:tc>
          <w:tcPr>
            <w:tcW w:w="3610" w:type="dxa"/>
            <w:shd w:val="clear" w:color="auto" w:fill="auto"/>
            <w:vAlign w:val="center"/>
          </w:tcPr>
          <w:p>
            <w:pPr>
              <w:spacing w:line="42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HBM等国际一流品牌</w:t>
            </w:r>
          </w:p>
        </w:tc>
        <w:tc>
          <w:tcPr>
            <w:tcW w:w="2060"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德国/其他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5" w:type="dxa"/>
            <w:shd w:val="clear" w:color="auto" w:fill="auto"/>
            <w:vAlign w:val="center"/>
          </w:tcPr>
          <w:p>
            <w:pPr>
              <w:spacing w:line="420" w:lineRule="exact"/>
              <w:jc w:val="center"/>
              <w:rPr>
                <w:rFonts w:asciiTheme="minorHAnsi" w:hAnsiTheme="minorHAnsi" w:eastAsiaTheme="minorEastAsia" w:cstheme="minorBidi"/>
                <w:color w:val="auto"/>
                <w:kern w:val="2"/>
                <w:sz w:val="21"/>
                <w:szCs w:val="21"/>
                <w:highlight w:val="none"/>
                <w:lang w:val="en-US" w:eastAsia="zh-CN" w:bidi="ar-SA"/>
              </w:rPr>
            </w:pPr>
            <w:r>
              <w:rPr>
                <w:color w:val="auto"/>
                <w:szCs w:val="21"/>
                <w:highlight w:val="none"/>
              </w:rPr>
              <w:t>6</w:t>
            </w:r>
          </w:p>
        </w:tc>
        <w:tc>
          <w:tcPr>
            <w:tcW w:w="2383"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2"/>
                <w:szCs w:val="22"/>
                <w:u w:val="none"/>
                <w:lang w:val="en-US" w:eastAsia="zh-CN" w:bidi="ar"/>
              </w:rPr>
              <w:t>位移传感器</w:t>
            </w:r>
          </w:p>
        </w:tc>
        <w:tc>
          <w:tcPr>
            <w:tcW w:w="3610"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HBM等国际一流品牌</w:t>
            </w:r>
          </w:p>
        </w:tc>
        <w:tc>
          <w:tcPr>
            <w:tcW w:w="2060"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德国/其他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 w:type="dxa"/>
            <w:shd w:val="clear" w:color="auto" w:fill="auto"/>
            <w:vAlign w:val="center"/>
          </w:tcPr>
          <w:p>
            <w:pPr>
              <w:spacing w:line="4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Cs w:val="21"/>
                <w:highlight w:val="none"/>
                <w:lang w:val="en-US" w:eastAsia="zh-CN"/>
              </w:rPr>
              <w:t>7</w:t>
            </w:r>
          </w:p>
        </w:tc>
        <w:tc>
          <w:tcPr>
            <w:tcW w:w="2383"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val="en-US" w:eastAsia="zh-CN"/>
              </w:rPr>
              <w:t>控制柜</w:t>
            </w:r>
          </w:p>
        </w:tc>
        <w:tc>
          <w:tcPr>
            <w:tcW w:w="3610"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国内一流品牌</w:t>
            </w:r>
          </w:p>
        </w:tc>
        <w:tc>
          <w:tcPr>
            <w:tcW w:w="2060"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 w:type="dxa"/>
            <w:shd w:val="clear" w:color="auto" w:fill="auto"/>
            <w:vAlign w:val="center"/>
          </w:tcPr>
          <w:p>
            <w:pPr>
              <w:spacing w:line="4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Cs w:val="21"/>
                <w:highlight w:val="none"/>
                <w:lang w:val="en-US" w:eastAsia="zh-CN"/>
              </w:rPr>
              <w:t>8</w:t>
            </w:r>
          </w:p>
        </w:tc>
        <w:tc>
          <w:tcPr>
            <w:tcW w:w="2383"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 xml:space="preserve">工控机 </w:t>
            </w:r>
          </w:p>
        </w:tc>
        <w:tc>
          <w:tcPr>
            <w:tcW w:w="3610" w:type="dxa"/>
            <w:shd w:val="clear" w:color="auto" w:fill="auto"/>
            <w:vAlign w:val="center"/>
          </w:tcPr>
          <w:p>
            <w:pPr>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国内一流品牌</w:t>
            </w:r>
          </w:p>
        </w:tc>
        <w:tc>
          <w:tcPr>
            <w:tcW w:w="2060"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 w:type="dxa"/>
            <w:shd w:val="clear" w:color="auto" w:fill="auto"/>
            <w:vAlign w:val="center"/>
          </w:tcPr>
          <w:p>
            <w:pPr>
              <w:spacing w:line="4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Cs w:val="21"/>
                <w:highlight w:val="none"/>
                <w:lang w:val="en-US" w:eastAsia="zh-CN"/>
              </w:rPr>
              <w:t>9</w:t>
            </w:r>
          </w:p>
        </w:tc>
        <w:tc>
          <w:tcPr>
            <w:tcW w:w="2383" w:type="dxa"/>
            <w:shd w:val="clear" w:color="auto" w:fill="auto"/>
            <w:vAlign w:val="center"/>
          </w:tcPr>
          <w:p>
            <w:pPr>
              <w:spacing w:line="42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订制伺服变压器</w:t>
            </w:r>
          </w:p>
        </w:tc>
        <w:tc>
          <w:tcPr>
            <w:tcW w:w="3610"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国内一流品牌</w:t>
            </w:r>
          </w:p>
        </w:tc>
        <w:tc>
          <w:tcPr>
            <w:tcW w:w="2060" w:type="dxa"/>
            <w:shd w:val="clear" w:color="auto" w:fill="auto"/>
            <w:vAlign w:val="center"/>
          </w:tcPr>
          <w:p>
            <w:pPr>
              <w:spacing w:line="4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 w:type="dxa"/>
            <w:shd w:val="clear" w:color="auto" w:fill="auto"/>
            <w:vAlign w:val="center"/>
          </w:tcPr>
          <w:p>
            <w:pPr>
              <w:spacing w:line="4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Cs w:val="21"/>
                <w:highlight w:val="none"/>
                <w:lang w:val="en-US" w:eastAsia="zh-CN"/>
              </w:rPr>
              <w:t>10</w:t>
            </w:r>
          </w:p>
        </w:tc>
        <w:tc>
          <w:tcPr>
            <w:tcW w:w="2383" w:type="dxa"/>
            <w:shd w:val="clear" w:color="auto" w:fill="auto"/>
            <w:vAlign w:val="center"/>
          </w:tcPr>
          <w:p>
            <w:pPr>
              <w:spacing w:line="420" w:lineRule="exact"/>
              <w:jc w:val="center"/>
              <w:rPr>
                <w:rFonts w:hint="eastAsia" w:ascii="宋体" w:hAnsi="宋体" w:eastAsia="宋体" w:cs="宋体"/>
                <w:strike/>
                <w:dstrike w:val="0"/>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显示器</w:t>
            </w:r>
          </w:p>
        </w:tc>
        <w:tc>
          <w:tcPr>
            <w:tcW w:w="3610" w:type="dxa"/>
            <w:shd w:val="clear" w:color="auto" w:fill="auto"/>
            <w:vAlign w:val="center"/>
          </w:tcPr>
          <w:p>
            <w:pPr>
              <w:spacing w:line="42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国内一流品牌</w:t>
            </w:r>
          </w:p>
        </w:tc>
        <w:tc>
          <w:tcPr>
            <w:tcW w:w="2060" w:type="dxa"/>
            <w:shd w:val="clear" w:color="auto" w:fill="auto"/>
            <w:vAlign w:val="center"/>
          </w:tcPr>
          <w:p>
            <w:pPr>
              <w:spacing w:line="4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 w:type="dxa"/>
            <w:vAlign w:val="center"/>
          </w:tcPr>
          <w:p>
            <w:pPr>
              <w:spacing w:line="420" w:lineRule="exact"/>
              <w:jc w:val="center"/>
              <w:rPr>
                <w:rFonts w:hint="default" w:eastAsiaTheme="minorEastAsia"/>
                <w:color w:val="auto"/>
                <w:szCs w:val="21"/>
                <w:highlight w:val="none"/>
                <w:lang w:val="en-US" w:eastAsia="zh-CN"/>
              </w:rPr>
            </w:pPr>
            <w:r>
              <w:rPr>
                <w:rFonts w:hint="eastAsia"/>
                <w:color w:val="auto"/>
                <w:szCs w:val="21"/>
                <w:highlight w:val="none"/>
                <w:lang w:val="en-US" w:eastAsia="zh-CN"/>
              </w:rPr>
              <w:t>11</w:t>
            </w:r>
          </w:p>
        </w:tc>
        <w:tc>
          <w:tcPr>
            <w:tcW w:w="2383" w:type="dxa"/>
            <w:shd w:val="clear" w:color="auto" w:fill="auto"/>
            <w:vAlign w:val="center"/>
          </w:tcPr>
          <w:p>
            <w:pPr>
              <w:spacing w:line="4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工装夹具</w:t>
            </w:r>
          </w:p>
        </w:tc>
        <w:tc>
          <w:tcPr>
            <w:tcW w:w="3610" w:type="dxa"/>
            <w:shd w:val="clear" w:color="auto" w:fill="auto"/>
            <w:vAlign w:val="center"/>
          </w:tcPr>
          <w:p>
            <w:pPr>
              <w:spacing w:line="42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p>
        </w:tc>
        <w:tc>
          <w:tcPr>
            <w:tcW w:w="2060" w:type="dxa"/>
            <w:shd w:val="clear" w:color="auto" w:fill="auto"/>
            <w:vAlign w:val="center"/>
          </w:tcPr>
          <w:p>
            <w:pPr>
              <w:spacing w:line="4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中国</w:t>
            </w:r>
          </w:p>
        </w:tc>
      </w:tr>
    </w:tbl>
    <w:p>
      <w:pPr>
        <w:spacing w:line="360" w:lineRule="auto"/>
        <w:ind w:firstLine="420" w:firstLineChars="200"/>
        <w:rPr>
          <w:rFonts w:hint="eastAsia" w:ascii="宋体" w:hAnsi="宋体" w:eastAsia="宋体" w:cs="Times New Roman"/>
          <w:color w:val="auto"/>
          <w:szCs w:val="20"/>
          <w:highlight w:val="none"/>
        </w:rPr>
      </w:pPr>
    </w:p>
    <w:p>
      <w:pPr>
        <w:widowControl/>
        <w:jc w:val="left"/>
        <w:rPr>
          <w:color w:val="auto"/>
          <w:highlight w:val="none"/>
        </w:rPr>
      </w:pPr>
      <w:r>
        <w:rPr>
          <w:color w:val="auto"/>
          <w:highlight w:val="none"/>
        </w:rPr>
        <w:br w:type="page"/>
      </w:r>
    </w:p>
    <w:p>
      <w:pPr>
        <w:keepNext/>
        <w:keepLines/>
        <w:spacing w:before="120" w:after="120" w:line="480" w:lineRule="exact"/>
        <w:jc w:val="center"/>
        <w:outlineLvl w:val="1"/>
        <w:rPr>
          <w:rFonts w:ascii="宋体" w:hAnsi="Calibri" w:eastAsia="宋体" w:cs="Times New Roman"/>
          <w:bCs/>
          <w:color w:val="auto"/>
          <w:kern w:val="44"/>
          <w:sz w:val="28"/>
          <w:szCs w:val="28"/>
          <w:highlight w:val="none"/>
        </w:rPr>
      </w:pPr>
      <w:bookmarkStart w:id="20" w:name="_Toc169605880"/>
      <w:r>
        <w:rPr>
          <w:rFonts w:hint="eastAsia" w:ascii="宋体" w:hAnsi="宋体" w:eastAsia="宋体" w:cs="Times New Roman"/>
          <w:b/>
          <w:bCs/>
          <w:color w:val="auto"/>
          <w:kern w:val="44"/>
          <w:sz w:val="28"/>
          <w:szCs w:val="28"/>
          <w:highlight w:val="none"/>
        </w:rPr>
        <w:t>第二章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技术要求</w:t>
      </w:r>
      <w:bookmarkEnd w:id="20"/>
    </w:p>
    <w:p>
      <w:pPr>
        <w:pStyle w:val="116"/>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一、特别提示</w:t>
      </w:r>
    </w:p>
    <w:p>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bCs/>
          <w:color w:val="auto"/>
          <w:sz w:val="24"/>
          <w:szCs w:val="24"/>
          <w:highlight w:val="none"/>
        </w:rPr>
        <w:t>4</w:t>
      </w:r>
      <w:r>
        <w:rPr>
          <w:rFonts w:hint="eastAsia" w:ascii="宋体" w:hAnsi="宋体" w:eastAsia="宋体" w:cs="Times New Roman"/>
          <w:bCs/>
          <w:color w:val="auto"/>
          <w:sz w:val="24"/>
          <w:szCs w:val="24"/>
          <w:highlight w:val="none"/>
        </w:rPr>
        <w:t>.投标人应根据招投标货物具体要求，提出</w:t>
      </w:r>
      <w:r>
        <w:rPr>
          <w:rFonts w:hint="eastAsia" w:ascii="宋体" w:hAnsi="宋体" w:eastAsia="宋体" w:cs="Times New Roman"/>
          <w:color w:val="auto"/>
          <w:sz w:val="24"/>
          <w:szCs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.投标文件中，针对“特别提示”条款所做的回应，将作为投标人能否中标的重要依据之一。</w:t>
      </w:r>
    </w:p>
    <w:p>
      <w:pPr>
        <w:pStyle w:val="116"/>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二、基本要求</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电机功率≥7.5kW,必须选用一级能效（按国标计算），电机功率&lt;7.5kW，优先选用一级能效；其中能源供应设备及年运行时间≥2000h 工艺设备电机必须选用一级能效。</w:t>
      </w:r>
    </w:p>
    <w:p>
      <w:pPr>
        <w:spacing w:line="360" w:lineRule="auto"/>
        <w:ind w:firstLine="480" w:firstLineChars="200"/>
        <w:rPr>
          <w:rFonts w:ascii="宋体" w:hAnsi="Calibri"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.投标人应保证所供货物的完整性和成套性，能保证货物的正常运行、使用。</w:t>
      </w:r>
    </w:p>
    <w:p>
      <w:pPr>
        <w:spacing w:line="360" w:lineRule="auto"/>
        <w:ind w:firstLine="480" w:firstLineChars="20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.程序图纸要求</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.3 HMI 界面等需要密码保护的程序，供方必须提供所有级别的用户名、密码。</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rPr>
        <w:t>.5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.接口协议要求</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.2 供方免费提供数据交互功能，交互数据包括但不限于实时数据、历史数据、报警信息等。</w:t>
      </w:r>
    </w:p>
    <w:p>
      <w:pPr>
        <w:spacing w:line="360" w:lineRule="auto"/>
        <w:ind w:firstLine="480" w:firstLineChars="200"/>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Times New Roman"/>
          <w:b w:val="0"/>
          <w:bCs w:val="0"/>
          <w:color w:val="auto"/>
          <w:sz w:val="24"/>
          <w:szCs w:val="24"/>
          <w:highlight w:val="none"/>
          <w:lang w:eastAsia="zh-CN"/>
        </w:rPr>
      </w:pPr>
      <w:r>
        <w:rPr>
          <w:rFonts w:hint="eastAsia" w:ascii="宋体" w:hAnsi="宋体" w:eastAsia="宋体" w:cs="Times New Roman"/>
          <w:b w:val="0"/>
          <w:bCs w:val="0"/>
          <w:color w:val="auto"/>
          <w:sz w:val="24"/>
          <w:szCs w:val="24"/>
          <w:highlight w:val="none"/>
          <w:lang w:val="en-US" w:eastAsia="zh-CN"/>
        </w:rPr>
        <w:t>9</w:t>
      </w:r>
      <w:r>
        <w:rPr>
          <w:rFonts w:hint="eastAsia" w:ascii="宋体" w:hAnsi="宋体" w:eastAsia="宋体" w:cs="Times New Roman"/>
          <w:b w:val="0"/>
          <w:bCs w:val="0"/>
          <w:color w:val="auto"/>
          <w:sz w:val="24"/>
          <w:szCs w:val="24"/>
          <w:highlight w:val="none"/>
        </w:rPr>
        <w:t>.4 设备使用周期内，供方免费派遣技术人员与甲方调试团队共同进行设备通讯接口的调试工作</w:t>
      </w:r>
      <w:r>
        <w:rPr>
          <w:rFonts w:hint="eastAsia" w:ascii="宋体" w:hAnsi="宋体" w:eastAsia="宋体" w:cs="Times New Roman"/>
          <w:b w:val="0"/>
          <w:bCs w:val="0"/>
          <w:color w:val="auto"/>
          <w:sz w:val="24"/>
          <w:szCs w:val="24"/>
          <w:highlight w:val="none"/>
          <w:lang w:eastAsia="zh-CN"/>
        </w:rPr>
        <w:t>。</w:t>
      </w:r>
    </w:p>
    <w:p>
      <w:pPr>
        <w:spacing w:line="360" w:lineRule="auto"/>
        <w:ind w:firstLine="480" w:firstLineChars="200"/>
        <w:rPr>
          <w:rFonts w:hint="eastAsia" w:ascii="宋体" w:hAnsi="宋体" w:eastAsia="宋体" w:cs="Times New Roman"/>
          <w:b w:val="0"/>
          <w:bCs w:val="0"/>
          <w:color w:val="auto"/>
          <w:sz w:val="24"/>
          <w:szCs w:val="24"/>
          <w:highlight w:val="none"/>
          <w:lang w:eastAsia="zh-CN"/>
        </w:rPr>
      </w:pPr>
      <w:r>
        <w:rPr>
          <w:rFonts w:hint="eastAsia" w:ascii="宋体" w:hAnsi="宋体" w:eastAsia="宋体" w:cs="Times New Roman"/>
          <w:b w:val="0"/>
          <w:bCs w:val="0"/>
          <w:color w:val="auto"/>
          <w:sz w:val="24"/>
          <w:szCs w:val="24"/>
          <w:highlight w:val="none"/>
          <w:lang w:eastAsia="zh-CN"/>
        </w:rPr>
        <w:t>9.5 设备数据采集在设备上电状态下持续进行，不受设备待机、休眠等状态影响(主动上传设备除外)。</w:t>
      </w:r>
    </w:p>
    <w:p>
      <w:pPr>
        <w:spacing w:line="360" w:lineRule="auto"/>
        <w:ind w:firstLine="480" w:firstLineChars="200"/>
        <w:rPr>
          <w:rFonts w:hint="eastAsia" w:ascii="宋体" w:hAnsi="宋体" w:eastAsia="宋体" w:cs="Times New Roman"/>
          <w:b w:val="0"/>
          <w:bCs w:val="0"/>
          <w:color w:val="auto"/>
          <w:sz w:val="24"/>
          <w:szCs w:val="24"/>
          <w:highlight w:val="none"/>
          <w:lang w:eastAsia="zh-CN"/>
        </w:rPr>
      </w:pPr>
      <w:r>
        <w:rPr>
          <w:rFonts w:hint="eastAsia" w:ascii="宋体" w:hAnsi="宋体" w:eastAsia="宋体" w:cs="Times New Roman"/>
          <w:b w:val="0"/>
          <w:bCs w:val="0"/>
          <w:color w:val="auto"/>
          <w:sz w:val="24"/>
          <w:szCs w:val="24"/>
          <w:highlight w:val="none"/>
          <w:lang w:eastAsia="zh-CN"/>
        </w:rPr>
        <w:t>9.6 所有上位机程序、专用软件、数据库等提供所有权限的用户名和密码。</w:t>
      </w:r>
    </w:p>
    <w:p>
      <w:pPr>
        <w:spacing w:line="360" w:lineRule="auto"/>
        <w:ind w:firstLine="480" w:firstLineChars="200"/>
        <w:rPr>
          <w:rFonts w:hint="eastAsia" w:ascii="宋体" w:hAnsi="宋体" w:eastAsia="宋体" w:cs="Times New Roman"/>
          <w:b w:val="0"/>
          <w:bCs w:val="0"/>
          <w:color w:val="auto"/>
          <w:sz w:val="24"/>
          <w:szCs w:val="24"/>
          <w:highlight w:val="none"/>
          <w:lang w:eastAsia="zh-CN"/>
        </w:rPr>
      </w:pPr>
      <w:r>
        <w:rPr>
          <w:rFonts w:hint="eastAsia" w:ascii="宋体" w:hAnsi="宋体" w:eastAsia="宋体" w:cs="Times New Roman"/>
          <w:b w:val="0"/>
          <w:bCs w:val="0"/>
          <w:color w:val="auto"/>
          <w:sz w:val="24"/>
          <w:szCs w:val="24"/>
          <w:highlight w:val="none"/>
          <w:lang w:eastAsia="zh-CN"/>
        </w:rPr>
        <w:t>9.7 设备使用周期内，卖方免费派遣技术人员与买方调试团队共同进行设备通讯接口的调试工作。</w:t>
      </w:r>
    </w:p>
    <w:p>
      <w:pPr>
        <w:spacing w:line="360" w:lineRule="auto"/>
        <w:ind w:firstLine="480" w:firstLineChars="200"/>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eastAsia="zh-CN"/>
        </w:rPr>
        <w:t>9.8 卖方在设备入场前提供接口的技术文档和参数说明，包括但不限于接口协议、通讯速率、数据格式等。</w:t>
      </w:r>
    </w:p>
    <w:p>
      <w:pPr>
        <w:pStyle w:val="116"/>
        <w:spacing w:line="360" w:lineRule="auto"/>
        <w:ind w:firstLine="482" w:firstLineChars="200"/>
        <w:outlineLvl w:val="2"/>
        <w:rPr>
          <w:rFonts w:hint="eastAsia" w:eastAsia="宋体" w:cs="宋体"/>
          <w:b/>
          <w:bCs w:val="0"/>
          <w:color w:val="auto"/>
          <w:sz w:val="24"/>
          <w:szCs w:val="24"/>
          <w:highlight w:val="none"/>
        </w:rPr>
      </w:pPr>
      <w:r>
        <w:rPr>
          <w:rFonts w:hint="eastAsia" w:eastAsia="宋体" w:cs="宋体"/>
          <w:b/>
          <w:bCs w:val="0"/>
          <w:color w:val="auto"/>
          <w:sz w:val="24"/>
          <w:szCs w:val="24"/>
          <w:highlight w:val="none"/>
        </w:rPr>
        <w:t>三、技术要求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在基本要求和执行标准基础上，本技术标书对所采购的货物的技术及使用等方面作出如下要求：</w:t>
      </w:r>
    </w:p>
    <w:p>
      <w:pPr>
        <w:pStyle w:val="129"/>
        <w:numPr>
          <w:ilvl w:val="2"/>
          <w:numId w:val="0"/>
        </w:numPr>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1.功能用途、设计使用寿命</w:t>
      </w:r>
    </w:p>
    <w:p>
      <w:pPr>
        <w:pStyle w:val="129"/>
        <w:numPr>
          <w:ilvl w:val="2"/>
          <w:numId w:val="0"/>
        </w:numPr>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 功能用途</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离合器压盘总成综合性能试验台项目，能对适用的轻、中、重型卡车的单片和双片离合器压盘总成，按照国家有关标准或企业有关要求，进行压盘总成的分离特性、负荷特性、结合特性、分离指端面跳动量及离合器安装高度测试。</w:t>
      </w:r>
    </w:p>
    <w:p>
      <w:pPr>
        <w:pStyle w:val="129"/>
        <w:numPr>
          <w:ilvl w:val="2"/>
          <w:numId w:val="0"/>
        </w:numPr>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 结构要求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试验台结构应包含综合性能测试机主机、伺服电机及伺服控制器、减速机、台架主体、控制系统和测量系统，以及工控机与相关试验专用软件。</w:t>
      </w:r>
    </w:p>
    <w:p>
      <w:pPr>
        <w:pStyle w:val="129"/>
        <w:numPr>
          <w:ilvl w:val="0"/>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2.参数与性能指标要求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bookmarkStart w:id="21" w:name="_Toc169605881"/>
      <w:r>
        <w:rPr>
          <w:rFonts w:hint="eastAsia" w:ascii="宋体" w:hAnsi="宋体" w:eastAsia="宋体" w:cs="宋体"/>
          <w:color w:val="auto"/>
          <w:kern w:val="2"/>
          <w:sz w:val="24"/>
          <w:szCs w:val="24"/>
          <w:highlight w:val="none"/>
          <w:lang w:val="en-US" w:eastAsia="zh-CN" w:bidi="ar-SA"/>
        </w:rPr>
        <w:t>2.1  测试要求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2.1.1 压紧力加载范围为0～75KN；</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2.1.2 分离力加载范围为0～20KN；</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2.1.3 试验台加载形式须能够消除机械变形对测试结果的影响；</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2.1.4 样件安装方式模拟实车安装状态。</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 传感器要求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2.2.1 压紧力传感器量程：0～75KN，测试精度：≤0.02%FS；</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2.2.2 压盘1升程量程：0～25mm，测试精度：≤0.02mm；</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2.2.3 压盘2升程量程：0～10mm，测试精度：≤0.01mm；</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2.2.4 分离力传感器量程：0～20KN，测试精度：≤0.02%FS；</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2.2.5 分离位移量程：测试行程能够兼顾推拉式离合器压盘总成的分离位移测试，测试精度：≤0.01mm；</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2.2.6 所有传感器配备专用的工装夹具和便携式传感器、数显仪表及软件进行自标定；</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2.2.7 所有传感器为国际一流品牌，其品牌、型式由投标方推荐，招标方确认。</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  工装夹具要求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2.3.1 离合器压盘总成试验件压盘外径尺寸为Φ200～450mm，试验系统拥有合理设计的基本夹具，以方便快捷地更换试件；</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2.3.2 代分离轴承工装可根据压盘的不同型式（拉/压式），方便更换；</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2.3.3 机械传动系统关键点的安全监测及联动保护措施；</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2.3.4 配备安全防护罩，防止试验过程中断裂伤害风险；</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2.3.5 配备三套常用工装(包括压紧力加载盘、压盘安装盘、带分离轴承等)，产品图纸由买方提供。</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2.4 对设备不确定度有详细分析。</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2.5 在出现过载或者设备故障时，试验设备自动停止，并发出声、光报警。</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 试验测试软件</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2.6.1 软件根据设定条件（分离特性、负荷特性、接合特性、分离指端面跳动量及离合器安装高度等）自动控制试验过程；</w:t>
      </w:r>
    </w:p>
    <w:p>
      <w:pPr>
        <w:pStyle w:val="129"/>
        <w:numPr>
          <w:ilvl w:val="2"/>
          <w:numId w:val="0"/>
        </w:numPr>
        <w:spacing w:line="360" w:lineRule="auto"/>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2.6.1 分离指端面跳动量测试过程中，需能够显示所有分离指相对安装平面（飞轮面）的高度值；</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2.6.2 能够实现手动和自动测试；</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2.6.3 具备断点保护功能，当设备意外停机时，自动保存试验数据及运行状态；</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2.6.4 可回放实时曲线，鼠标循迹数据显示和分析；</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2.6.5 试验数据、曲线均可按照标准格式导出和打印；</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2.6.6 软件具有相应的开机自检功能。</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2.7 配置品牌激光打印机一台。</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2.8 外观色彩要求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2.8.1 外观色彩与招标方另行商定并在技术协议中明确，投标报价不变。</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3、主要设备、零部件、元器件的选用和配置要求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  电气系统</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3.1.1 防护等级：电气柜、按钮箱、分线盒等防护等级IP65，台架上的电器防护等级IP67；</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3.1.2 电气柜：独立落地型，散热及时，带照明和维修电源插座；</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3.1.3 所有元件和管线必须有标识，走管、走线应整洁、规范，维修方便；</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3.1.4 卖方推荐、提供详细的选用配置表，买方确认。</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  电器元件</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3.2.1 控制系统采用国际知名品牌产品；</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3.2.2 低压元件采用国际知名品牌产品；</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3.2.3 卖方推荐、提供详细的选用配置表，买方确认。</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  气动元器件</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3.3.1 气动元件采用国际一流品牌产品；</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3.3.2 卖方推荐、提供详细的选用配置表，买方确认。</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4.设计使用寿命</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按全年工作 365 天、两班制、设备年时基数 4380 小时计，设计使用寿命应不少于10周年。</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5.计量要求</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试验台及试验台所含测量单元必须经过省级或省级以上计量单位校准，并提供校准证书。</w:t>
      </w:r>
    </w:p>
    <w:p>
      <w:pPr>
        <w:pStyle w:val="129"/>
        <w:numPr>
          <w:ilvl w:val="2"/>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四、执行标准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此处所列标准仅为涉及的主要标准，而且不保证其为最新版执行标准；</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应当在投标文件中认真予以填写、补充和修改完善。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采购货物如果采用国际标准，其执行标准由</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确认。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采购货物所涉及的标准不统一时，原则上按照最严格标准执行。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689"/>
        <w:gridCol w:w="2390"/>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6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标准名称</w:t>
            </w:r>
          </w:p>
        </w:tc>
        <w:tc>
          <w:tcPr>
            <w:tcW w:w="2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标准编号</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6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《汽车干摩擦式离合器总成台架试验方法》</w:t>
            </w:r>
          </w:p>
        </w:tc>
        <w:tc>
          <w:tcPr>
            <w:tcW w:w="2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QC/T 27-2014</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46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《汽车干摩擦式离合器总成技术条件》</w:t>
            </w:r>
          </w:p>
        </w:tc>
        <w:tc>
          <w:tcPr>
            <w:tcW w:w="2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QC/T 25-2014</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46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重型汽车</w:t>
            </w:r>
            <w:r>
              <w:rPr>
                <w:rFonts w:hint="eastAsia" w:ascii="宋体" w:hAnsi="宋体" w:eastAsia="宋体" w:cs="宋体"/>
                <w:color w:val="auto"/>
                <w:sz w:val="24"/>
                <w:szCs w:val="24"/>
                <w:highlight w:val="none"/>
                <w:lang w:val="en-US" w:eastAsia="zh-CN"/>
              </w:rPr>
              <w:t>用离合器</w:t>
            </w:r>
            <w:r>
              <w:rPr>
                <w:rFonts w:ascii="宋体" w:hAnsi="宋体" w:eastAsia="宋体" w:cs="宋体"/>
                <w:color w:val="auto"/>
                <w:sz w:val="24"/>
                <w:szCs w:val="24"/>
                <w:highlight w:val="none"/>
              </w:rPr>
              <w:t>总成</w:t>
            </w:r>
            <w:r>
              <w:rPr>
                <w:rFonts w:hint="eastAsia" w:ascii="宋体" w:hAnsi="宋体" w:eastAsia="宋体" w:cs="宋体"/>
                <w:color w:val="auto"/>
                <w:sz w:val="24"/>
                <w:szCs w:val="24"/>
                <w:highlight w:val="none"/>
                <w:lang w:val="en-US" w:eastAsia="zh-CN"/>
              </w:rPr>
              <w:t>》</w:t>
            </w:r>
          </w:p>
        </w:tc>
        <w:tc>
          <w:tcPr>
            <w:tcW w:w="2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ascii="宋体" w:hAnsi="宋体" w:eastAsia="宋体" w:cs="宋体"/>
                <w:color w:val="auto"/>
                <w:sz w:val="24"/>
                <w:szCs w:val="24"/>
                <w:highlight w:val="none"/>
              </w:rPr>
              <w:t>Q/ZZ 11</w:t>
            </w:r>
            <w:r>
              <w:rPr>
                <w:rFonts w:hint="eastAsia" w:ascii="宋体" w:hAnsi="宋体" w:eastAsia="宋体" w:cs="宋体"/>
                <w:color w:val="auto"/>
                <w:sz w:val="24"/>
                <w:szCs w:val="24"/>
                <w:highlight w:val="none"/>
                <w:lang w:val="en-US" w:eastAsia="zh-CN"/>
              </w:rPr>
              <w:t>060</w:t>
            </w:r>
            <w:r>
              <w:rPr>
                <w:rFonts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1</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p>
        </w:tc>
        <w:tc>
          <w:tcPr>
            <w:tcW w:w="46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工业企业厂界环境噪声排放标准</w:t>
            </w:r>
          </w:p>
        </w:tc>
        <w:tc>
          <w:tcPr>
            <w:tcW w:w="23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GB12348-2008</w:t>
            </w:r>
          </w:p>
        </w:tc>
        <w:tc>
          <w:tcPr>
            <w:tcW w:w="10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bl>
    <w:p>
      <w:pPr>
        <w:widowControl/>
        <w:spacing w:line="360" w:lineRule="auto"/>
        <w:jc w:val="left"/>
        <w:rPr>
          <w:rFonts w:ascii="宋体" w:hAnsi="Calibri" w:eastAsia="宋体" w:cs="Times New Roman"/>
          <w:color w:val="auto"/>
          <w:szCs w:val="20"/>
          <w:highlight w:val="none"/>
        </w:rPr>
      </w:pPr>
      <w:r>
        <w:rPr>
          <w:rFonts w:ascii="宋体" w:hAnsi="Calibri" w:eastAsia="宋体" w:cs="Times New Roman"/>
          <w:color w:val="auto"/>
          <w:szCs w:val="20"/>
          <w:highlight w:val="none"/>
        </w:rPr>
        <w:br w:type="page"/>
      </w:r>
    </w:p>
    <w:p>
      <w:pPr>
        <w:keepNext/>
        <w:keepLines/>
        <w:jc w:val="center"/>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bookmarkEnd w:id="21"/>
    </w:p>
    <w:p>
      <w:pPr>
        <w:rPr>
          <w:color w:val="auto"/>
          <w:highlight w:val="none"/>
        </w:rPr>
      </w:pPr>
    </w:p>
    <w:p>
      <w:pPr>
        <w:keepNext/>
        <w:keepLines/>
        <w:spacing w:line="360" w:lineRule="auto"/>
        <w:jc w:val="center"/>
        <w:outlineLvl w:val="2"/>
        <w:rPr>
          <w:rFonts w:ascii="宋体" w:hAnsi="宋体" w:eastAsia="宋体" w:cs="宋体"/>
          <w:b/>
          <w:bCs/>
          <w:color w:val="auto"/>
          <w:sz w:val="24"/>
          <w:szCs w:val="32"/>
          <w:highlight w:val="none"/>
        </w:rPr>
      </w:pPr>
      <w:bookmarkStart w:id="22" w:name="_Toc169605882"/>
      <w:r>
        <w:rPr>
          <w:rFonts w:hint="eastAsia" w:ascii="宋体" w:hAnsi="宋体" w:eastAsia="宋体" w:cs="宋体"/>
          <w:b/>
          <w:bCs/>
          <w:color w:val="auto"/>
          <w:sz w:val="24"/>
          <w:szCs w:val="32"/>
          <w:highlight w:val="none"/>
        </w:rPr>
        <w:t>第一节  供货范围</w:t>
      </w:r>
      <w:bookmarkEnd w:id="22"/>
    </w:p>
    <w:p>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一、供货范围（</w:t>
      </w:r>
      <w:r>
        <w:rPr>
          <w:rFonts w:hint="eastAsia" w:ascii="宋体" w:hAnsi="宋体" w:eastAsia="宋体" w:cs="宋体"/>
          <w:b/>
          <w:bCs/>
          <w:color w:val="auto"/>
          <w:sz w:val="24"/>
          <w:szCs w:val="24"/>
          <w:highlight w:val="none"/>
          <w:lang w:val="en-US" w:eastAsia="zh-CN"/>
        </w:rPr>
        <w:t>按照组成项目主要构成一览表的所有最小单元逐一列示，要涵盖培训等内容</w:t>
      </w:r>
      <w:r>
        <w:rPr>
          <w:rFonts w:hint="eastAsia" w:ascii="宋体" w:hAnsi="宋体" w:eastAsia="宋体" w:cs="宋体"/>
          <w:b/>
          <w:bCs/>
          <w:color w:val="auto"/>
          <w:sz w:val="24"/>
          <w:szCs w:val="24"/>
          <w:highlight w:val="none"/>
        </w:rPr>
        <w:t>）</w:t>
      </w:r>
    </w:p>
    <w:p>
      <w:pPr>
        <w:bidi w:val="0"/>
        <w:rPr>
          <w:rFonts w:hint="eastAsia"/>
        </w:rPr>
      </w:pP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334"/>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序号</w:t>
            </w:r>
          </w:p>
        </w:tc>
        <w:tc>
          <w:tcPr>
            <w:tcW w:w="2977" w:type="dxa"/>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名称</w:t>
            </w:r>
          </w:p>
        </w:tc>
        <w:tc>
          <w:tcPr>
            <w:tcW w:w="992" w:type="dxa"/>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单位</w:t>
            </w:r>
          </w:p>
        </w:tc>
        <w:tc>
          <w:tcPr>
            <w:tcW w:w="1334" w:type="dxa"/>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w:t>
            </w:r>
          </w:p>
        </w:tc>
        <w:tc>
          <w:tcPr>
            <w:tcW w:w="2635" w:type="dxa"/>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综合性能测试机主机</w:t>
            </w:r>
          </w:p>
        </w:tc>
        <w:tc>
          <w:tcPr>
            <w:tcW w:w="992"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台</w:t>
            </w:r>
          </w:p>
        </w:tc>
        <w:tc>
          <w:tcPr>
            <w:tcW w:w="1334"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635"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129"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w:t>
            </w:r>
          </w:p>
        </w:tc>
        <w:tc>
          <w:tcPr>
            <w:tcW w:w="2977"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驱动系统</w:t>
            </w:r>
          </w:p>
        </w:tc>
        <w:tc>
          <w:tcPr>
            <w:tcW w:w="992"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套</w:t>
            </w:r>
          </w:p>
        </w:tc>
        <w:tc>
          <w:tcPr>
            <w:tcW w:w="1334"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635"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三</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测量系统</w:t>
            </w:r>
          </w:p>
        </w:tc>
        <w:tc>
          <w:tcPr>
            <w:tcW w:w="992"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套</w:t>
            </w:r>
          </w:p>
        </w:tc>
        <w:tc>
          <w:tcPr>
            <w:tcW w:w="1334"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635"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四</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控制系统</w:t>
            </w:r>
          </w:p>
        </w:tc>
        <w:tc>
          <w:tcPr>
            <w:tcW w:w="992"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套</w:t>
            </w:r>
          </w:p>
        </w:tc>
        <w:tc>
          <w:tcPr>
            <w:tcW w:w="1334"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635"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五</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机体部分</w:t>
            </w:r>
          </w:p>
        </w:tc>
        <w:tc>
          <w:tcPr>
            <w:tcW w:w="992"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套</w:t>
            </w:r>
          </w:p>
        </w:tc>
        <w:tc>
          <w:tcPr>
            <w:tcW w:w="1334"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635"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六</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电气部分</w:t>
            </w:r>
          </w:p>
        </w:tc>
        <w:tc>
          <w:tcPr>
            <w:tcW w:w="992"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1334"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按需提供</w:t>
            </w:r>
          </w:p>
        </w:tc>
        <w:tc>
          <w:tcPr>
            <w:tcW w:w="2635"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七</w:t>
            </w: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其他</w:t>
            </w:r>
          </w:p>
        </w:tc>
        <w:tc>
          <w:tcPr>
            <w:tcW w:w="992"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套</w:t>
            </w:r>
          </w:p>
        </w:tc>
        <w:tc>
          <w:tcPr>
            <w:tcW w:w="1334"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按需提供</w:t>
            </w:r>
          </w:p>
        </w:tc>
        <w:tc>
          <w:tcPr>
            <w:tcW w:w="2635"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c>
          <w:tcPr>
            <w:tcW w:w="2977" w:type="dxa"/>
            <w:shd w:val="clear" w:color="auto" w:fill="auto"/>
            <w:vAlign w:val="center"/>
          </w:tcPr>
          <w:p>
            <w:pPr>
              <w:spacing w:line="420" w:lineRule="exact"/>
              <w:jc w:val="center"/>
              <w:rPr>
                <w:rFonts w:hint="eastAsia" w:ascii="宋体" w:hAnsi="宋体" w:eastAsia="宋体" w:cs="宋体"/>
                <w:color w:val="auto"/>
                <w:szCs w:val="21"/>
                <w:highlight w:val="none"/>
                <w:lang w:val="en-US" w:eastAsia="zh-CN"/>
              </w:rPr>
            </w:pPr>
          </w:p>
        </w:tc>
        <w:tc>
          <w:tcPr>
            <w:tcW w:w="992"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c>
          <w:tcPr>
            <w:tcW w:w="1334"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c>
          <w:tcPr>
            <w:tcW w:w="2635" w:type="dxa"/>
            <w:shd w:val="clear" w:color="auto" w:fill="auto"/>
            <w:vAlign w:val="center"/>
          </w:tcPr>
          <w:p>
            <w:pPr>
              <w:spacing w:line="420" w:lineRule="exact"/>
              <w:jc w:val="center"/>
              <w:rPr>
                <w:rFonts w:hint="default" w:ascii="宋体" w:hAnsi="宋体" w:eastAsia="宋体" w:cs="宋体"/>
                <w:color w:val="auto"/>
                <w:szCs w:val="21"/>
                <w:highlight w:val="none"/>
                <w:lang w:val="en-US" w:eastAsia="zh-CN"/>
              </w:rPr>
            </w:pPr>
          </w:p>
        </w:tc>
      </w:tr>
    </w:tbl>
    <w:p>
      <w:pPr>
        <w:bidi w:val="0"/>
      </w:pP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（一）一般界定</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3.包括货物维护维修所必需的专用工具。</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（二）供货范围边界界定</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二、备品备件、易损件和专用耗材供货范围</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三、技术资料供货范围</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技术资料供货范围包括：</w:t>
      </w:r>
    </w:p>
    <w:p>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u w:val="single"/>
          <w:shd w:val="pct10" w:color="auto" w:fill="FFFFFF"/>
          <w:lang w:val="en-US" w:eastAsia="zh-CN"/>
        </w:rPr>
        <w:t>30</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2.在预验收前，</w:t>
      </w:r>
      <w:r>
        <w:rPr>
          <w:rFonts w:hint="eastAsia" w:ascii="宋体" w:hAnsi="宋体" w:eastAsia="宋体" w:cs="宋体"/>
          <w:bCs w:val="0"/>
          <w:color w:val="auto"/>
          <w:sz w:val="24"/>
          <w:szCs w:val="24"/>
          <w:highlight w:val="none"/>
        </w:rPr>
        <w:t>提供货物各部分的功能描述文件、图片、影像等资料（进口、设备应有中外文对照）。</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在终验收前，提供包括货物的备品备件、易损件和专用耗材的图纸及技术参数、技术要求等资料</w:t>
      </w:r>
      <w:r>
        <w:rPr>
          <w:rFonts w:hint="eastAsia" w:ascii="宋体" w:hAnsi="宋体" w:eastAsia="宋体" w:cs="宋体"/>
          <w:color w:val="auto"/>
          <w:sz w:val="24"/>
          <w:szCs w:val="24"/>
          <w:highlight w:val="none"/>
        </w:rPr>
        <w:t>。</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四、供货范围特别提示</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如果投标人认为本节所列的供货范围难以满足，则仍需要按照本要求提供，但该部分货物应当在投标报价中单独列明货物名称及品质、货值。</w:t>
      </w:r>
      <w:bookmarkStart w:id="23" w:name="_Toc169605883"/>
    </w:p>
    <w:p>
      <w:pPr>
        <w:pStyle w:val="17"/>
        <w:spacing w:line="360" w:lineRule="auto"/>
        <w:rPr>
          <w:color w:val="auto"/>
          <w:highlight w:val="none"/>
        </w:rPr>
      </w:pPr>
    </w:p>
    <w:p>
      <w:pPr>
        <w:keepNext/>
        <w:keepLines/>
        <w:spacing w:line="360" w:lineRule="auto"/>
        <w:jc w:val="center"/>
        <w:outlineLvl w:val="2"/>
        <w:rPr>
          <w:rFonts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第二节  供货方式</w:t>
      </w:r>
      <w:bookmarkEnd w:id="23"/>
    </w:p>
    <w:p>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一、供货方式</w:t>
      </w:r>
    </w:p>
    <w:p>
      <w:pPr>
        <w:spacing w:line="360" w:lineRule="auto"/>
        <w:ind w:firstLine="480" w:firstLineChars="200"/>
        <w:rPr>
          <w:rFonts w:ascii="宋体" w:hAnsi="宋体" w:eastAsia="宋体" w:cs="宋体"/>
          <w:b/>
          <w:i/>
          <w:color w:val="auto"/>
          <w:sz w:val="24"/>
          <w:szCs w:val="24"/>
          <w:highlight w:val="none"/>
        </w:rPr>
      </w:pPr>
      <w:r>
        <w:rPr>
          <w:rFonts w:hint="eastAsia" w:ascii="宋体" w:hAnsi="宋体" w:eastAsia="宋体" w:cs="宋体"/>
          <w:color w:val="auto"/>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二、供货地点：</w:t>
      </w:r>
      <w:r>
        <w:rPr>
          <w:rFonts w:hint="eastAsia" w:ascii="宋体" w:hAnsi="宋体" w:eastAsia="宋体" w:cs="宋体"/>
          <w:color w:val="auto"/>
          <w:sz w:val="24"/>
          <w:szCs w:val="24"/>
          <w:highlight w:val="none"/>
        </w:rPr>
        <w:t xml:space="preserve">中国重汽集团莱芜二期 </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#动力总成试验室。</w:t>
      </w:r>
    </w:p>
    <w:p>
      <w:pPr>
        <w:spacing w:line="360" w:lineRule="auto"/>
        <w:ind w:firstLine="482" w:firstLineChars="200"/>
        <w:jc w:val="left"/>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三、供货时间</w:t>
      </w:r>
    </w:p>
    <w:p>
      <w:pPr>
        <w:spacing w:line="360" w:lineRule="auto"/>
        <w:ind w:firstLine="480" w:firstLineChars="200"/>
        <w:outlineLvl w:val="3"/>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b w:val="0"/>
          <w:bCs w:val="0"/>
          <w:color w:val="auto"/>
          <w:sz w:val="24"/>
          <w:szCs w:val="28"/>
          <w:highlight w:val="none"/>
          <w:lang w:val="en-US" w:eastAsia="zh-CN"/>
        </w:rPr>
        <w:t>1.自合同签定生效之日起，货物应于180个日历日之内交货至供货地点。</w:t>
      </w:r>
    </w:p>
    <w:p>
      <w:pPr>
        <w:spacing w:line="360" w:lineRule="auto"/>
        <w:ind w:firstLine="480" w:firstLineChars="200"/>
        <w:outlineLvl w:val="3"/>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b w:val="0"/>
          <w:bCs w:val="0"/>
          <w:color w:val="auto"/>
          <w:sz w:val="24"/>
          <w:szCs w:val="28"/>
          <w:highlight w:val="none"/>
          <w:lang w:val="en-US" w:eastAsia="zh-CN"/>
        </w:rPr>
        <w:t>2.应于货物到货后接续10个日历日之内完成安装调试。</w:t>
      </w:r>
    </w:p>
    <w:p>
      <w:pPr>
        <w:spacing w:line="360" w:lineRule="auto"/>
        <w:ind w:firstLine="480" w:firstLineChars="200"/>
        <w:outlineLvl w:val="3"/>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b w:val="0"/>
          <w:bCs w:val="0"/>
          <w:color w:val="auto"/>
          <w:sz w:val="24"/>
          <w:szCs w:val="28"/>
          <w:highlight w:val="none"/>
          <w:lang w:val="en-US" w:eastAsia="zh-CN"/>
        </w:rPr>
        <w:t>3.应于安装调试后接续30个日历日之内完成验收。</w:t>
      </w:r>
    </w:p>
    <w:p>
      <w:pPr>
        <w:spacing w:line="360" w:lineRule="auto"/>
        <w:ind w:firstLine="480" w:firstLineChars="200"/>
        <w:outlineLvl w:val="3"/>
        <w:rPr>
          <w:rFonts w:hint="eastAsia" w:ascii="宋体" w:hAnsi="宋体" w:eastAsia="宋体" w:cs="宋体"/>
          <w:b w:val="0"/>
          <w:bCs w:val="0"/>
          <w:color w:val="auto"/>
          <w:sz w:val="24"/>
          <w:szCs w:val="28"/>
          <w:highlight w:val="none"/>
          <w:lang w:val="en-US" w:eastAsia="zh-CN"/>
        </w:rPr>
      </w:pPr>
      <w:r>
        <w:rPr>
          <w:rFonts w:hint="eastAsia" w:ascii="宋体" w:hAnsi="宋体" w:eastAsia="宋体" w:cs="宋体"/>
          <w:b w:val="0"/>
          <w:bCs w:val="0"/>
          <w:color w:val="auto"/>
          <w:sz w:val="24"/>
          <w:szCs w:val="28"/>
          <w:highlight w:val="none"/>
          <w:lang w:val="en-US" w:eastAsia="zh-CN"/>
        </w:rPr>
        <w:t>特别说明：安装调试时间或验收时间超过规定时间的，投标人应当随标书提供详细的工期计划。</w:t>
      </w:r>
    </w:p>
    <w:p>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1.所提供货物（或</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3.所提供货物（或</w:t>
      </w:r>
      <w:r>
        <w:rPr>
          <w:rFonts w:hint="eastAsia" w:ascii="宋体" w:hAnsi="宋体" w:eastAsia="宋体" w:cs="宋体"/>
          <w:color w:val="auto"/>
          <w:sz w:val="24"/>
          <w:szCs w:val="24"/>
          <w:highlight w:val="none"/>
          <w:lang w:val="en-US" w:eastAsia="zh-CN"/>
        </w:rPr>
        <w:t>设备</w:t>
      </w:r>
      <w:r>
        <w:rPr>
          <w:rFonts w:hint="eastAsia" w:ascii="宋体" w:hAnsi="宋体" w:eastAsia="宋体" w:cs="宋体"/>
          <w:color w:val="auto"/>
          <w:sz w:val="24"/>
          <w:szCs w:val="24"/>
          <w:highlight w:val="none"/>
        </w:rPr>
        <w:t>）的包装，应能防止其一般性被窃或受外力破坏；一般不得采用有大缝隙的板条包装。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8.包装箱应连续编号，不应出现重复编号。</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五、运输</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2.同批货物（或设备）应统一包装、编号运输。</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pPr>
      <w:r>
        <w:rPr>
          <w:rFonts w:hint="eastAsia" w:ascii="宋体" w:hAnsi="宋体" w:eastAsia="宋体" w:cs="宋体"/>
          <w:color w:val="auto"/>
          <w:sz w:val="24"/>
          <w:szCs w:val="24"/>
          <w:highlight w:val="none"/>
        </w:rPr>
        <w:t>5.货物（或设备）运抵交货地点后，应负责货物（或设备）的卸货、搬运、保管等事宜，或按照合同约定。</w:t>
      </w:r>
    </w:p>
    <w:p>
      <w:pPr>
        <w:widowControl/>
        <w:jc w:val="left"/>
        <w:rPr>
          <w:rFonts w:ascii="宋体" w:hAnsi="Calibri" w:eastAsia="宋体" w:cs="Times New Roman"/>
          <w:color w:val="auto"/>
          <w:szCs w:val="20"/>
          <w:highlight w:val="none"/>
        </w:rPr>
      </w:pPr>
      <w:r>
        <w:rPr>
          <w:rFonts w:ascii="宋体" w:hAnsi="Calibri" w:eastAsia="宋体" w:cs="Times New Roman"/>
          <w:color w:val="auto"/>
          <w:szCs w:val="20"/>
          <w:highlight w:val="none"/>
        </w:rPr>
        <w:br w:type="page"/>
      </w:r>
    </w:p>
    <w:p>
      <w:pPr>
        <w:keepNext/>
        <w:keepLines/>
        <w:spacing w:line="360" w:lineRule="auto"/>
        <w:jc w:val="center"/>
        <w:outlineLvl w:val="1"/>
        <w:rPr>
          <w:rFonts w:ascii="Calibri" w:hAnsi="Calibri" w:eastAsia="宋体" w:cs="Times New Roman"/>
          <w:b/>
          <w:bCs/>
          <w:color w:val="auto"/>
          <w:kern w:val="44"/>
          <w:sz w:val="28"/>
          <w:szCs w:val="28"/>
          <w:highlight w:val="none"/>
        </w:rPr>
      </w:pPr>
      <w:bookmarkStart w:id="24" w:name="_Toc169605884"/>
      <w:r>
        <w:rPr>
          <w:rFonts w:hint="eastAsia" w:ascii="Calibri" w:hAnsi="Calibri" w:eastAsia="宋体" w:cs="Times New Roman"/>
          <w:b/>
          <w:bCs/>
          <w:color w:val="auto"/>
          <w:kern w:val="44"/>
          <w:sz w:val="28"/>
          <w:szCs w:val="28"/>
          <w:highlight w:val="none"/>
        </w:rPr>
        <w:t>第四章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质保期及售后服务</w:t>
      </w:r>
      <w:bookmarkEnd w:id="24"/>
    </w:p>
    <w:p>
      <w:pPr>
        <w:pStyle w:val="121"/>
        <w:spacing w:line="360" w:lineRule="auto"/>
        <w:rPr>
          <w:color w:val="auto"/>
          <w:highlight w:val="none"/>
        </w:rPr>
      </w:pPr>
      <w:r>
        <w:rPr>
          <w:rFonts w:hint="eastAsia"/>
          <w:color w:val="auto"/>
          <w:highlight w:val="none"/>
        </w:rPr>
        <w:t>一、质保期及质保要求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.全部供货范围内的设备、材料、零配件和工器具等，除合同特别约定外，其质保期均自终验收签字生效之日起</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auto"/>
          <w:sz w:val="24"/>
          <w:szCs w:val="24"/>
          <w:highlight w:val="none"/>
        </w:rPr>
        <w:t>个月。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投标货物或涉及的关键总成和零件，如果有更长时间质保期，允许更改并说明，此将有利于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4</w:t>
      </w:r>
      <w:r>
        <w:rPr>
          <w:rFonts w:hint="eastAsia" w:ascii="宋体" w:hAnsi="宋体" w:eastAsia="宋体" w:cs="宋体"/>
          <w:color w:val="auto"/>
          <w:sz w:val="24"/>
          <w:szCs w:val="24"/>
          <w:highlight w:val="none"/>
        </w:rPr>
        <w:t>.质保期终止之日起</w:t>
      </w:r>
      <w:r>
        <w:rPr>
          <w:rFonts w:hint="eastAsia" w:ascii="宋体" w:hAnsi="宋体" w:eastAsia="宋体" w:cs="宋体"/>
          <w:color w:val="auto"/>
          <w:sz w:val="24"/>
          <w:szCs w:val="24"/>
          <w:highlight w:val="none"/>
          <w:u w:val="single"/>
        </w:rPr>
        <w:t>一年内</w:t>
      </w:r>
      <w:r>
        <w:rPr>
          <w:rFonts w:hint="eastAsia" w:ascii="宋体" w:hAnsi="宋体" w:eastAsia="宋体" w:cs="宋体"/>
          <w:color w:val="auto"/>
          <w:sz w:val="24"/>
          <w:szCs w:val="24"/>
          <w:highlight w:val="none"/>
        </w:rPr>
        <w:t>重复出现的质保期之内出现的故障，仍属质保范围而且应当免费。</w:t>
      </w:r>
    </w:p>
    <w:p>
      <w:pPr>
        <w:pStyle w:val="121"/>
        <w:spacing w:line="360" w:lineRule="auto"/>
        <w:rPr>
          <w:rFonts w:ascii="宋体" w:hAnsi="宋体" w:cs="宋体"/>
          <w:color w:val="auto"/>
          <w:highlight w:val="none"/>
        </w:rPr>
      </w:pPr>
      <w:r>
        <w:rPr>
          <w:rFonts w:hint="eastAsia" w:ascii="宋体" w:hAnsi="宋体" w:cs="宋体"/>
          <w:color w:val="auto"/>
          <w:highlight w:val="none"/>
        </w:rPr>
        <w:t>二、技术及培训服务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auto"/>
          <w:sz w:val="24"/>
          <w:szCs w:val="24"/>
          <w:highlight w:val="none"/>
          <w:u w:val="single"/>
          <w:shd w:val="pct10" w:color="auto" w:fill="FFFFFF"/>
          <w:lang w:val="en-US" w:eastAsia="zh-CN"/>
        </w:rPr>
        <w:t>7</w:t>
      </w:r>
      <w:r>
        <w:rPr>
          <w:rFonts w:hint="eastAsia" w:ascii="宋体" w:hAnsi="宋体" w:eastAsia="宋体" w:cs="宋体"/>
          <w:color w:val="auto"/>
          <w:sz w:val="24"/>
          <w:szCs w:val="24"/>
          <w:highlight w:val="none"/>
        </w:rPr>
        <w:t>个日历日。</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rPr>
          <w:rFonts w:ascii="宋体" w:hAnsi="宋体" w:cs="宋体"/>
          <w:color w:val="auto"/>
          <w:highlight w:val="none"/>
        </w:rPr>
      </w:pPr>
      <w:r>
        <w:rPr>
          <w:rFonts w:hint="eastAsia" w:ascii="宋体" w:hAnsi="宋体" w:cs="宋体"/>
          <w:color w:val="auto"/>
          <w:highlight w:val="none"/>
        </w:rPr>
        <w:t>三、安装调试及验收服务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1.指导安装调试或负责安装调试以及协助验收，</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4.在卖方所提供货物需要得到买方建设项目所在地政府或行业主管部门的查验、试验、验收时，卖方应当免费完成或协助</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6.服务缺陷视同货物缺陷和履约延期。</w:t>
      </w:r>
    </w:p>
    <w:p>
      <w:pPr>
        <w:pStyle w:val="121"/>
        <w:spacing w:line="360" w:lineRule="auto"/>
        <w:rPr>
          <w:rFonts w:ascii="宋体" w:hAnsi="宋体" w:cs="宋体"/>
          <w:color w:val="auto"/>
          <w:highlight w:val="none"/>
        </w:rPr>
      </w:pPr>
      <w:r>
        <w:rPr>
          <w:rFonts w:hint="eastAsia" w:ascii="宋体" w:hAnsi="宋体" w:cs="宋体"/>
          <w:color w:val="auto"/>
          <w:highlight w:val="none"/>
        </w:rPr>
        <w:t>四、售后服务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2.如发现所提供的货物存在问题，需要卖方解决或配合解决时：在质保期之内，应在接到通知后</w:t>
      </w:r>
      <w:r>
        <w:rPr>
          <w:rFonts w:hint="eastAsia" w:ascii="宋体" w:hAnsi="宋体" w:eastAsia="宋体" w:cs="宋体"/>
          <w:color w:val="auto"/>
          <w:sz w:val="24"/>
          <w:szCs w:val="24"/>
          <w:highlight w:val="none"/>
          <w:u w:val="single"/>
          <w:shd w:val="pct10" w:color="auto" w:fill="FFFFFF"/>
        </w:rPr>
        <w:t>24</w:t>
      </w:r>
      <w:r>
        <w:rPr>
          <w:rFonts w:hint="eastAsia" w:ascii="宋体" w:hAnsi="宋体" w:eastAsia="宋体" w:cs="宋体"/>
          <w:color w:val="auto"/>
          <w:sz w:val="24"/>
          <w:szCs w:val="24"/>
          <w:highlight w:val="none"/>
        </w:rPr>
        <w:t>小时内派有关人员到达现场；在质保期之外，应在接到通知后</w:t>
      </w:r>
      <w:r>
        <w:rPr>
          <w:rFonts w:hint="eastAsia" w:ascii="宋体" w:hAnsi="宋体" w:eastAsia="宋体" w:cs="宋体"/>
          <w:color w:val="auto"/>
          <w:sz w:val="24"/>
          <w:szCs w:val="24"/>
          <w:highlight w:val="none"/>
          <w:u w:val="single"/>
          <w:shd w:val="pct10" w:color="auto" w:fill="FFFFFF"/>
        </w:rPr>
        <w:t>72</w:t>
      </w:r>
      <w:r>
        <w:rPr>
          <w:rFonts w:hint="eastAsia" w:ascii="宋体" w:hAnsi="宋体" w:eastAsia="宋体" w:cs="宋体"/>
          <w:color w:val="auto"/>
          <w:sz w:val="24"/>
          <w:szCs w:val="24"/>
          <w:highlight w:val="none"/>
        </w:rPr>
        <w:t>小时内派有关人员到达现场。</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3.卖方派往买方使用现场的人员，应具有较高的业务素质；现场解决问题时，不得无故拖延或推迟，应为买方提供最佳的服务。</w:t>
      </w:r>
    </w:p>
    <w:p>
      <w:pPr>
        <w:pStyle w:val="121"/>
        <w:spacing w:line="360" w:lineRule="auto"/>
        <w:rPr>
          <w:rFonts w:ascii="宋体" w:hAnsi="宋体" w:cs="宋体"/>
          <w:color w:val="auto"/>
          <w:highlight w:val="none"/>
        </w:rPr>
      </w:pPr>
      <w:r>
        <w:rPr>
          <w:rFonts w:hint="eastAsia" w:ascii="宋体" w:hAnsi="宋体" w:cs="宋体"/>
          <w:color w:val="auto"/>
          <w:highlight w:val="none"/>
        </w:rPr>
        <w:t>五、其它服务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3.本章节条款所列“免费”，并非指定不可收费，而是指招标文件、投标文件、答疑文件、技术交流文件、技术标书和合同等范围之外，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不可另行收取的费用。</w:t>
      </w:r>
    </w:p>
    <w:p>
      <w:pPr>
        <w:pStyle w:val="17"/>
        <w:rPr>
          <w:rFonts w:eastAsia="宋体"/>
          <w:color w:val="auto"/>
          <w:highlight w:val="none"/>
        </w:rPr>
      </w:pPr>
      <w:r>
        <w:rPr>
          <w:rFonts w:eastAsia="宋体"/>
          <w:color w:val="auto"/>
          <w:highlight w:val="none"/>
        </w:rPr>
        <w:br w:type="page"/>
      </w:r>
    </w:p>
    <w:p>
      <w:pPr>
        <w:keepNext/>
        <w:keepLines/>
        <w:spacing w:line="360" w:lineRule="auto"/>
        <w:jc w:val="center"/>
        <w:outlineLvl w:val="1"/>
        <w:rPr>
          <w:rFonts w:ascii="Calibri" w:hAnsi="Calibri" w:eastAsia="宋体" w:cs="Times New Roman"/>
          <w:b/>
          <w:bCs/>
          <w:color w:val="auto"/>
          <w:kern w:val="44"/>
          <w:sz w:val="28"/>
          <w:szCs w:val="28"/>
          <w:highlight w:val="none"/>
        </w:rPr>
      </w:pPr>
      <w:bookmarkStart w:id="25" w:name="_Toc465187646"/>
      <w:r>
        <w:rPr>
          <w:rFonts w:hint="eastAsia" w:ascii="Calibri" w:hAnsi="Calibri" w:eastAsia="宋体" w:cs="Times New Roman"/>
          <w:b/>
          <w:bCs/>
          <w:color w:val="auto"/>
          <w:kern w:val="44"/>
          <w:sz w:val="28"/>
          <w:szCs w:val="28"/>
          <w:highlight w:val="none"/>
        </w:rPr>
        <w:t>第五章  预验收和终验收</w:t>
      </w:r>
      <w:bookmarkEnd w:id="25"/>
    </w:p>
    <w:p>
      <w:pPr>
        <w:pStyle w:val="121"/>
        <w:spacing w:line="360" w:lineRule="auto"/>
        <w:rPr>
          <w:rFonts w:ascii="宋体" w:hAnsi="宋体" w:cs="宋体"/>
          <w:color w:val="auto"/>
          <w:highlight w:val="none"/>
        </w:rPr>
      </w:pPr>
      <w:r>
        <w:rPr>
          <w:rFonts w:hint="eastAsia" w:ascii="宋体" w:hAnsi="宋体" w:cs="宋体"/>
          <w:color w:val="auto"/>
          <w:highlight w:val="none"/>
        </w:rPr>
        <w:t>一、验收依据和验收标准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2.如果验收过程中，发现招标文件、投标文件、答疑文件、技术交流文件等与技术标书、合同存在差异，原则上以涉及条款中对买方最有利条款为验收依据。</w:t>
      </w:r>
    </w:p>
    <w:p>
      <w:pPr>
        <w:pStyle w:val="121"/>
        <w:spacing w:line="360" w:lineRule="auto"/>
        <w:rPr>
          <w:rFonts w:ascii="宋体" w:hAnsi="宋体" w:cs="宋体"/>
          <w:color w:val="auto"/>
          <w:highlight w:val="none"/>
        </w:rPr>
      </w:pPr>
      <w:r>
        <w:rPr>
          <w:rFonts w:hint="eastAsia" w:ascii="宋体" w:hAnsi="宋体" w:cs="宋体"/>
          <w:color w:val="auto"/>
          <w:highlight w:val="none"/>
        </w:rPr>
        <w:t>二、检验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如果采购货物涉及必要的或必需的检验，</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ascii="宋体" w:hAnsi="宋体" w:cs="宋体"/>
          <w:color w:val="auto"/>
          <w:highlight w:val="none"/>
        </w:rPr>
      </w:pPr>
      <w:r>
        <w:rPr>
          <w:rFonts w:hint="eastAsia" w:ascii="宋体" w:hAnsi="宋体" w:cs="宋体"/>
          <w:color w:val="auto"/>
          <w:highlight w:val="none"/>
        </w:rPr>
        <w:t>三、验收基本条件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1.预验收一般条件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货物标牌完整、清晰、明确。</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2.终验收一般条件</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提供合格证或第三方鉴定文件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3.终验收基本要求</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实物验收和测试验收:</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.1.1 支架和连接法兰等工装数量无缺失，质量无瑕疵，表面光滑，尺寸符合图纸技术要求。</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乙方应保证所供的HBM传感器的先进性、可靠性、经济性，并为全新原装进口件，且提供原装证明。</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保证传感器与台架的正常通讯</w:t>
      </w:r>
      <w:r>
        <w:rPr>
          <w:rFonts w:hint="eastAsia" w:ascii="宋体" w:hAnsi="宋体" w:eastAsia="宋体" w:cs="宋体"/>
          <w:color w:val="auto"/>
          <w:sz w:val="24"/>
          <w:szCs w:val="24"/>
          <w:highlight w:val="none"/>
          <w:lang w:val="en-US" w:eastAsia="zh-CN"/>
        </w:rPr>
        <w:t>且可</w:t>
      </w:r>
      <w:r>
        <w:rPr>
          <w:rFonts w:hint="eastAsia" w:ascii="宋体" w:hAnsi="宋体" w:eastAsia="宋体" w:cs="宋体"/>
          <w:color w:val="auto"/>
          <w:sz w:val="24"/>
          <w:szCs w:val="24"/>
          <w:highlight w:val="none"/>
        </w:rPr>
        <w:t>正常使用。</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试验台应能够按照技术协议的要求，实现所有测试功能，且</w:t>
      </w:r>
      <w:r>
        <w:rPr>
          <w:rFonts w:hint="eastAsia" w:ascii="宋体" w:hAnsi="宋体" w:eastAsia="宋体" w:cs="宋体"/>
          <w:color w:val="auto"/>
          <w:sz w:val="24"/>
          <w:szCs w:val="24"/>
          <w:highlight w:val="none"/>
        </w:rPr>
        <w:t>运行</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稳定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无故障、</w:t>
      </w:r>
      <w:r>
        <w:rPr>
          <w:rFonts w:hint="eastAsia" w:ascii="宋体" w:hAnsi="宋体" w:eastAsia="宋体" w:cs="宋体"/>
          <w:color w:val="auto"/>
          <w:sz w:val="24"/>
          <w:szCs w:val="24"/>
          <w:highlight w:val="none"/>
        </w:rPr>
        <w:t>无异响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无振动。</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 出现下列问题之一，视作验收失败：</w:t>
      </w:r>
    </w:p>
    <w:p>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3.2.1 验收时，其参数</w:t>
      </w:r>
      <w:r>
        <w:rPr>
          <w:rFonts w:hint="eastAsia" w:ascii="宋体" w:hAnsi="宋体" w:eastAsia="宋体" w:cs="宋体"/>
          <w:color w:val="auto"/>
          <w:sz w:val="24"/>
          <w:szCs w:val="24"/>
          <w:highlight w:val="none"/>
          <w:lang w:val="en-US" w:eastAsia="zh-CN"/>
        </w:rPr>
        <w:t>和性能指标</w:t>
      </w:r>
      <w:r>
        <w:rPr>
          <w:rFonts w:hint="eastAsia" w:ascii="宋体" w:hAnsi="宋体" w:eastAsia="宋体" w:cs="宋体"/>
          <w:color w:val="auto"/>
          <w:sz w:val="24"/>
          <w:szCs w:val="24"/>
          <w:highlight w:val="none"/>
        </w:rPr>
        <w:t>无法满足招标书中的技术要求</w:t>
      </w:r>
      <w:r>
        <w:rPr>
          <w:rFonts w:hint="eastAsia" w:ascii="宋体" w:hAnsi="宋体" w:eastAsia="宋体" w:cs="宋体"/>
          <w:color w:val="auto"/>
          <w:sz w:val="24"/>
          <w:szCs w:val="24"/>
          <w:highlight w:val="none"/>
          <w:lang w:eastAsia="zh-CN"/>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3.2.3 一般性故障超过</w:t>
      </w:r>
      <w:r>
        <w:rPr>
          <w:rFonts w:hint="eastAsia" w:ascii="宋体" w:hAnsi="宋体" w:eastAsia="宋体" w:cs="宋体"/>
          <w:color w:val="auto"/>
          <w:sz w:val="24"/>
          <w:szCs w:val="24"/>
          <w:highlight w:val="none"/>
          <w:u w:val="single"/>
          <w:shd w:val="pct10" w:color="auto" w:fill="FFFFFF"/>
        </w:rPr>
        <w:t>2</w:t>
      </w:r>
      <w:r>
        <w:rPr>
          <w:rFonts w:hint="eastAsia" w:ascii="宋体" w:hAnsi="宋体" w:eastAsia="宋体" w:cs="宋体"/>
          <w:color w:val="auto"/>
          <w:sz w:val="24"/>
          <w:szCs w:val="24"/>
          <w:highlight w:val="none"/>
        </w:rPr>
        <w:t>次；</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3.2.4 更换的零部件货值超过总货值的</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3.5 终验收通过后买卖双方共同签署终验收报告，并移交、核对全部供货范围内物品。</w:t>
      </w:r>
    </w:p>
    <w:p>
      <w:pPr>
        <w:pStyle w:val="17"/>
        <w:spacing w:line="360" w:lineRule="auto"/>
        <w:rPr>
          <w:color w:val="auto"/>
          <w:highlight w:val="none"/>
        </w:rPr>
      </w:pPr>
    </w:p>
    <w:p>
      <w:pPr>
        <w:pStyle w:val="134"/>
        <w:spacing w:line="360" w:lineRule="auto"/>
        <w:outlineLvl w:val="1"/>
        <w:rPr>
          <w:rFonts w:eastAsia="宋体"/>
          <w:b/>
          <w:bCs w:val="0"/>
          <w:i w:val="0"/>
          <w:iCs/>
          <w:color w:val="auto"/>
          <w:sz w:val="28"/>
          <w:highlight w:val="none"/>
        </w:rPr>
      </w:pPr>
      <w:bookmarkStart w:id="26" w:name="_Toc465187647"/>
      <w:r>
        <w:rPr>
          <w:rFonts w:eastAsia="宋体"/>
          <w:b/>
          <w:bCs w:val="0"/>
          <w:i w:val="0"/>
          <w:iCs/>
          <w:color w:val="auto"/>
          <w:sz w:val="28"/>
          <w:highlight w:val="none"/>
        </w:rPr>
        <w:t>第六章  投标技术文件一般要求</w:t>
      </w:r>
      <w:bookmarkEnd w:id="26"/>
    </w:p>
    <w:p>
      <w:pPr>
        <w:pStyle w:val="121"/>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投标技术文件至少应按照招标文件要求（或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建议）列明备品备件、易损件和专用耗材明细。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投标的货物，应当根据其配置和备品备件、易损件、专用耗材情况，尽可能详细且分类填入下表：</w:t>
      </w:r>
    </w:p>
    <w:p>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6.1备品备件、易损件和专用耗材明细表：</w:t>
      </w:r>
    </w:p>
    <w:p>
      <w:pPr>
        <w:adjustRightInd w:val="0"/>
        <w:snapToGrid w:val="0"/>
        <w:spacing w:line="360" w:lineRule="auto"/>
        <w:ind w:firstLine="482" w:firstLineChars="20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宋体" w:hAnsi="宋体" w:eastAsia="宋体" w:cs="宋体"/>
          <w:color w:val="auto"/>
          <w:highlight w:val="none"/>
        </w:rPr>
      </w:pPr>
      <w:r>
        <w:rPr>
          <w:rFonts w:hint="eastAsia" w:ascii="宋体" w:hAnsi="宋体" w:eastAsia="宋体" w:cs="宋体"/>
          <w:color w:val="auto"/>
          <w:highlight w:val="none"/>
        </w:rPr>
        <w:t>备品备件、易损件和专用耗材明细表             单位：元</w:t>
      </w:r>
    </w:p>
    <w:tbl>
      <w:tblPr>
        <w:tblStyle w:val="37"/>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705" w:type="dxa"/>
          </w:tcPr>
          <w:p>
            <w:pPr>
              <w:adjustRightInd w:val="0"/>
              <w:snapToGrid w:val="0"/>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名称</w:t>
            </w:r>
          </w:p>
        </w:tc>
        <w:tc>
          <w:tcPr>
            <w:tcW w:w="1010" w:type="dxa"/>
          </w:tcPr>
          <w:p>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品牌</w:t>
            </w:r>
          </w:p>
        </w:tc>
        <w:tc>
          <w:tcPr>
            <w:tcW w:w="1558" w:type="dxa"/>
          </w:tcPr>
          <w:p>
            <w:pPr>
              <w:adjustRightInd w:val="0"/>
              <w:snapToGrid w:val="0"/>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型号规格</w:t>
            </w:r>
          </w:p>
        </w:tc>
        <w:tc>
          <w:tcPr>
            <w:tcW w:w="793" w:type="dxa"/>
          </w:tcPr>
          <w:p>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单位</w:t>
            </w:r>
          </w:p>
        </w:tc>
        <w:tc>
          <w:tcPr>
            <w:tcW w:w="793" w:type="dxa"/>
          </w:tcPr>
          <w:p>
            <w:pPr>
              <w:adjustRightInd w:val="0"/>
              <w:snapToGrid w:val="0"/>
              <w:spacing w:line="36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单</w:t>
            </w:r>
            <w:r>
              <w:rPr>
                <w:rFonts w:hint="eastAsia" w:ascii="宋体" w:hAnsi="宋体" w:eastAsia="宋体" w:cs="宋体"/>
                <w:color w:val="auto"/>
                <w:highlight w:val="none"/>
              </w:rPr>
              <w:t>价</w:t>
            </w:r>
          </w:p>
        </w:tc>
        <w:tc>
          <w:tcPr>
            <w:tcW w:w="2461" w:type="dxa"/>
          </w:tcPr>
          <w:p>
            <w:pPr>
              <w:adjustRightInd w:val="0"/>
              <w:snapToGrid w:val="0"/>
              <w:spacing w:line="36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pPr>
              <w:adjustRightInd w:val="0"/>
              <w:snapToGrid w:val="0"/>
              <w:spacing w:line="360" w:lineRule="exact"/>
              <w:jc w:val="center"/>
              <w:rPr>
                <w:rFonts w:hint="eastAsia" w:ascii="宋体" w:hAnsi="宋体" w:eastAsia="宋体" w:cs="宋体"/>
                <w:color w:val="auto"/>
                <w:highlight w:val="none"/>
              </w:rPr>
            </w:pPr>
          </w:p>
        </w:tc>
        <w:tc>
          <w:tcPr>
            <w:tcW w:w="1705" w:type="dxa"/>
          </w:tcPr>
          <w:p>
            <w:pPr>
              <w:adjustRightInd w:val="0"/>
              <w:snapToGrid w:val="0"/>
              <w:spacing w:line="360" w:lineRule="exact"/>
              <w:rPr>
                <w:rFonts w:hint="eastAsia" w:ascii="宋体" w:hAnsi="宋体" w:eastAsia="宋体" w:cs="宋体"/>
                <w:color w:val="auto"/>
                <w:highlight w:val="none"/>
              </w:rPr>
            </w:pPr>
          </w:p>
        </w:tc>
        <w:tc>
          <w:tcPr>
            <w:tcW w:w="1010" w:type="dxa"/>
          </w:tcPr>
          <w:p>
            <w:pPr>
              <w:adjustRightInd w:val="0"/>
              <w:snapToGrid w:val="0"/>
              <w:spacing w:line="360" w:lineRule="exact"/>
              <w:rPr>
                <w:rFonts w:hint="eastAsia" w:ascii="宋体" w:hAnsi="宋体" w:eastAsia="宋体" w:cs="宋体"/>
                <w:color w:val="auto"/>
                <w:highlight w:val="none"/>
              </w:rPr>
            </w:pPr>
          </w:p>
        </w:tc>
        <w:tc>
          <w:tcPr>
            <w:tcW w:w="1558"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793" w:type="dxa"/>
          </w:tcPr>
          <w:p>
            <w:pPr>
              <w:adjustRightInd w:val="0"/>
              <w:snapToGrid w:val="0"/>
              <w:spacing w:line="360" w:lineRule="exact"/>
              <w:jc w:val="center"/>
              <w:rPr>
                <w:rFonts w:hint="eastAsia" w:ascii="宋体" w:hAnsi="宋体" w:eastAsia="宋体" w:cs="宋体"/>
                <w:color w:val="auto"/>
                <w:highlight w:val="none"/>
              </w:rPr>
            </w:pPr>
          </w:p>
        </w:tc>
        <w:tc>
          <w:tcPr>
            <w:tcW w:w="2461" w:type="dxa"/>
          </w:tcPr>
          <w:p>
            <w:pPr>
              <w:adjustRightInd w:val="0"/>
              <w:snapToGrid w:val="0"/>
              <w:spacing w:line="360" w:lineRule="exact"/>
              <w:rPr>
                <w:rFonts w:hint="eastAsia" w:ascii="宋体" w:hAnsi="宋体" w:eastAsia="宋体" w:cs="宋体"/>
                <w:color w:val="auto"/>
                <w:highlight w:val="none"/>
              </w:rPr>
            </w:pPr>
          </w:p>
        </w:tc>
      </w:tr>
    </w:tbl>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6.2“开标一览表”和“明细表”仅作为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编制投标技术文件的一般格式。其中序号编写应当便于</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了解分类或分项货物之间的所属关系，如1、1.1、1.2</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6.3应当尽可能将货物的配置列全、列细，这将有助于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胜出</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6.4单价与总价之间、总价与分类小计价之间、分类小计价与合计价之间数据应当齐全而且准确</w:t>
      </w:r>
      <w:r>
        <w:rPr>
          <w:rFonts w:hint="eastAsia" w:ascii="宋体" w:hAnsi="宋体" w:eastAsia="宋体" w:cs="宋体"/>
          <w:color w:val="auto"/>
          <w:sz w:val="24"/>
          <w:szCs w:val="24"/>
          <w:highlight w:val="none"/>
          <w:lang w:eastAsia="zh-CN"/>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  本条款表格中的制造商，应当为全称或公认的简称。</w:t>
      </w:r>
    </w:p>
    <w:p>
      <w:pPr>
        <w:pStyle w:val="121"/>
        <w:spacing w:line="360" w:lineRule="auto"/>
        <w:rPr>
          <w:rFonts w:hint="eastAsia"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投标技术文件中，如未按照要求编写、或者存在漏项和缺项，将有可能造成对</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不必要的误解；必要时，漏项和缺项涉及的费用，将有可能以其它</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中，相同或相似项目的最高价，计入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的投标总报价之内，作为评标的依据之一。</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如果投标总报价与其它价格出现错误或不一致，将有可能导致废标。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投标总报价为自合同签定生效至合同无异议执行完毕涉及的买方需要支付的全部费用。如</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认为本招标及投标货物涉及特需或专门的设计，应当单独列明设计费。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备品备件、易损件和专用耗材，</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将可能与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按照投标价格另行签署供货合同。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要求投标总报价、分项报价、明细报价之间应当具有相互间对应关系以及填报分项和明细报价，仅为便于评标而不妨碍投标人以最合适的形式签署合同。</w:t>
      </w:r>
    </w:p>
    <w:p>
      <w:pPr>
        <w:pStyle w:val="121"/>
        <w:spacing w:line="360" w:lineRule="auto"/>
        <w:rPr>
          <w:rFonts w:hint="eastAsia"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除招标文件明确的验收标准或内容之外，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应当在投标文件中提供预验收（必要时）和终验收的标准以及规程；在合同签定之前，经</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eastAsia="zh-CN"/>
        </w:rPr>
        <w:t>招标人</w:t>
      </w:r>
      <w:r>
        <w:rPr>
          <w:rFonts w:hint="eastAsia" w:ascii="宋体" w:hAnsi="宋体" w:eastAsia="宋体" w:cs="宋体"/>
          <w:color w:val="auto"/>
          <w:sz w:val="24"/>
          <w:szCs w:val="24"/>
          <w:highlight w:val="none"/>
        </w:rPr>
        <w:t>双方洽谈确认并签署，以作为验收标准执行。</w:t>
      </w:r>
    </w:p>
    <w:p>
      <w:pPr>
        <w:pStyle w:val="6"/>
        <w:rPr>
          <w:rFonts w:hint="eastAsia" w:ascii="宋体" w:hAnsi="宋体" w:eastAsia="宋体" w:cs="宋体"/>
          <w:b w:val="0"/>
          <w:color w:val="auto"/>
          <w:sz w:val="24"/>
          <w:szCs w:val="24"/>
          <w:highlight w:val="none"/>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pPr>
        <w:pStyle w:val="134"/>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p>
    <w:p>
      <w:pPr>
        <w:pStyle w:val="121"/>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21"/>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sectPr>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sz w:val="24"/>
          <w:szCs w:val="24"/>
        </w:rPr>
        <w:t>。</w:t>
      </w:r>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pPr>
        <w:jc w:val="center"/>
        <w:outlineLvl w:val="9"/>
        <w:rPr>
          <w:sz w:val="11"/>
          <w:szCs w:val="15"/>
        </w:rPr>
      </w:pPr>
      <w:r>
        <w:rPr>
          <w:rFonts w:hint="eastAsia" w:ascii="方正小标宋简体" w:hAnsi="宋体" w:eastAsia="方正小标宋简体"/>
          <w:sz w:val="22"/>
          <w:szCs w:val="16"/>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sectPr>
          <w:footerReference r:id="rId12" w:type="default"/>
          <w:pgSz w:w="11907" w:h="16840"/>
          <w:pgMar w:top="1304" w:right="1418" w:bottom="1304" w:left="1418" w:header="724" w:footer="851" w:gutter="0"/>
          <w:cols w:space="720" w:num="1"/>
          <w:docGrid w:linePitch="290" w:charSpace="-3931"/>
        </w:sect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bookmarkEnd w:id="17"/>
    <w:bookmarkEnd w:id="18"/>
    <w:p>
      <w:pPr>
        <w:spacing w:line="360" w:lineRule="auto"/>
        <w:ind w:right="480"/>
        <w:rPr>
          <w:rFonts w:ascii="宋体" w:hAnsi="宋体" w:cs="宋体"/>
          <w:bCs/>
          <w:sz w:val="24"/>
          <w:u w:val="single"/>
        </w:rPr>
      </w:pPr>
      <w:bookmarkStart w:id="27" w:name="_Toc28859"/>
    </w:p>
    <w:p>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28" w:name="_Toc24623"/>
      <w:bookmarkStart w:id="29" w:name="_Toc5379"/>
      <w:bookmarkStart w:id="30" w:name="_Toc25120"/>
      <w:bookmarkStart w:id="31" w:name="_Toc16330037"/>
      <w:bookmarkStart w:id="32" w:name="_Toc3778"/>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6"/>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6"/>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6"/>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等线" w:hAnsi="等线" w:eastAsia="等线" w:cs="等线"/>
          <w:sz w:val="20"/>
          <w:szCs w:val="20"/>
        </w:rPr>
      </w:pPr>
      <w:r>
        <w:rPr>
          <w:rFonts w:hint="eastAsia" w:ascii="等线" w:hAnsi="等线" w:eastAsia="等线" w:cs="等线"/>
          <w:sz w:val="20"/>
          <w:szCs w:val="20"/>
        </w:rPr>
        <w:br w:type="page"/>
      </w:r>
    </w:p>
    <w:p>
      <w:pPr>
        <w:pStyle w:val="6"/>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28"/>
      <w:bookmarkEnd w:id="29"/>
      <w:bookmarkEnd w:id="30"/>
      <w:bookmarkEnd w:id="31"/>
      <w:bookmarkEnd w:id="32"/>
      <w:r>
        <w:rPr>
          <w:rFonts w:hint="eastAsia" w:ascii="黑体" w:hAnsi="黑体" w:eastAsia="黑体" w:cs="等线"/>
          <w:b w:val="0"/>
          <w:sz w:val="28"/>
          <w:szCs w:val="28"/>
        </w:rPr>
        <w:t>技术协议书</w:t>
      </w:r>
    </w:p>
    <w:p>
      <w:pPr>
        <w:ind w:right="360"/>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r>
        <w:rPr>
          <w:rFonts w:hint="eastAsia" w:ascii="等线" w:hAnsi="等线" w:eastAsia="等线" w:cs="等线"/>
          <w:sz w:val="20"/>
          <w:szCs w:val="20"/>
        </w:rPr>
        <w:t xml:space="preserve">                                      </w:t>
      </w:r>
    </w:p>
    <w:p>
      <w:pPr>
        <w:jc w:val="right"/>
        <w:rPr>
          <w:rFonts w:ascii="等线" w:hAnsi="等线" w:eastAsia="等线" w:cs="等线"/>
          <w:sz w:val="20"/>
          <w:szCs w:val="20"/>
        </w:rPr>
      </w:pPr>
    </w:p>
    <w:p>
      <w:pPr>
        <w:wordWrap w:val="0"/>
        <w:ind w:right="480"/>
        <w:rPr>
          <w:rFonts w:ascii="等线" w:hAnsi="等线" w:eastAsia="等线" w:cs="等线"/>
          <w:sz w:val="20"/>
          <w:szCs w:val="20"/>
        </w:rPr>
      </w:pPr>
    </w:p>
    <w:p>
      <w:pPr>
        <w:jc w:val="right"/>
        <w:rPr>
          <w:rFonts w:ascii="楷体_GB2312" w:hAnsi="宋体" w:eastAsia="楷体_GB2312"/>
          <w:sz w:val="24"/>
        </w:rPr>
      </w:pPr>
    </w:p>
    <w:p>
      <w:pPr>
        <w:ind w:right="480"/>
        <w:jc w:val="center"/>
        <w:rPr>
          <w:sz w:val="24"/>
          <w:szCs w:val="24"/>
        </w:rPr>
      </w:pPr>
      <w:r>
        <w:rPr>
          <w:rFonts w:hint="eastAsia" w:ascii="楷体_GB2312" w:hAnsi="宋体" w:eastAsia="楷体_GB2312"/>
          <w:sz w:val="24"/>
        </w:rPr>
        <w:t xml:space="preserve">                                    </w:t>
      </w:r>
    </w:p>
    <w:p>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spacing w:line="240" w:lineRule="auto"/>
        <w:rPr>
          <w:rFonts w:hint="eastAsia" w:eastAsia="仿宋" w:cs="Times New Roman"/>
          <w:b/>
          <w:szCs w:val="21"/>
        </w:rPr>
      </w:pPr>
    </w:p>
    <w:bookmarkEnd w:id="27"/>
    <w:p>
      <w:pPr>
        <w:keepNext w:val="0"/>
        <w:keepLines w:val="0"/>
        <w:jc w:val="left"/>
        <w:outlineLvl w:val="9"/>
        <w:rPr>
          <w:rFonts w:hint="eastAsia" w:ascii="Calibri" w:hAnsi="Calibri" w:eastAsia="宋体" w:cs="Times New Roman"/>
          <w:b/>
          <w:bCs/>
          <w:kern w:val="44"/>
          <w:sz w:val="36"/>
          <w:szCs w:val="44"/>
        </w:rPr>
      </w:pPr>
      <w:bookmarkStart w:id="33" w:name="_Toc29691"/>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outlineLvl w:val="9"/>
        <w:rPr>
          <w:rFonts w:ascii="Times New Roman" w:hAnsi="Times New Roman"/>
          <w:color w:val="000000"/>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4" w:name="_Toc639004"/>
      <w:bookmarkStart w:id="35" w:name="_Toc353881012"/>
      <w:bookmarkStart w:id="36" w:name="_Toc25811"/>
      <w:bookmarkStart w:id="37"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4"/>
      <w:bookmarkEnd w:id="35"/>
      <w:bookmarkEnd w:id="36"/>
      <w:bookmarkEnd w:id="37"/>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fldChar w:fldCharType="begin"/>
      </w:r>
      <w:r>
        <w:rPr>
          <w:rFonts w:hint="eastAsia" w:ascii="宋体" w:hAnsi="宋体" w:eastAsia="宋体" w:cs="Times New Roman"/>
          <w:color w:val="000000"/>
          <w:sz w:val="24"/>
          <w:szCs w:val="24"/>
          <w:u w:val="single"/>
        </w:rPr>
        <w:instrText xml:space="preserve"> HYPERLINK "javascript:void(0);" \o "产品试验检测中心离合器压盘总成综合性能试验台技改项目" </w:instrText>
      </w:r>
      <w:r>
        <w:rPr>
          <w:rFonts w:hint="eastAsia" w:ascii="宋体" w:hAnsi="宋体" w:eastAsia="宋体" w:cs="Times New Roman"/>
          <w:color w:val="000000"/>
          <w:sz w:val="24"/>
          <w:szCs w:val="24"/>
          <w:u w:val="single"/>
        </w:rPr>
        <w:fldChar w:fldCharType="separate"/>
      </w:r>
      <w:r>
        <w:rPr>
          <w:rFonts w:hint="eastAsia" w:ascii="宋体" w:hAnsi="宋体" w:eastAsia="宋体" w:cs="Times New Roman"/>
          <w:color w:val="000000"/>
          <w:sz w:val="24"/>
          <w:szCs w:val="24"/>
          <w:u w:val="single"/>
        </w:rPr>
        <w:t>产品试验检测中心离合器压盘总成综合性能试验台技改项目</w:t>
      </w:r>
      <w:r>
        <w:rPr>
          <w:rFonts w:hint="eastAsia" w:ascii="宋体" w:hAnsi="宋体" w:eastAsia="宋体" w:cs="Times New Roman"/>
          <w:color w:val="000000"/>
          <w:sz w:val="24"/>
          <w:szCs w:val="24"/>
          <w:u w:val="single"/>
        </w:rPr>
        <w:fldChar w:fldCharType="end"/>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ascii="宋体" w:hAnsi="宋体" w:eastAsia="宋体" w:cs="Times New Roman"/>
          <w:b/>
          <w:bCs/>
          <w:color w:val="000000"/>
          <w:sz w:val="24"/>
          <w:szCs w:val="24"/>
          <w:u w:val="single"/>
        </w:rPr>
        <w:fldChar w:fldCharType="begin"/>
      </w:r>
      <w:r>
        <w:rPr>
          <w:rFonts w:ascii="宋体" w:hAnsi="宋体" w:eastAsia="宋体" w:cs="Times New Roman"/>
          <w:b/>
          <w:bCs/>
          <w:color w:val="000000"/>
          <w:sz w:val="24"/>
          <w:szCs w:val="24"/>
          <w:u w:val="single"/>
        </w:rPr>
        <w:instrText xml:space="preserve"> HYPERLINK "javascript:void(0);" \o "产品试验检测中心离合器压盘总成综合性能试验台技改项目" </w:instrText>
      </w:r>
      <w:r>
        <w:rPr>
          <w:rFonts w:ascii="宋体" w:hAnsi="宋体" w:eastAsia="宋体" w:cs="Times New Roman"/>
          <w:b/>
          <w:bCs/>
          <w:color w:val="000000"/>
          <w:sz w:val="24"/>
          <w:szCs w:val="24"/>
          <w:u w:val="single"/>
        </w:rPr>
        <w:fldChar w:fldCharType="separate"/>
      </w:r>
      <w:r>
        <w:rPr>
          <w:rFonts w:hint="eastAsia" w:ascii="宋体" w:hAnsi="宋体" w:eastAsia="宋体" w:cs="Times New Roman"/>
          <w:b/>
          <w:bCs/>
          <w:color w:val="000000"/>
          <w:sz w:val="24"/>
          <w:szCs w:val="24"/>
          <w:u w:val="single"/>
        </w:rPr>
        <w:t>产品试验检测中心离合器压盘总成综合性能试验台技改项目</w:t>
      </w:r>
      <w:r>
        <w:rPr>
          <w:rFonts w:hint="eastAsia" w:ascii="宋体" w:hAnsi="宋体" w:eastAsia="宋体" w:cs="Times New Roman"/>
          <w:b/>
          <w:bCs/>
          <w:color w:val="000000"/>
          <w:sz w:val="24"/>
          <w:szCs w:val="24"/>
          <w:u w:val="single"/>
        </w:rPr>
        <w:fldChar w:fldCharType="end"/>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b/>
          <w:bCs/>
          <w:color w:val="000000"/>
          <w:sz w:val="24"/>
          <w:szCs w:val="24"/>
          <w:u w:val="single"/>
        </w:rPr>
        <w:t>CGZX2025090127</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7"/>
              <w:keepNext w:val="0"/>
              <w:keepLines w:val="0"/>
              <w:widowControl/>
              <w:shd w:val="clear" w:color="auto" w:fill="FFFFFF"/>
              <w:spacing w:before="0" w:after="0" w:line="450" w:lineRule="atLeast"/>
              <w:rPr>
                <w:rFonts w:ascii="宋体" w:hAnsi="宋体" w:cs="宋体"/>
                <w:color w:val="000000"/>
              </w:rPr>
            </w:pPr>
          </w:p>
        </w:tc>
        <w:tc>
          <w:tcPr>
            <w:tcW w:w="1310" w:type="dxa"/>
          </w:tcPr>
          <w:p>
            <w:pPr>
              <w:pStyle w:val="133"/>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fldChar w:fldCharType="begin"/>
      </w:r>
      <w:r>
        <w:rPr>
          <w:rFonts w:hint="eastAsia" w:ascii="宋体" w:hAnsi="宋体" w:eastAsia="宋体" w:cs="Times New Roman"/>
          <w:sz w:val="24"/>
          <w:szCs w:val="20"/>
          <w:u w:val="single"/>
        </w:rPr>
        <w:instrText xml:space="preserve"> HYPERLINK "javascript:void(0);" \o "产品试验检测中心离合器压盘总成综合性能试验台技改项目" </w:instrText>
      </w:r>
      <w:r>
        <w:rPr>
          <w:rFonts w:hint="eastAsia" w:ascii="宋体" w:hAnsi="宋体" w:eastAsia="宋体" w:cs="Times New Roman"/>
          <w:sz w:val="24"/>
          <w:szCs w:val="20"/>
          <w:u w:val="single"/>
        </w:rPr>
        <w:fldChar w:fldCharType="separate"/>
      </w:r>
      <w:r>
        <w:rPr>
          <w:rFonts w:hint="eastAsia" w:ascii="宋体" w:hAnsi="宋体" w:eastAsia="宋体" w:cs="Times New Roman"/>
          <w:sz w:val="24"/>
          <w:szCs w:val="20"/>
          <w:u w:val="single"/>
        </w:rPr>
        <w:t>产品试验检测中心离合器压盘总成综合性能试验台技改项目</w:t>
      </w:r>
      <w:r>
        <w:rPr>
          <w:rFonts w:hint="eastAsia" w:ascii="宋体" w:hAnsi="宋体" w:eastAsia="宋体" w:cs="Times New Roman"/>
          <w:sz w:val="24"/>
          <w:szCs w:val="20"/>
          <w:u w:val="single"/>
        </w:rPr>
        <w:fldChar w:fldCharType="end"/>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fldChar w:fldCharType="begin"/>
      </w:r>
      <w:r>
        <w:rPr>
          <w:rFonts w:hint="eastAsia" w:ascii="宋体" w:hAnsi="宋体" w:eastAsia="宋体" w:cs="Times New Roman"/>
          <w:color w:val="000000"/>
          <w:sz w:val="24"/>
          <w:szCs w:val="24"/>
          <w:u w:val="single"/>
        </w:rPr>
        <w:instrText xml:space="preserve"> HYPERLINK "javascript:void(0);" \o "产品试验检测中心离合器压盘总成综合性能试验台技改项目" </w:instrText>
      </w:r>
      <w:r>
        <w:rPr>
          <w:rFonts w:hint="eastAsia" w:ascii="宋体" w:hAnsi="宋体" w:eastAsia="宋体" w:cs="Times New Roman"/>
          <w:color w:val="000000"/>
          <w:sz w:val="24"/>
          <w:szCs w:val="24"/>
          <w:u w:val="single"/>
        </w:rPr>
        <w:fldChar w:fldCharType="separate"/>
      </w:r>
      <w:r>
        <w:rPr>
          <w:rFonts w:hint="eastAsia" w:ascii="宋体" w:hAnsi="宋体" w:eastAsia="宋体" w:cs="Times New Roman"/>
          <w:color w:val="000000"/>
          <w:sz w:val="24"/>
          <w:szCs w:val="24"/>
          <w:u w:val="single"/>
        </w:rPr>
        <w:t>产品试验检测中心离合器压盘总成综合性能试验台技改项目</w:t>
      </w:r>
      <w:r>
        <w:rPr>
          <w:rFonts w:hint="eastAsia" w:ascii="宋体" w:hAnsi="宋体" w:eastAsia="宋体" w:cs="Times New Roman"/>
          <w:color w:val="000000"/>
          <w:sz w:val="24"/>
          <w:szCs w:val="24"/>
          <w:u w:val="single"/>
        </w:rPr>
        <w:fldChar w:fldCharType="end"/>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子系统关键组成部分</w:t>
            </w:r>
          </w:p>
        </w:tc>
        <w:tc>
          <w:tcPr>
            <w:tcW w:w="1188"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line="240" w:lineRule="auto"/>
              <w:jc w:val="center"/>
              <w:rPr>
                <w:rFonts w:hint="eastAsia" w:ascii="宋体" w:hAnsi="宋体" w:eastAsia="宋体" w:cs="宋体"/>
                <w:color w:val="000000"/>
                <w:kern w:val="0"/>
                <w:szCs w:val="21"/>
              </w:rPr>
            </w:pPr>
          </w:p>
        </w:tc>
        <w:tc>
          <w:tcPr>
            <w:tcW w:w="4101" w:type="dxa"/>
            <w:vAlign w:val="center"/>
          </w:tcPr>
          <w:p>
            <w:pPr>
              <w:spacing w:line="240" w:lineRule="auto"/>
              <w:jc w:val="center"/>
              <w:rPr>
                <w:rFonts w:hint="default" w:eastAsia="宋体"/>
                <w:sz w:val="21"/>
                <w:szCs w:val="21"/>
                <w:lang w:val="en-US" w:eastAsia="zh-CN"/>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pPr>
              <w:spacing w:line="420" w:lineRule="exact"/>
              <w:jc w:val="center"/>
              <w:rPr>
                <w:rFonts w:hint="default" w:eastAsia="宋体"/>
                <w:sz w:val="21"/>
                <w:szCs w:val="21"/>
                <w:lang w:val="en-US" w:eastAsia="zh-CN"/>
              </w:rPr>
            </w:pPr>
          </w:p>
        </w:tc>
        <w:tc>
          <w:tcPr>
            <w:tcW w:w="672" w:type="dxa"/>
          </w:tcPr>
          <w:p>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等线" w:hAnsi="等线" w:eastAsia="等线" w:cs="宋体"/>
                <w:kern w:val="2"/>
                <w:sz w:val="21"/>
                <w:szCs w:val="22"/>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line="240" w:lineRule="auto"/>
              <w:jc w:val="center"/>
              <w:rPr>
                <w:rFonts w:hint="eastAsia" w:ascii="宋体" w:hAnsi="宋体"/>
                <w:b/>
                <w:bCs/>
                <w:szCs w:val="21"/>
                <w:lang w:val="en-US" w:eastAsia="zh-CN"/>
              </w:rPr>
            </w:pPr>
          </w:p>
        </w:tc>
        <w:tc>
          <w:tcPr>
            <w:tcW w:w="4101" w:type="dxa"/>
            <w:vAlign w:val="center"/>
          </w:tcPr>
          <w:p>
            <w:pPr>
              <w:spacing w:line="240" w:lineRule="auto"/>
              <w:jc w:val="center"/>
              <w:rPr>
                <w:rFonts w:hint="eastAsia" w:ascii="宋体" w:hAnsi="宋体"/>
                <w:b/>
                <w:bCs/>
                <w:szCs w:val="21"/>
                <w:lang w:val="en-US" w:eastAsia="zh-CN"/>
              </w:rPr>
            </w:pPr>
          </w:p>
        </w:tc>
        <w:tc>
          <w:tcPr>
            <w:tcW w:w="1188" w:type="dxa"/>
            <w:vAlign w:val="center"/>
          </w:tcPr>
          <w:p>
            <w:pPr>
              <w:spacing w:line="240" w:lineRule="auto"/>
              <w:jc w:val="center"/>
              <w:rPr>
                <w:rFonts w:hint="eastAsia" w:ascii="宋体" w:hAnsi="宋体"/>
                <w:b/>
                <w:bCs/>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line="240" w:lineRule="auto"/>
              <w:jc w:val="center"/>
              <w:rPr>
                <w:rFonts w:hint="eastAsia" w:ascii="宋体" w:hAnsi="宋体"/>
                <w:b/>
                <w:bCs/>
                <w:szCs w:val="21"/>
              </w:rPr>
            </w:pPr>
          </w:p>
        </w:tc>
        <w:tc>
          <w:tcPr>
            <w:tcW w:w="769" w:type="dxa"/>
            <w:vAlign w:val="center"/>
          </w:tcPr>
          <w:p>
            <w:pPr>
              <w:spacing w:line="240" w:lineRule="auto"/>
              <w:jc w:val="center"/>
              <w:rPr>
                <w:rFonts w:hint="eastAsia" w:ascii="宋体" w:hAnsi="宋体"/>
                <w:b/>
                <w:bCs/>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sz w:val="21"/>
                <w:szCs w:val="21"/>
                <w:highlight w:val="none"/>
                <w:lang w:val="en-US" w:eastAsia="zh-CN"/>
              </w:rPr>
            </w:pPr>
          </w:p>
        </w:tc>
        <w:tc>
          <w:tcPr>
            <w:tcW w:w="672" w:type="dxa"/>
            <w:vAlign w:val="center"/>
          </w:tcPr>
          <w:p>
            <w:pPr>
              <w:pStyle w:val="17"/>
              <w:jc w:val="center"/>
              <w:rPr>
                <w:rFonts w:hint="eastAsia"/>
                <w:lang w:val="en-US" w:eastAsia="zh-CN"/>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r>
    </w:tbl>
    <w:p>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spacing w:val="-6"/>
          <w:szCs w:val="21"/>
          <w:lang w:val="en-US" w:eastAsia="zh-CN"/>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fldChar w:fldCharType="begin"/>
      </w:r>
      <w:r>
        <w:rPr>
          <w:rFonts w:hint="eastAsia" w:ascii="宋体" w:hAnsi="宋体" w:eastAsia="宋体" w:cs="Times New Roman"/>
          <w:color w:val="000000"/>
          <w:sz w:val="24"/>
          <w:szCs w:val="24"/>
          <w:highlight w:val="none"/>
          <w:u w:val="single"/>
        </w:rPr>
        <w:instrText xml:space="preserve"> HYPERLINK "javascript:void(0);" \o "产品试验检测中心离合器压盘总成综合性能试验台技改项目" </w:instrText>
      </w:r>
      <w:r>
        <w:rPr>
          <w:rFonts w:hint="eastAsia" w:ascii="宋体" w:hAnsi="宋体" w:eastAsia="宋体" w:cs="Times New Roman"/>
          <w:color w:val="000000"/>
          <w:sz w:val="24"/>
          <w:szCs w:val="24"/>
          <w:highlight w:val="none"/>
          <w:u w:val="single"/>
        </w:rPr>
        <w:fldChar w:fldCharType="separate"/>
      </w:r>
      <w:r>
        <w:rPr>
          <w:rFonts w:hint="eastAsia" w:ascii="宋体" w:hAnsi="宋体" w:eastAsia="宋体" w:cs="Times New Roman"/>
          <w:color w:val="000000"/>
          <w:sz w:val="24"/>
          <w:szCs w:val="24"/>
          <w:highlight w:val="none"/>
          <w:u w:val="single"/>
        </w:rPr>
        <w:t>产品试验检测中心离合器压盘总成综合性能试验台技改项目</w:t>
      </w:r>
      <w:r>
        <w:rPr>
          <w:rFonts w:hint="eastAsia" w:ascii="宋体" w:hAnsi="宋体" w:eastAsia="宋体" w:cs="Times New Roman"/>
          <w:color w:val="000000"/>
          <w:sz w:val="24"/>
          <w:szCs w:val="24"/>
          <w:highlight w:val="none"/>
          <w:u w:val="single"/>
        </w:rPr>
        <w:fldChar w:fldCharType="end"/>
      </w:r>
      <w:r>
        <w:rPr>
          <w:rFonts w:ascii="宋体" w:hAnsi="宋体" w:eastAsia="宋体" w:cs="Times New Roman"/>
          <w:color w:val="000000"/>
          <w:sz w:val="24"/>
          <w:szCs w:val="24"/>
        </w:rPr>
        <w:t xml:space="preserve">  </w:t>
      </w:r>
    </w:p>
    <w:p>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lang w:val="en-US" w:eastAsia="zh-CN"/>
        </w:rPr>
        <w:t>***项目</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lang w:val="en-US" w:eastAsia="zh-CN"/>
              </w:rPr>
              <w:t xml:space="preserve"> 2022</w:t>
            </w:r>
            <w:r>
              <w:rPr>
                <w:rFonts w:ascii="宋体" w:hAnsi="宋体" w:eastAsia="宋体" w:cs="宋体"/>
                <w:sz w:val="24"/>
                <w:szCs w:val="24"/>
                <w:highlight w:val="yellow"/>
              </w:rPr>
              <w:t>年</w:t>
            </w:r>
            <w:r>
              <w:rPr>
                <w:rFonts w:hint="eastAsia" w:ascii="宋体" w:hAnsi="宋体" w:eastAsia="宋体" w:cs="宋体"/>
                <w:sz w:val="24"/>
                <w:szCs w:val="24"/>
                <w:highlight w:val="yellow"/>
                <w:lang w:val="en-US" w:eastAsia="zh-CN"/>
              </w:rPr>
              <w:t xml:space="preserve"> 1</w:t>
            </w:r>
            <w:r>
              <w:rPr>
                <w:rFonts w:ascii="宋体" w:hAnsi="宋体" w:eastAsia="宋体" w:cs="宋体"/>
                <w:sz w:val="24"/>
                <w:szCs w:val="24"/>
                <w:highlight w:val="yellow"/>
              </w:rPr>
              <w:t>月</w:t>
            </w:r>
            <w:r>
              <w:rPr>
                <w:rFonts w:hint="eastAsia" w:ascii="宋体" w:hAnsi="宋体" w:eastAsia="宋体" w:cs="宋体"/>
                <w:sz w:val="24"/>
                <w:szCs w:val="24"/>
                <w:highlight w:val="yellow"/>
                <w:lang w:val="en-US" w:eastAsia="zh-CN"/>
              </w:rPr>
              <w:t xml:space="preserve"> 1</w:t>
            </w:r>
            <w:r>
              <w:rPr>
                <w:rFonts w:ascii="宋体" w:hAnsi="宋体" w:eastAsia="宋体" w:cs="宋体"/>
                <w:sz w:val="24"/>
                <w:szCs w:val="24"/>
                <w:highlight w:val="yellow"/>
              </w:rPr>
              <w:t>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自</w:t>
      </w:r>
      <w:r>
        <w:rPr>
          <w:rFonts w:hint="eastAsia" w:ascii="宋体" w:hAnsi="宋体" w:eastAsia="宋体" w:cs="宋体"/>
          <w:kern w:val="0"/>
          <w:sz w:val="24"/>
          <w:szCs w:val="20"/>
          <w:highlight w:val="yellow"/>
          <w:lang w:val="en-US" w:eastAsia="zh-CN"/>
        </w:rPr>
        <w:t xml:space="preserve"> 2022</w:t>
      </w:r>
      <w:r>
        <w:rPr>
          <w:rFonts w:hint="eastAsia" w:ascii="宋体" w:hAnsi="宋体" w:eastAsia="宋体" w:cs="宋体"/>
          <w:kern w:val="0"/>
          <w:sz w:val="24"/>
          <w:szCs w:val="20"/>
          <w:highlight w:val="yellow"/>
        </w:rPr>
        <w:t>年</w:t>
      </w:r>
      <w:r>
        <w:rPr>
          <w:rFonts w:hint="eastAsia" w:ascii="宋体" w:hAnsi="宋体" w:eastAsia="宋体" w:cs="宋体"/>
          <w:kern w:val="0"/>
          <w:sz w:val="24"/>
          <w:szCs w:val="20"/>
          <w:highlight w:val="yellow"/>
          <w:lang w:val="en-US" w:eastAsia="zh-CN"/>
        </w:rPr>
        <w:t xml:space="preserve"> 1</w:t>
      </w:r>
      <w:r>
        <w:rPr>
          <w:rFonts w:hint="eastAsia" w:ascii="宋体" w:hAnsi="宋体" w:eastAsia="宋体" w:cs="宋体"/>
          <w:kern w:val="0"/>
          <w:sz w:val="24"/>
          <w:szCs w:val="20"/>
          <w:highlight w:val="yellow"/>
        </w:rPr>
        <w:t>月</w:t>
      </w:r>
      <w:r>
        <w:rPr>
          <w:rFonts w:hint="eastAsia" w:ascii="宋体" w:hAnsi="宋体" w:eastAsia="宋体" w:cs="宋体"/>
          <w:kern w:val="0"/>
          <w:sz w:val="24"/>
          <w:szCs w:val="20"/>
          <w:highlight w:val="yellow"/>
          <w:lang w:val="en-US" w:eastAsia="zh-CN"/>
        </w:rPr>
        <w:t xml:space="preserve"> 1</w:t>
      </w:r>
      <w:r>
        <w:rPr>
          <w:rFonts w:hint="eastAsia" w:ascii="宋体" w:hAnsi="宋体" w:eastAsia="宋体" w:cs="宋体"/>
          <w:kern w:val="0"/>
          <w:sz w:val="24"/>
          <w:szCs w:val="20"/>
          <w:highlight w:val="yellow"/>
        </w:rPr>
        <w:t>日至今</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ascii="宋体" w:hAnsi="宋体" w:eastAsia="宋体" w:cs="Times New Roman"/>
          <w:sz w:val="24"/>
          <w:szCs w:val="20"/>
          <w:u w:val="single"/>
        </w:rPr>
        <w:fldChar w:fldCharType="begin"/>
      </w:r>
      <w:r>
        <w:rPr>
          <w:rFonts w:ascii="宋体" w:hAnsi="宋体" w:eastAsia="宋体" w:cs="Times New Roman"/>
          <w:sz w:val="24"/>
          <w:szCs w:val="20"/>
          <w:u w:val="single"/>
        </w:rPr>
        <w:instrText xml:space="preserve"> HYPERLINK "javascript:void(0);" \o "产品试验检测中心离合器压盘总成综合性能试验台技改项目" </w:instrText>
      </w:r>
      <w:r>
        <w:rPr>
          <w:rFonts w:ascii="宋体" w:hAnsi="宋体" w:eastAsia="宋体" w:cs="Times New Roman"/>
          <w:sz w:val="24"/>
          <w:szCs w:val="20"/>
          <w:u w:val="single"/>
        </w:rPr>
        <w:fldChar w:fldCharType="separate"/>
      </w:r>
      <w:r>
        <w:rPr>
          <w:rFonts w:hint="eastAsia" w:ascii="宋体" w:hAnsi="宋体" w:eastAsia="宋体" w:cs="Times New Roman"/>
          <w:sz w:val="24"/>
          <w:szCs w:val="20"/>
          <w:u w:val="single"/>
        </w:rPr>
        <w:t>产品试验检测中心离合器压盘总成综合性能试验台技改项目</w:t>
      </w:r>
      <w:r>
        <w:rPr>
          <w:rFonts w:hint="eastAsia" w:ascii="宋体" w:hAnsi="宋体" w:eastAsia="宋体" w:cs="Times New Roman"/>
          <w:sz w:val="24"/>
          <w:szCs w:val="20"/>
          <w:u w:val="single"/>
        </w:rPr>
        <w:fldChar w:fldCharType="end"/>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fldChar w:fldCharType="begin"/>
      </w:r>
      <w:r>
        <w:rPr>
          <w:rFonts w:hint="eastAsia" w:ascii="宋体" w:hAnsi="宋体" w:eastAsia="宋体" w:cs="Times New Roman"/>
          <w:color w:val="000000"/>
          <w:sz w:val="24"/>
          <w:szCs w:val="24"/>
          <w:u w:val="single"/>
        </w:rPr>
        <w:instrText xml:space="preserve"> HYPERLINK "javascript:void(0);" \o "产品试验检测中心离合器压盘总成综合性能试验台技改项目" </w:instrText>
      </w:r>
      <w:r>
        <w:rPr>
          <w:rFonts w:hint="eastAsia" w:ascii="宋体" w:hAnsi="宋体" w:eastAsia="宋体" w:cs="Times New Roman"/>
          <w:color w:val="000000"/>
          <w:sz w:val="24"/>
          <w:szCs w:val="24"/>
          <w:u w:val="single"/>
        </w:rPr>
        <w:fldChar w:fldCharType="separate"/>
      </w:r>
      <w:r>
        <w:rPr>
          <w:rFonts w:hint="eastAsia" w:ascii="宋体" w:hAnsi="宋体" w:eastAsia="宋体" w:cs="Times New Roman"/>
          <w:color w:val="000000"/>
          <w:sz w:val="24"/>
          <w:szCs w:val="24"/>
          <w:u w:val="single"/>
        </w:rPr>
        <w:t>产品试验检测中心离合器压盘总成综合性能试验台技改项目</w:t>
      </w:r>
      <w:r>
        <w:rPr>
          <w:rFonts w:hint="eastAsia" w:ascii="宋体" w:hAnsi="宋体" w:eastAsia="宋体" w:cs="Times New Roman"/>
          <w:color w:val="000000"/>
          <w:sz w:val="24"/>
          <w:szCs w:val="24"/>
          <w:u w:val="single"/>
        </w:rPr>
        <w:fldChar w:fldCharType="end"/>
      </w:r>
      <w:r>
        <w:rPr>
          <w:rFonts w:ascii="宋体" w:hAnsi="宋体" w:eastAsia="宋体" w:cs="Times New Roman"/>
          <w:color w:val="000000"/>
          <w:sz w:val="24"/>
          <w:szCs w:val="24"/>
        </w:rPr>
        <w:t xml:space="preserve">                                                        </w:t>
      </w:r>
    </w:p>
    <w:tbl>
      <w:tblPr>
        <w:tblStyle w:val="37"/>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产品试验检测中心离合器压盘总成综合性能试验台技改项目</w:t>
            </w:r>
          </w:p>
        </w:tc>
        <w:tc>
          <w:tcPr>
            <w:tcW w:w="582" w:type="dxa"/>
            <w:vAlign w:val="center"/>
          </w:tcPr>
          <w:p>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r>
              <w:rPr>
                <w:rFonts w:hint="eastAsia" w:ascii="宋体" w:hAnsi="宋体" w:eastAsia="宋体" w:cs="宋体"/>
                <w:b/>
                <w:bCs w:val="0"/>
                <w:u w:val="single"/>
                <w:lang w:val="en-US" w:eastAsia="zh-CN"/>
              </w:rPr>
              <w:t xml:space="preserve">      </w:t>
            </w:r>
          </w:p>
          <w:p>
            <w:pPr>
              <w:pStyle w:val="6"/>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lang w:val="en-US" w:eastAsia="zh-CN"/>
              </w:rPr>
              <w:t>汇率：</w:t>
            </w:r>
            <w:r>
              <w:rPr>
                <w:rFonts w:hint="eastAsia" w:ascii="宋体" w:hAnsi="宋体" w:eastAsia="宋体" w:cs="宋体"/>
                <w:b/>
                <w:bCs w:val="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折算人民币：</w:t>
            </w:r>
            <w:r>
              <w:rPr>
                <w:rFonts w:hint="eastAsia" w:ascii="宋体" w:hAnsi="宋体" w:eastAsia="宋体" w:cs="宋体"/>
                <w:b/>
                <w:bCs w:val="0"/>
                <w:u w:val="single"/>
                <w:lang w:val="en-US" w:eastAsia="zh-CN"/>
              </w:rPr>
              <w:t xml:space="preserve">     </w:t>
            </w:r>
          </w:p>
          <w:p>
            <w:pPr>
              <w:rPr>
                <w:rFonts w:hint="eastAsia" w:ascii="宋体" w:hAnsi="宋体" w:eastAsia="宋体" w:cs="宋体"/>
                <w:b/>
                <w:bCs w:val="0"/>
                <w:lang w:eastAsia="zh-CN"/>
              </w:rPr>
            </w:pPr>
          </w:p>
        </w:tc>
        <w:tc>
          <w:tcPr>
            <w:tcW w:w="1844" w:type="dxa"/>
            <w:vAlign w:val="center"/>
          </w:tcPr>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含税价格：</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lang w:val="en-US" w:eastAsia="zh-CN"/>
              </w:rPr>
            </w:pPr>
            <w:r>
              <w:rPr>
                <w:rFonts w:hint="eastAsia" w:ascii="宋体" w:hAnsi="宋体" w:eastAsia="宋体" w:cs="宋体"/>
                <w:b/>
                <w:bCs w:val="0"/>
                <w:szCs w:val="20"/>
              </w:rPr>
              <w:t>不含税价：</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税率：</w:t>
            </w:r>
            <w:r>
              <w:rPr>
                <w:rFonts w:hint="eastAsia" w:ascii="宋体" w:hAnsi="宋体" w:eastAsia="宋体" w:cs="宋体"/>
                <w:b/>
                <w:bCs w:val="0"/>
                <w:szCs w:val="20"/>
                <w:u w:val="single"/>
                <w:lang w:val="en-US" w:eastAsia="zh-CN"/>
              </w:rPr>
              <w:t xml:space="preserve">    </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pPr>
        <w:pStyle w:val="17"/>
        <w:rPr>
          <w:rFonts w:hAnsi="宋体" w:eastAsia="宋体" w:cs="Times New Roman"/>
          <w:b/>
          <w:bCs/>
          <w:szCs w:val="21"/>
          <w:highlight w:val="yellow"/>
        </w:rPr>
      </w:pPr>
      <w:r>
        <w:rPr>
          <w:rFonts w:hint="eastAsia" w:hAnsi="宋体" w:eastAsia="宋体" w:cs="Times New Roman"/>
          <w:b/>
          <w:bCs/>
          <w:szCs w:val="21"/>
          <w:highlight w:val="yellow"/>
          <w:lang w:val="en-US" w:eastAsia="zh-CN"/>
        </w:rPr>
        <w:t>5.</w:t>
      </w:r>
      <w:r>
        <w:rPr>
          <w:rFonts w:hint="eastAsia" w:hAnsi="宋体" w:eastAsia="宋体" w:cs="Times New Roman"/>
          <w:b/>
          <w:bCs/>
          <w:szCs w:val="21"/>
          <w:highlight w:val="yellow"/>
        </w:rPr>
        <w:t>进口货物报价需按发标日</w:t>
      </w:r>
      <w:r>
        <w:rPr>
          <w:rFonts w:hint="eastAsia" w:ascii="宋体" w:hAnsi="宋体" w:eastAsia="宋体" w:cs="Times New Roman"/>
          <w:b/>
          <w:bCs/>
          <w:sz w:val="24"/>
          <w:szCs w:val="24"/>
          <w:highlight w:val="yellow"/>
          <w:lang w:eastAsia="zh-CN"/>
        </w:rPr>
        <w:t>（</w:t>
      </w:r>
      <w:r>
        <w:rPr>
          <w:rFonts w:hint="eastAsia" w:hAnsi="宋体" w:eastAsia="宋体" w:cs="Times New Roman"/>
          <w:b/>
          <w:bCs/>
          <w:sz w:val="24"/>
          <w:szCs w:val="24"/>
          <w:highlight w:val="yellow"/>
          <w:lang w:val="en-US" w:eastAsia="zh-CN"/>
        </w:rPr>
        <w:t xml:space="preserve"> </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 xml:space="preserve"> </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 xml:space="preserve"> </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lang w:val="en-US" w:eastAsia="zh-CN"/>
        </w:rPr>
        <w:t>外币金额*汇率，CIF价格，未税</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rPr>
        <w:t>，并注明实际支付币种及金额。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7"/>
        <w:sectPr>
          <w:pgSz w:w="16838" w:h="11906" w:orient="landscape"/>
          <w:pgMar w:top="1418" w:right="1588" w:bottom="1418" w:left="1134" w:header="851" w:footer="992" w:gutter="0"/>
          <w:cols w:space="720" w:num="1"/>
          <w:titlePg/>
          <w:docGrid w:type="lines" w:linePitch="312" w:charSpace="0"/>
        </w:sectPr>
      </w:pPr>
    </w:p>
    <w:p>
      <w:pPr>
        <w:rPr>
          <w:rFonts w:ascii="宋体" w:hAnsi="宋体" w:cs="宋体"/>
          <w:color w:val="000000"/>
          <w:sz w:val="24"/>
          <w:szCs w:val="24"/>
        </w:rPr>
      </w:pPr>
    </w:p>
    <w:p>
      <w:pPr>
        <w:pStyle w:val="7"/>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pPr>
        <w:pStyle w:val="8"/>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5196"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074"/>
        <w:gridCol w:w="2313"/>
        <w:gridCol w:w="973"/>
        <w:gridCol w:w="998"/>
        <w:gridCol w:w="1285"/>
        <w:gridCol w:w="1623"/>
        <w:gridCol w:w="2035"/>
        <w:gridCol w:w="1455"/>
        <w:gridCol w:w="1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074" w:type="dxa"/>
            <w:vAlign w:val="center"/>
          </w:tcPr>
          <w:p>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313" w:type="dxa"/>
            <w:vAlign w:val="center"/>
          </w:tcPr>
          <w:p>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34" w:type="dxa"/>
            <w:tcBorders>
              <w:right w:val="single" w:color="000000" w:sz="4" w:space="0"/>
            </w:tcBorders>
            <w:vAlign w:val="center"/>
          </w:tcPr>
          <w:p>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54"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200"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074"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2313"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34" w:type="dxa"/>
            <w:tcBorders>
              <w:right w:val="single" w:color="000000" w:sz="4" w:space="0"/>
            </w:tcBorders>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54" w:type="dxa"/>
            <w:tcBorders>
              <w:left w:val="single" w:color="000000" w:sz="4" w:space="0"/>
            </w:tcBorders>
            <w:vAlign w:val="center"/>
          </w:tcPr>
          <w:p>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200" w:type="dxa"/>
            <w:tcBorders>
              <w:left w:val="single" w:color="000000" w:sz="4" w:space="0"/>
            </w:tcBorders>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line="240" w:lineRule="auto"/>
              <w:jc w:val="center"/>
              <w:rPr>
                <w:rFonts w:hint="eastAsia" w:ascii="宋体" w:hAnsi="宋体" w:eastAsia="宋体" w:cs="宋体"/>
                <w:color w:val="000000"/>
                <w:kern w:val="0"/>
                <w:sz w:val="21"/>
                <w:szCs w:val="21"/>
                <w:lang w:val="en-US" w:eastAsia="zh-CN" w:bidi="ar-SA"/>
              </w:rPr>
            </w:pPr>
          </w:p>
        </w:tc>
        <w:tc>
          <w:tcPr>
            <w:tcW w:w="2074" w:type="dxa"/>
            <w:vAlign w:val="center"/>
          </w:tcPr>
          <w:p>
            <w:pPr>
              <w:spacing w:line="240" w:lineRule="auto"/>
              <w:jc w:val="center"/>
              <w:rPr>
                <w:rFonts w:hint="default" w:ascii="等线" w:hAnsi="等线" w:eastAsia="宋体" w:cs="宋体"/>
                <w:kern w:val="2"/>
                <w:sz w:val="21"/>
                <w:szCs w:val="21"/>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等线" w:hAnsi="等线" w:eastAsia="宋体" w:cs="宋体"/>
                <w:kern w:val="2"/>
                <w:sz w:val="21"/>
                <w:szCs w:val="21"/>
                <w:lang w:val="en-US" w:eastAsia="zh-CN" w:bidi="ar-SA"/>
              </w:rPr>
            </w:pPr>
          </w:p>
        </w:tc>
        <w:tc>
          <w:tcPr>
            <w:tcW w:w="973" w:type="dxa"/>
            <w:vAlign w:val="top"/>
          </w:tcPr>
          <w:p>
            <w:pPr>
              <w:spacing w:line="420" w:lineRule="exact"/>
              <w:jc w:val="center"/>
              <w:rPr>
                <w:rFonts w:hint="default" w:ascii="等线" w:hAnsi="等线" w:eastAsia="宋体" w:cs="宋体"/>
                <w:kern w:val="2"/>
                <w:sz w:val="21"/>
                <w:szCs w:val="21"/>
                <w:lang w:val="en-US" w:eastAsia="zh-CN" w:bidi="ar-SA"/>
              </w:rPr>
            </w:pPr>
          </w:p>
        </w:tc>
        <w:tc>
          <w:tcPr>
            <w:tcW w:w="998" w:type="dxa"/>
            <w:vAlign w:val="top"/>
          </w:tcPr>
          <w:p>
            <w:pPr>
              <w:spacing w:line="420" w:lineRule="exact"/>
              <w:jc w:val="center"/>
              <w:rPr>
                <w:rFonts w:hint="eastAsia" w:ascii="等线" w:hAnsi="等线" w:eastAsia="宋体" w:cs="宋体"/>
                <w:kern w:val="2"/>
                <w:sz w:val="21"/>
                <w:szCs w:val="21"/>
                <w:lang w:val="en-US" w:eastAsia="zh-CN" w:bidi="ar-SA"/>
              </w:rPr>
            </w:pPr>
          </w:p>
        </w:tc>
        <w:tc>
          <w:tcPr>
            <w:tcW w:w="1285" w:type="dxa"/>
            <w:vAlign w:val="center"/>
          </w:tcPr>
          <w:p>
            <w:pPr>
              <w:jc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等线" w:hAnsi="等线" w:eastAsia="等线" w:cs="宋体"/>
                <w:kern w:val="2"/>
                <w:sz w:val="21"/>
                <w:szCs w:val="22"/>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line="240" w:lineRule="auto"/>
              <w:jc w:val="center"/>
              <w:rPr>
                <w:rFonts w:hint="eastAsia" w:ascii="宋体" w:hAnsi="宋体" w:eastAsia="等线" w:cs="宋体"/>
                <w:b/>
                <w:bCs/>
                <w:kern w:val="2"/>
                <w:sz w:val="21"/>
                <w:szCs w:val="21"/>
                <w:lang w:val="en-US" w:eastAsia="zh-CN" w:bidi="ar-SA"/>
              </w:rPr>
            </w:pPr>
          </w:p>
        </w:tc>
        <w:tc>
          <w:tcPr>
            <w:tcW w:w="2074" w:type="dxa"/>
            <w:vAlign w:val="center"/>
          </w:tcPr>
          <w:p>
            <w:pPr>
              <w:spacing w:line="240" w:lineRule="auto"/>
              <w:jc w:val="center"/>
              <w:rPr>
                <w:rFonts w:hint="eastAsia" w:ascii="宋体" w:hAnsi="宋体" w:eastAsia="等线" w:cs="宋体"/>
                <w:b/>
                <w:bCs/>
                <w:kern w:val="2"/>
                <w:sz w:val="21"/>
                <w:szCs w:val="21"/>
                <w:lang w:val="en-US" w:eastAsia="zh-CN" w:bidi="ar-SA"/>
              </w:rPr>
            </w:pPr>
          </w:p>
        </w:tc>
        <w:tc>
          <w:tcPr>
            <w:tcW w:w="2313" w:type="dxa"/>
            <w:vAlign w:val="center"/>
          </w:tcPr>
          <w:p>
            <w:pPr>
              <w:spacing w:line="240" w:lineRule="auto"/>
              <w:jc w:val="center"/>
              <w:rPr>
                <w:rFonts w:hint="eastAsia" w:ascii="宋体" w:hAnsi="宋体" w:eastAsia="等线" w:cs="宋体"/>
                <w:b/>
                <w:bCs/>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240" w:lineRule="auto"/>
              <w:jc w:val="center"/>
              <w:rPr>
                <w:rFonts w:hint="eastAsia" w:ascii="宋体" w:hAnsi="宋体" w:eastAsia="等线" w:cs="宋体"/>
                <w:b/>
                <w:bCs/>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等线" w:cs="宋体"/>
                <w:kern w:val="2"/>
                <w:sz w:val="21"/>
                <w:szCs w:val="22"/>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center"/>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231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4" w:type="dxa"/>
            <w:tcBorders>
              <w:right w:val="single" w:color="000000" w:sz="4" w:space="0"/>
            </w:tcBorders>
            <w:vAlign w:val="center"/>
          </w:tcPr>
          <w:p>
            <w:pPr>
              <w:jc w:val="center"/>
              <w:rPr>
                <w:rFonts w:ascii="Arial"/>
                <w:szCs w:val="21"/>
              </w:rPr>
            </w:pPr>
          </w:p>
        </w:tc>
        <w:tc>
          <w:tcPr>
            <w:tcW w:w="1454" w:type="dxa"/>
            <w:tcBorders>
              <w:left w:val="single" w:color="000000" w:sz="4" w:space="0"/>
            </w:tcBorders>
            <w:vAlign w:val="center"/>
          </w:tcPr>
          <w:p>
            <w:pPr>
              <w:jc w:val="center"/>
              <w:rPr>
                <w:rFonts w:ascii="Arial"/>
                <w:szCs w:val="21"/>
              </w:rPr>
            </w:pPr>
          </w:p>
        </w:tc>
        <w:tc>
          <w:tcPr>
            <w:tcW w:w="1200" w:type="dxa"/>
            <w:tcBorders>
              <w:left w:val="single" w:color="000000" w:sz="4" w:space="0"/>
            </w:tcBorders>
            <w:vAlign w:val="top"/>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8"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 xml:space="preserve">发标日（ </w:t>
            </w:r>
            <w:r>
              <w:rPr>
                <w:rFonts w:hint="eastAsia" w:ascii="宋体" w:hAnsi="宋体" w:eastAsia="宋体" w:cs="宋体"/>
                <w:b/>
                <w:bCs/>
                <w:szCs w:val="21"/>
                <w:highlight w:val="none"/>
                <w:u w:val="none"/>
                <w:lang w:val="en-US" w:eastAsia="zh-CN"/>
              </w:rPr>
              <w:t>年 月 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Arial"/>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8" w:type="dxa"/>
            <w:gridSpan w:val="3"/>
            <w:vAlign w:val="center"/>
          </w:tcPr>
          <w:p>
            <w:pPr>
              <w:jc w:val="left"/>
              <w:rPr>
                <w:rFonts w:ascii="Arial" w:hAnsi="等线" w:eastAsia="等线"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hint="eastAsia" w:ascii="宋体" w:hAnsi="宋体" w:eastAsia="宋体" w:cs="宋体"/>
                <w:b/>
                <w:bCs/>
                <w:szCs w:val="21"/>
                <w:u w:val="single"/>
                <w:lang w:val="en-US" w:eastAsia="zh-CN"/>
              </w:rPr>
              <w:t xml:space="preserve">     </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outlineLvl w:val="9"/>
      </w:pPr>
    </w:p>
    <w:p>
      <w:pPr>
        <w:spacing w:before="40" w:line="186" w:lineRule="auto"/>
        <w:rPr>
          <w:rFonts w:ascii="宋体" w:hAnsi="宋体" w:eastAsia="宋体" w:cs="宋体"/>
          <w:spacing w:val="-2"/>
          <w:sz w:val="24"/>
          <w:szCs w:val="24"/>
        </w:rPr>
        <w:sectPr>
          <w:footerReference r:id="rId24"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pStyle w:val="8"/>
        <w:bidi w:val="0"/>
      </w:pPr>
      <w:r>
        <w:rPr>
          <w:rFonts w:hint="eastAsia"/>
          <w:lang w:val="en-US" w:eastAsia="zh-CN"/>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760"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7月X日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b/>
                <w:bCs/>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8"/>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pPr>
              <w:spacing w:before="266" w:line="221" w:lineRule="auto"/>
              <w:jc w:val="center"/>
              <w:rPr>
                <w:rFonts w:hint="eastAsia" w:ascii="宋体" w:hAnsi="宋体" w:eastAsia="宋体" w:cs="宋体"/>
                <w:b/>
                <w:bCs/>
                <w:kern w:val="2"/>
                <w:sz w:val="21"/>
                <w:szCs w:val="21"/>
                <w:lang w:val="en-US" w:eastAsia="zh-CN" w:bidi="ar-SA"/>
              </w:rPr>
            </w:pPr>
            <w:r>
              <w:rPr>
                <w:rFonts w:ascii="宋体" w:hAnsi="宋体" w:eastAsia="宋体" w:cs="宋体"/>
                <w:spacing w:val="-1"/>
                <w:szCs w:val="21"/>
              </w:rPr>
              <w:t>现场指导安装费</w:t>
            </w:r>
          </w:p>
        </w:tc>
        <w:tc>
          <w:tcPr>
            <w:tcW w:w="1241" w:type="dxa"/>
            <w:vAlign w:val="top"/>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995" w:type="dxa"/>
            <w:vAlign w:val="center"/>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241" w:type="dxa"/>
            <w:vAlign w:val="top"/>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995" w:type="dxa"/>
            <w:vAlign w:val="center"/>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241" w:type="dxa"/>
            <w:vAlign w:val="top"/>
          </w:tcPr>
          <w:p>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995" w:type="dxa"/>
            <w:vAlign w:val="center"/>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241" w:type="dxa"/>
            <w:vAlign w:val="top"/>
          </w:tcPr>
          <w:p>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pPr>
              <w:spacing w:before="306" w:line="182" w:lineRule="auto"/>
              <w:ind w:left="432"/>
              <w:rPr>
                <w:rFonts w:ascii="宋体" w:hAnsi="宋体" w:eastAsia="宋体" w:cs="宋体"/>
                <w:szCs w:val="21"/>
              </w:rPr>
            </w:pPr>
          </w:p>
        </w:tc>
        <w:tc>
          <w:tcPr>
            <w:tcW w:w="3995"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vAlign w:val="center"/>
          </w:tcPr>
          <w:p>
            <w:pPr>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lang w:val="en-US" w:eastAsia="zh-CN"/>
              </w:rPr>
              <w:t>小计</w:t>
            </w:r>
          </w:p>
        </w:tc>
        <w:tc>
          <w:tcPr>
            <w:tcW w:w="6367"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w:t>
            </w:r>
            <w:r>
              <w:rPr>
                <w:rFonts w:hint="eastAsia" w:ascii="宋体" w:hAnsi="宋体" w:eastAsia="宋体" w:cs="宋体"/>
                <w:b/>
                <w:bCs/>
                <w:szCs w:val="21"/>
                <w:highlight w:val="none"/>
                <w:u w:val="none"/>
                <w:lang w:val="en-US" w:eastAsia="zh-CN"/>
              </w:rPr>
              <w:t>年7月X日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8"/>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highlight w:val="yellow"/>
          <w14:textOutline w14:w="5791" w14:cap="flat" w14:cmpd="sng">
            <w14:solidFill>
              <w14:srgbClr w14:val="000000"/>
            </w14:solidFill>
            <w14:prstDash w14:val="solid"/>
            <w14:miter w14:val="0"/>
          </w14:textOutline>
        </w:rPr>
        <w:t>随机</w:t>
      </w:r>
      <w:r>
        <w:rPr>
          <w:rFonts w:ascii="宋体" w:hAnsi="宋体" w:eastAsia="宋体" w:cs="宋体"/>
          <w:spacing w:val="10"/>
          <w:sz w:val="24"/>
          <w:szCs w:val="24"/>
          <w14:textOutline w14:w="5791" w14:cap="flat" w14:cmpd="sng">
            <w14:solidFill>
              <w14:srgbClr w14:val="000000"/>
            </w14:solidFill>
            <w14:prstDash w14:val="solid"/>
            <w14:miter w14:val="0"/>
          </w14:textOutline>
        </w:rPr>
        <w:t>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8"/>
              <w:spacing w:before="60" w:after="60"/>
              <w:jc w:val="center"/>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133"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7月X日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8"/>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hint="eastAsia" w:ascii="Arial"/>
                <w:lang w:val="en-US" w:eastAsia="zh-CN"/>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小计</w:t>
            </w:r>
          </w:p>
        </w:tc>
        <w:tc>
          <w:tcPr>
            <w:tcW w:w="6482" w:type="dxa"/>
            <w:gridSpan w:val="2"/>
          </w:tcPr>
          <w:p>
            <w:pPr>
              <w:jc w:val="left"/>
              <w:rPr>
                <w:rFonts w:hint="eastAsia" w:ascii="宋体" w:hAnsi="宋体" w:eastAsia="宋体" w:cs="宋体"/>
                <w:b/>
                <w:bCs/>
                <w:spacing w:val="-3"/>
                <w:szCs w:val="21"/>
                <w:lang w:eastAsia="zh-CN"/>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w:t>
            </w:r>
            <w:r>
              <w:rPr>
                <w:rFonts w:ascii="宋体" w:hAnsi="宋体" w:eastAsia="宋体" w:cs="宋体"/>
                <w:spacing w:val="-1"/>
                <w:szCs w:val="21"/>
                <w14:textOutline w14:w="3834" w14:cap="flat" w14:cmpd="sng">
                  <w14:solidFill>
                    <w14:srgbClr w14:val="000000"/>
                  </w14:solidFill>
                  <w14:prstDash w14:val="solid"/>
                  <w14:miter w14:val="0"/>
                </w14:textOutline>
              </w:rPr>
              <w:t>计</w:t>
            </w:r>
            <w:r>
              <w:rPr>
                <w:rFonts w:hint="eastAsia" w:ascii="宋体" w:hAnsi="宋体" w:eastAsia="宋体" w:cs="宋体"/>
                <w:b/>
                <w:bCs/>
                <w:spacing w:val="-3"/>
                <w:szCs w:val="21"/>
              </w:rPr>
              <w:t>（</w:t>
            </w:r>
            <w:r>
              <w:rPr>
                <w:rFonts w:hint="eastAsia" w:ascii="宋体" w:hAnsi="宋体" w:eastAsia="宋体" w:cs="宋体"/>
                <w:b/>
                <w:bCs/>
                <w:color w:val="FF0000"/>
                <w:spacing w:val="-3"/>
                <w:szCs w:val="21"/>
              </w:rPr>
              <w:t>不含税</w:t>
            </w:r>
            <w:r>
              <w:rPr>
                <w:rFonts w:hint="eastAsia" w:ascii="宋体" w:hAnsi="宋体" w:eastAsia="宋体" w:cs="宋体"/>
                <w:b/>
                <w:bCs/>
                <w:spacing w:val="-3"/>
                <w:szCs w:val="21"/>
              </w:rPr>
              <w:t>）</w:t>
            </w:r>
            <w:r>
              <w:rPr>
                <w:rFonts w:hint="eastAsia" w:ascii="宋体" w:hAnsi="宋体" w:eastAsia="宋体" w:cs="宋体"/>
                <w:b/>
                <w:bCs/>
                <w:spacing w:val="-3"/>
                <w:szCs w:val="21"/>
                <w:lang w:eastAsia="zh-CN"/>
              </w:rPr>
              <w:t>：</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jc w:val="left"/>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6482" w:type="dxa"/>
            <w:gridSpan w:val="2"/>
          </w:tcPr>
          <w:p>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28"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fldChar w:fldCharType="begin"/>
            </w:r>
            <w:r>
              <w:rPr>
                <w:rFonts w:hint="eastAsia" w:ascii="宋体" w:hAnsi="宋体" w:eastAsia="宋体" w:cs="宋体"/>
                <w:b/>
                <w:bCs/>
                <w:sz w:val="24"/>
                <w:szCs w:val="24"/>
                <w:highlight w:val="none"/>
                <w:u w:val="single"/>
                <w:lang w:val="en-US" w:eastAsia="zh-CN"/>
              </w:rPr>
              <w:instrText xml:space="preserve"> HYPERLINK "javascript:void(0);" \o "产品试验检测中心离合器压盘总成综合性能试验台技改项目" </w:instrText>
            </w:r>
            <w:r>
              <w:rPr>
                <w:rFonts w:hint="eastAsia" w:ascii="宋体" w:hAnsi="宋体" w:eastAsia="宋体" w:cs="宋体"/>
                <w:b/>
                <w:bCs/>
                <w:sz w:val="24"/>
                <w:szCs w:val="24"/>
                <w:highlight w:val="none"/>
                <w:u w:val="single"/>
                <w:lang w:val="en-US" w:eastAsia="zh-CN"/>
              </w:rPr>
              <w:fldChar w:fldCharType="separate"/>
            </w:r>
            <w:r>
              <w:rPr>
                <w:rFonts w:hint="eastAsia" w:ascii="宋体" w:hAnsi="宋体" w:eastAsia="宋体" w:cs="宋体"/>
                <w:b/>
                <w:bCs/>
                <w:sz w:val="24"/>
                <w:szCs w:val="24"/>
                <w:highlight w:val="none"/>
                <w:u w:val="single"/>
                <w:lang w:val="en-US" w:eastAsia="zh-CN"/>
              </w:rPr>
              <w:t>产品试验检测中心离合器压盘总成综合性能试验台技改项目</w:t>
            </w:r>
            <w:r>
              <w:rPr>
                <w:rFonts w:hint="eastAsia" w:ascii="宋体" w:hAnsi="宋体" w:eastAsia="宋体" w:cs="宋体"/>
                <w:b/>
                <w:bCs/>
                <w:sz w:val="24"/>
                <w:szCs w:val="24"/>
                <w:highlight w:val="none"/>
                <w:u w:val="single"/>
                <w:lang w:val="en-US" w:eastAsia="zh-CN"/>
              </w:rPr>
              <w:fldChar w:fldCharType="end"/>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u w:val="single"/>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fldChar w:fldCharType="begin"/>
      </w:r>
      <w:r>
        <w:rPr>
          <w:rFonts w:ascii="宋体" w:hAnsi="宋体" w:eastAsia="宋体" w:cs="宋体"/>
          <w:spacing w:val="-5"/>
          <w:sz w:val="24"/>
          <w:szCs w:val="24"/>
          <w:u w:val="single"/>
        </w:rPr>
        <w:instrText xml:space="preserve"> HYPERLINK "javascript:void(0);" \o "产品试验检测中心离合器压盘总成综合性能试验台技改项目" </w:instrText>
      </w:r>
      <w:r>
        <w:rPr>
          <w:rFonts w:ascii="宋体" w:hAnsi="宋体" w:eastAsia="宋体" w:cs="宋体"/>
          <w:spacing w:val="-5"/>
          <w:sz w:val="24"/>
          <w:szCs w:val="24"/>
          <w:u w:val="single"/>
        </w:rPr>
        <w:fldChar w:fldCharType="separate"/>
      </w:r>
      <w:r>
        <w:rPr>
          <w:rFonts w:hint="eastAsia" w:ascii="宋体" w:hAnsi="宋体" w:eastAsia="宋体" w:cs="宋体"/>
          <w:spacing w:val="-5"/>
          <w:sz w:val="24"/>
          <w:szCs w:val="24"/>
          <w:u w:val="single"/>
        </w:rPr>
        <w:t>产品试验检测中心离合器压盘总成综合性能试验台技改项目</w:t>
      </w:r>
      <w:r>
        <w:rPr>
          <w:rFonts w:hint="eastAsia" w:ascii="宋体" w:hAnsi="宋体" w:eastAsia="宋体" w:cs="宋体"/>
          <w:spacing w:val="-5"/>
          <w:sz w:val="24"/>
          <w:szCs w:val="24"/>
          <w:u w:val="single"/>
        </w:rPr>
        <w:fldChar w:fldCharType="end"/>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fldChar w:fldCharType="begin"/>
      </w:r>
      <w:r>
        <w:rPr>
          <w:rFonts w:hint="eastAsia" w:ascii="宋体" w:hAnsi="宋体" w:eastAsia="宋体" w:cs="Times New Roman"/>
          <w:sz w:val="24"/>
          <w:szCs w:val="20"/>
          <w:u w:val="single"/>
        </w:rPr>
        <w:instrText xml:space="preserve"> HYPERLINK "javascript:void(0);" \o "产品试验检测中心离合器压盘总成综合性能试验台技改项目" </w:instrText>
      </w:r>
      <w:r>
        <w:rPr>
          <w:rFonts w:hint="eastAsia" w:ascii="宋体" w:hAnsi="宋体" w:eastAsia="宋体" w:cs="Times New Roman"/>
          <w:sz w:val="24"/>
          <w:szCs w:val="20"/>
          <w:u w:val="single"/>
        </w:rPr>
        <w:fldChar w:fldCharType="separate"/>
      </w:r>
      <w:r>
        <w:rPr>
          <w:rFonts w:hint="eastAsia" w:ascii="宋体" w:hAnsi="宋体" w:eastAsia="宋体" w:cs="Times New Roman"/>
          <w:sz w:val="24"/>
          <w:szCs w:val="20"/>
          <w:u w:val="single"/>
        </w:rPr>
        <w:t>产品试验检测中心离合器压盘总成综合性能试验台技改项目</w:t>
      </w:r>
      <w:r>
        <w:rPr>
          <w:rFonts w:hint="eastAsia" w:ascii="宋体" w:hAnsi="宋体" w:eastAsia="宋体" w:cs="Times New Roman"/>
          <w:sz w:val="24"/>
          <w:szCs w:val="20"/>
          <w:u w:val="single"/>
        </w:rPr>
        <w:fldChar w:fldCharType="end"/>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rPr>
          <w:rFonts w:ascii="等线" w:hAnsi="等线" w:cs="等线"/>
          <w:sz w:val="20"/>
          <w:szCs w:val="20"/>
        </w:rPr>
      </w:pPr>
      <w:r>
        <w:rPr>
          <w:rFonts w:ascii="等线" w:hAnsi="等线" w:cs="等线"/>
          <w:sz w:val="20"/>
          <w:szCs w:val="20"/>
        </w:rPr>
        <w:br w:type="page"/>
      </w:r>
    </w:p>
    <w:p>
      <w:pPr>
        <w:pStyle w:val="6"/>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pStyle w:val="6"/>
        <w:jc w:val="center"/>
        <w:rPr>
          <w:rFonts w:hint="eastAsia"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pPr w:leftFromText="180" w:rightFromText="180" w:vertAnchor="text" w:horzAnchor="page" w:tblpX="1417" w:tblpY="653"/>
        <w:tblOverlap w:val="never"/>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558"/>
        <w:gridCol w:w="1225"/>
        <w:gridCol w:w="1009"/>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评审</w:t>
            </w:r>
          </w:p>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内容</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65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   容</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3099"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业绩</w:t>
            </w:r>
          </w:p>
        </w:tc>
        <w:tc>
          <w:tcPr>
            <w:tcW w:w="300"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543"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3099" w:type="pct"/>
            <w:vMerge w:val="restar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投标人提供自20</w:t>
            </w:r>
            <w:r>
              <w:rPr>
                <w:rFonts w:hint="eastAsia" w:ascii="宋体" w:hAnsi="宋体" w:eastAsia="宋体" w:cs="宋体"/>
                <w:sz w:val="21"/>
                <w:szCs w:val="21"/>
                <w:lang w:val="en-US" w:eastAsia="zh-CN"/>
              </w:rPr>
              <w:t>22</w:t>
            </w:r>
            <w:r>
              <w:rPr>
                <w:rFonts w:hint="eastAsia" w:ascii="宋体" w:hAnsi="宋体" w:eastAsia="宋体" w:cs="宋体"/>
                <w:sz w:val="21"/>
                <w:szCs w:val="21"/>
              </w:rPr>
              <w:t>年1月1日以来</w:t>
            </w:r>
            <w:r>
              <w:rPr>
                <w:rFonts w:hint="eastAsia" w:ascii="宋体" w:hAnsi="宋体" w:eastAsia="宋体" w:cs="宋体"/>
                <w:sz w:val="21"/>
                <w:szCs w:val="21"/>
                <w:lang w:val="en-US" w:eastAsia="zh-CN"/>
              </w:rPr>
              <w:t>投入使用的同类项目</w:t>
            </w:r>
            <w:r>
              <w:rPr>
                <w:rFonts w:hint="eastAsia" w:ascii="宋体" w:hAnsi="宋体" w:eastAsia="宋体" w:cs="宋体"/>
                <w:sz w:val="21"/>
                <w:szCs w:val="21"/>
              </w:rPr>
              <w:t>的项目业绩（以合同复印件加盖公章为准，时间以签订日期为准）。由评标委员会成员按照合同数量及金额、合同相关性两个维度进行打分。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合同数量6-10份：4-8分；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合同数量11-15份：9-13分；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合同数量＞15份：14-15分。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合同相关性</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产品技术</w:t>
            </w:r>
          </w:p>
        </w:tc>
        <w:tc>
          <w:tcPr>
            <w:tcW w:w="300"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543"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40</w:t>
            </w:r>
          </w:p>
        </w:tc>
        <w:tc>
          <w:tcPr>
            <w:tcW w:w="3099" w:type="pct"/>
            <w:vMerge w:val="restar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测试台设计</w:t>
            </w:r>
            <w:r>
              <w:rPr>
                <w:rFonts w:hint="eastAsia" w:ascii="宋体" w:hAnsi="宋体" w:eastAsia="宋体" w:cs="宋体"/>
                <w:sz w:val="21"/>
                <w:szCs w:val="21"/>
              </w:rPr>
              <w:t>方案已达到招标要求且具备自身优势，打分0-10分；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方案</w:t>
            </w:r>
            <w:r>
              <w:rPr>
                <w:rFonts w:hint="eastAsia" w:ascii="宋体" w:hAnsi="宋体" w:eastAsia="宋体" w:cs="宋体"/>
                <w:sz w:val="21"/>
                <w:szCs w:val="21"/>
              </w:rPr>
              <w:t>系统配置合理，运行可靠，其性能指标、技术水平、可靠性等优势明显，打分0-10分；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Merge w:val="continue"/>
            <w:vAlign w:val="center"/>
          </w:tcPr>
          <w:p>
            <w:pPr>
              <w:adjustRightInd w:val="0"/>
              <w:snapToGrid w:val="0"/>
              <w:jc w:val="center"/>
              <w:rPr>
                <w:rFonts w:hint="eastAsia" w:ascii="宋体" w:hAnsi="宋体" w:eastAsia="宋体" w:cs="宋体"/>
                <w:sz w:val="21"/>
                <w:szCs w:val="21"/>
              </w:rPr>
            </w:pP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543" w:type="pct"/>
            <w:vMerge w:val="continue"/>
            <w:vAlign w:val="center"/>
          </w:tcPr>
          <w:p>
            <w:pPr>
              <w:adjustRightInd w:val="0"/>
              <w:snapToGrid w:val="0"/>
              <w:jc w:val="center"/>
              <w:rPr>
                <w:rFonts w:hint="eastAsia" w:ascii="宋体" w:hAnsi="宋体" w:eastAsia="宋体" w:cs="宋体"/>
                <w:sz w:val="21"/>
                <w:szCs w:val="21"/>
              </w:rPr>
            </w:pPr>
          </w:p>
        </w:tc>
        <w:tc>
          <w:tcPr>
            <w:tcW w:w="3099" w:type="pct"/>
            <w:vMerge w:val="continue"/>
            <w:vAlign w:val="center"/>
          </w:tcPr>
          <w:p>
            <w:pPr>
              <w:adjustRightInd w:val="0"/>
              <w:snapToGrid w:val="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答疑</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6" w:hRule="atLeast"/>
        </w:trPr>
        <w:tc>
          <w:tcPr>
            <w:tcW w:w="397"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10</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w:t>
            </w:r>
            <w:r>
              <w:rPr>
                <w:rFonts w:hint="eastAsia" w:ascii="宋体" w:hAnsi="宋体" w:eastAsia="宋体" w:cs="宋体"/>
                <w:sz w:val="21"/>
                <w:szCs w:val="21"/>
                <w:lang w:val="en-US" w:eastAsia="zh-CN"/>
              </w:rPr>
              <w:t>试验台设计方案</w:t>
            </w:r>
            <w:r>
              <w:rPr>
                <w:rFonts w:hint="eastAsia" w:ascii="宋体" w:hAnsi="宋体" w:eastAsia="宋体" w:cs="宋体"/>
                <w:sz w:val="21"/>
                <w:szCs w:val="21"/>
              </w:rPr>
              <w:t>、技术偏离情况，在满足我司技术基本要求的前提下偏离。由评标委员会成员独立进行客观、公正的评价打分。</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pPr>
              <w:adjustRightInd w:val="0"/>
              <w:snapToGrid w:val="0"/>
              <w:ind w:firstLine="420" w:firstLineChars="20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397" w:type="pct"/>
            <w:vMerge w:val="restar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售后及服务</w:t>
            </w: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65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技术培训方案</w:t>
            </w:r>
          </w:p>
        </w:tc>
        <w:tc>
          <w:tcPr>
            <w:tcW w:w="543"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3099" w:type="pct"/>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w:t>
            </w:r>
          </w:p>
        </w:tc>
        <w:tc>
          <w:tcPr>
            <w:tcW w:w="65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售后技术力量</w:t>
            </w:r>
          </w:p>
        </w:tc>
        <w:tc>
          <w:tcPr>
            <w:tcW w:w="543" w:type="pct"/>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309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397" w:type="pct"/>
            <w:vMerge w:val="continue"/>
            <w:vAlign w:val="center"/>
          </w:tcPr>
          <w:p>
            <w:pPr>
              <w:adjustRightInd w:val="0"/>
              <w:snapToGrid w:val="0"/>
              <w:jc w:val="center"/>
              <w:rPr>
                <w:rFonts w:hint="eastAsia" w:ascii="宋体" w:hAnsi="宋体" w:eastAsia="宋体" w:cs="宋体"/>
                <w:sz w:val="21"/>
                <w:szCs w:val="21"/>
              </w:rPr>
            </w:pPr>
          </w:p>
        </w:tc>
        <w:tc>
          <w:tcPr>
            <w:tcW w:w="300" w:type="pct"/>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7</w:t>
            </w:r>
          </w:p>
        </w:tc>
        <w:tc>
          <w:tcPr>
            <w:tcW w:w="65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543" w:type="pct"/>
            <w:shd w:val="clear" w:color="auto" w:fill="auto"/>
            <w:vAlign w:val="center"/>
          </w:tcPr>
          <w:p>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3099" w:type="pct"/>
            <w:shd w:val="clear" w:color="auto" w:fill="auto"/>
            <w:vAlign w:val="center"/>
          </w:tcPr>
          <w:p>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5"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6"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7"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8" cstate="print"/>
                    <a:srcRect/>
                    <a:stretch>
                      <a:fillRect/>
                    </a:stretch>
                  </pic:blipFill>
                  <pic:spPr>
                    <a:xfrm>
                      <a:off x="0" y="0"/>
                      <a:ext cx="5760085" cy="2853055"/>
                    </a:xfrm>
                    <a:prstGeom prst="rect">
                      <a:avLst/>
                    </a:prstGeom>
                  </pic:spPr>
                </pic:pic>
              </a:graphicData>
            </a:graphic>
          </wp:inline>
        </w:drawing>
      </w:r>
    </w:p>
    <w:p>
      <w:pPr>
        <w:numPr>
          <w:ilvl w:val="0"/>
          <w:numId w:val="1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pStyle w:val="17"/>
        <w:numPr>
          <w:ilvl w:val="0"/>
          <w:numId w:val="0"/>
        </w:numPr>
      </w:pPr>
    </w:p>
    <w:p>
      <w:pPr>
        <w:rPr>
          <w:rFonts w:ascii="宋体" w:hAnsi="宋体" w:eastAsia="宋体" w:cs="宋体"/>
          <w:color w:val="000000"/>
        </w:rPr>
      </w:pP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9" cstate="print"/>
                    <a:srcRect/>
                    <a:stretch>
                      <a:fillRect/>
                    </a:stretch>
                  </pic:blipFill>
                  <pic:spPr>
                    <a:xfrm>
                      <a:off x="0" y="0"/>
                      <a:ext cx="5760085" cy="2809875"/>
                    </a:xfrm>
                    <a:prstGeom prst="rect">
                      <a:avLst/>
                    </a:prstGeom>
                  </pic:spPr>
                </pic:pic>
              </a:graphicData>
            </a:graphic>
          </wp:inline>
        </w:drawing>
      </w:r>
    </w:p>
    <w:p>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0" cstate="print"/>
                    <a:srcRect/>
                    <a:stretch>
                      <a:fillRect/>
                    </a:stretch>
                  </pic:blipFill>
                  <pic:spPr>
                    <a:xfrm>
                      <a:off x="0" y="0"/>
                      <a:ext cx="5760085" cy="2820035"/>
                    </a:xfrm>
                    <a:prstGeom prst="rect">
                      <a:avLst/>
                    </a:prstGeom>
                  </pic:spPr>
                </pic:pic>
              </a:graphicData>
            </a:graphic>
          </wp:inline>
        </w:drawing>
      </w:r>
    </w:p>
    <w:p>
      <w:pPr>
        <w:pStyle w:val="17"/>
      </w:pPr>
    </w:p>
    <w:p>
      <w:pPr>
        <w:pStyle w:val="17"/>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1"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2"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3"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4"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5"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6" cstate="print"/>
                    <a:srcRect/>
                    <a:stretch>
                      <a:fillRect/>
                    </a:stretch>
                  </pic:blipFill>
                  <pic:spPr>
                    <a:xfrm>
                      <a:off x="0" y="0"/>
                      <a:ext cx="5760085" cy="1956435"/>
                    </a:xfrm>
                    <a:prstGeom prst="rect">
                      <a:avLst/>
                    </a:prstGeom>
                  </pic:spPr>
                </pic:pic>
              </a:graphicData>
            </a:graphic>
          </wp:inline>
        </w:drawing>
      </w:r>
    </w:p>
    <w:p>
      <w:pPr>
        <w:pStyle w:val="17"/>
        <w:rPr>
          <w:rFonts w:hAnsi="宋体" w:eastAsia="宋体" w:cs="Times New Roman"/>
          <w:b/>
          <w:color w:val="000000"/>
          <w:sz w:val="24"/>
          <w:szCs w:val="24"/>
        </w:rPr>
      </w:pPr>
    </w:p>
    <w:p>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Mi/w4bHAQAAkAMAAA4AAAAAAAAAAQAgAAAAHwEAAGRycy9lMm9Eb2Mu&#10;eG1sUEsFBgAAAAAGAAYAWQEAAFg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3">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4">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6">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8">
    <w:nsid w:val="00000017"/>
    <w:multiLevelType w:val="singleLevel"/>
    <w:tmpl w:val="00000017"/>
    <w:lvl w:ilvl="0" w:tentative="0">
      <w:start w:val="1"/>
      <w:numFmt w:val="chineseCounting"/>
      <w:suff w:val="space"/>
      <w:lvlText w:val="第%1部分"/>
      <w:lvlJc w:val="left"/>
      <w:rPr>
        <w:rFonts w:hint="eastAsia"/>
      </w:rPr>
    </w:lvl>
  </w:abstractNum>
  <w:abstractNum w:abstractNumId="9">
    <w:nsid w:val="07562E7F"/>
    <w:multiLevelType w:val="singleLevel"/>
    <w:tmpl w:val="07562E7F"/>
    <w:lvl w:ilvl="0" w:tentative="0">
      <w:start w:val="2"/>
      <w:numFmt w:val="decimal"/>
      <w:lvlText w:val="%1."/>
      <w:lvlJc w:val="left"/>
      <w:pPr>
        <w:tabs>
          <w:tab w:val="left" w:pos="312"/>
        </w:tabs>
      </w:p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num w:numId="1">
    <w:abstractNumId w:val="6"/>
  </w:num>
  <w:num w:numId="2">
    <w:abstractNumId w:val="8"/>
  </w:num>
  <w:num w:numId="3">
    <w:abstractNumId w:val="0"/>
  </w:num>
  <w:num w:numId="4">
    <w:abstractNumId w:val="4"/>
  </w:num>
  <w:num w:numId="5">
    <w:abstractNumId w:val="3"/>
  </w:num>
  <w:num w:numId="6">
    <w:abstractNumId w:val="7"/>
  </w:num>
  <w:num w:numId="7">
    <w:abstractNumId w:val="2"/>
  </w:num>
  <w:num w:numId="8">
    <w:abstractNumId w:val="5"/>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07006C6"/>
    <w:rsid w:val="05340616"/>
    <w:rsid w:val="086451EA"/>
    <w:rsid w:val="09972A2A"/>
    <w:rsid w:val="0B493459"/>
    <w:rsid w:val="0BE52682"/>
    <w:rsid w:val="0BFD05D5"/>
    <w:rsid w:val="0E261470"/>
    <w:rsid w:val="0E8D6A62"/>
    <w:rsid w:val="11505296"/>
    <w:rsid w:val="127325FF"/>
    <w:rsid w:val="162B63BE"/>
    <w:rsid w:val="1B331CF5"/>
    <w:rsid w:val="1B9A25C0"/>
    <w:rsid w:val="1EEB4282"/>
    <w:rsid w:val="1F7C5E10"/>
    <w:rsid w:val="20101C28"/>
    <w:rsid w:val="2097320C"/>
    <w:rsid w:val="21045B38"/>
    <w:rsid w:val="213274FC"/>
    <w:rsid w:val="23D34075"/>
    <w:rsid w:val="2A943338"/>
    <w:rsid w:val="2CD0422B"/>
    <w:rsid w:val="2D4971F8"/>
    <w:rsid w:val="2DD5750A"/>
    <w:rsid w:val="2F0248FA"/>
    <w:rsid w:val="2F061E3A"/>
    <w:rsid w:val="2FDD755B"/>
    <w:rsid w:val="310A6B59"/>
    <w:rsid w:val="35E77844"/>
    <w:rsid w:val="364C06F5"/>
    <w:rsid w:val="36D2344E"/>
    <w:rsid w:val="3AB57857"/>
    <w:rsid w:val="3AEC66D3"/>
    <w:rsid w:val="3B6D6E0B"/>
    <w:rsid w:val="3BB2242D"/>
    <w:rsid w:val="3D576ED9"/>
    <w:rsid w:val="3F941766"/>
    <w:rsid w:val="41B93754"/>
    <w:rsid w:val="42BF6D28"/>
    <w:rsid w:val="43907A32"/>
    <w:rsid w:val="43D87E31"/>
    <w:rsid w:val="47B8426D"/>
    <w:rsid w:val="4885562E"/>
    <w:rsid w:val="49771C7A"/>
    <w:rsid w:val="49847835"/>
    <w:rsid w:val="4C9812B2"/>
    <w:rsid w:val="4CD82512"/>
    <w:rsid w:val="4ECF532A"/>
    <w:rsid w:val="50173EAA"/>
    <w:rsid w:val="52CE1DA4"/>
    <w:rsid w:val="558310F7"/>
    <w:rsid w:val="56101B43"/>
    <w:rsid w:val="56554CD5"/>
    <w:rsid w:val="56CC6D2F"/>
    <w:rsid w:val="58202C51"/>
    <w:rsid w:val="58F22449"/>
    <w:rsid w:val="58FF7D24"/>
    <w:rsid w:val="59811656"/>
    <w:rsid w:val="5A081F2B"/>
    <w:rsid w:val="5BA0620F"/>
    <w:rsid w:val="5C6739B4"/>
    <w:rsid w:val="5CA80A3F"/>
    <w:rsid w:val="5E405BB2"/>
    <w:rsid w:val="62965DCB"/>
    <w:rsid w:val="63792386"/>
    <w:rsid w:val="64A81DA3"/>
    <w:rsid w:val="68FA228A"/>
    <w:rsid w:val="6907225D"/>
    <w:rsid w:val="69F617E7"/>
    <w:rsid w:val="6C561C18"/>
    <w:rsid w:val="6F0D763F"/>
    <w:rsid w:val="71822C25"/>
    <w:rsid w:val="72F37EB8"/>
    <w:rsid w:val="73B131FE"/>
    <w:rsid w:val="775D398A"/>
    <w:rsid w:val="780937DD"/>
    <w:rsid w:val="781F5753"/>
    <w:rsid w:val="78BF4238"/>
    <w:rsid w:val="7BF24FF2"/>
    <w:rsid w:val="7E030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4">
    <w:name w:val="heading 1"/>
    <w:basedOn w:val="5"/>
    <w:next w:val="1"/>
    <w:link w:val="48"/>
    <w:qFormat/>
    <w:uiPriority w:val="0"/>
    <w:pPr>
      <w:keepNext/>
      <w:keepLines/>
      <w:jc w:val="center"/>
      <w:outlineLvl w:val="0"/>
    </w:pPr>
    <w:rPr>
      <w:b/>
      <w:bCs/>
      <w:kern w:val="44"/>
      <w:sz w:val="36"/>
      <w:szCs w:val="44"/>
    </w:rPr>
  </w:style>
  <w:style w:type="paragraph" w:styleId="6">
    <w:name w:val="heading 2"/>
    <w:basedOn w:val="1"/>
    <w:next w:val="1"/>
    <w:link w:val="49"/>
    <w:qFormat/>
    <w:uiPriority w:val="99"/>
    <w:pPr>
      <w:keepNext/>
      <w:keepLines/>
      <w:spacing w:line="360" w:lineRule="auto"/>
      <w:outlineLvl w:val="1"/>
    </w:pPr>
    <w:rPr>
      <w:rFonts w:ascii="Arial" w:hAnsi="Arial" w:eastAsia="宋体" w:cs="Times New Roman"/>
      <w:b/>
      <w:bCs/>
      <w:sz w:val="24"/>
      <w:szCs w:val="32"/>
    </w:rPr>
  </w:style>
  <w:style w:type="paragraph" w:styleId="7">
    <w:name w:val="heading 3"/>
    <w:basedOn w:val="1"/>
    <w:next w:val="1"/>
    <w:link w:val="50"/>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qFormat/>
    <w:uiPriority w:val="1"/>
  </w:style>
  <w:style w:type="table" w:default="1" w:styleId="37">
    <w:name w:val="Normal Table"/>
    <w:qFormat/>
    <w:uiPriority w:val="99"/>
    <w:tblPr>
      <w:tblCellMar>
        <w:top w:w="0" w:type="dxa"/>
        <w:left w:w="108" w:type="dxa"/>
        <w:bottom w:w="0" w:type="dxa"/>
        <w:right w:w="108" w:type="dxa"/>
      </w:tblCellMar>
    </w:tblPr>
  </w:style>
  <w:style w:type="paragraph" w:styleId="2">
    <w:name w:val="Body Text"/>
    <w:basedOn w:val="1"/>
    <w:next w:val="3"/>
    <w:link w:val="84"/>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5">
    <w:name w:val="toc 3"/>
    <w:basedOn w:val="1"/>
    <w:next w:val="1"/>
    <w:qFormat/>
    <w:uiPriority w:val="99"/>
    <w:pPr>
      <w:ind w:left="480"/>
      <w:jc w:val="left"/>
    </w:pPr>
    <w:rPr>
      <w:rFonts w:ascii="Calibri" w:hAnsi="Calibri" w:eastAsia="宋体" w:cs="Times New Roman"/>
      <w:i/>
      <w:iCs/>
      <w:sz w:val="20"/>
      <w:szCs w:val="20"/>
    </w:rPr>
  </w:style>
  <w:style w:type="paragraph" w:styleId="9">
    <w:name w:val="toc 7"/>
    <w:basedOn w:val="1"/>
    <w:next w:val="1"/>
    <w:qFormat/>
    <w:uiPriority w:val="99"/>
    <w:pPr>
      <w:ind w:left="1440"/>
      <w:jc w:val="left"/>
    </w:pPr>
    <w:rPr>
      <w:rFonts w:ascii="Calibri" w:hAnsi="Calibri" w:eastAsia="宋体" w:cs="Times New Roman"/>
      <w:sz w:val="18"/>
      <w:szCs w:val="18"/>
    </w:rPr>
  </w:style>
  <w:style w:type="paragraph" w:styleId="10">
    <w:name w:val="caption"/>
    <w:basedOn w:val="1"/>
    <w:next w:val="1"/>
    <w:qFormat/>
    <w:uiPriority w:val="99"/>
    <w:pPr>
      <w:spacing w:before="152" w:after="160"/>
    </w:pPr>
    <w:rPr>
      <w:rFonts w:ascii="Arial" w:hAnsi="Arial" w:eastAsia="黑体" w:cs="Arial"/>
      <w:sz w:val="20"/>
      <w:szCs w:val="20"/>
    </w:rPr>
  </w:style>
  <w:style w:type="paragraph" w:styleId="11">
    <w:name w:val="Document Map"/>
    <w:basedOn w:val="1"/>
    <w:link w:val="72"/>
    <w:qFormat/>
    <w:uiPriority w:val="99"/>
    <w:pPr>
      <w:shd w:val="clear" w:color="auto" w:fill="000080"/>
    </w:pPr>
    <w:rPr>
      <w:sz w:val="24"/>
    </w:rPr>
  </w:style>
  <w:style w:type="paragraph" w:styleId="12">
    <w:name w:val="toa heading"/>
    <w:basedOn w:val="1"/>
    <w:next w:val="1"/>
    <w:qFormat/>
    <w:uiPriority w:val="0"/>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sz w:val="20"/>
      <w:szCs w:val="20"/>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toc 5"/>
    <w:basedOn w:val="1"/>
    <w:next w:val="1"/>
    <w:qFormat/>
    <w:uiPriority w:val="99"/>
    <w:pPr>
      <w:ind w:left="960"/>
      <w:jc w:val="left"/>
    </w:pPr>
    <w:rPr>
      <w:rFonts w:ascii="Calibri" w:hAnsi="Calibri" w:eastAsia="宋体" w:cs="Times New Roman"/>
      <w:sz w:val="18"/>
      <w:szCs w:val="18"/>
    </w:rPr>
  </w:style>
  <w:style w:type="paragraph" w:styleId="17">
    <w:name w:val="Plain Text"/>
    <w:basedOn w:val="1"/>
    <w:link w:val="74"/>
    <w:qFormat/>
    <w:uiPriority w:val="0"/>
    <w:rPr>
      <w:rFonts w:ascii="宋体" w:hAnsi="Courier New"/>
    </w:rPr>
  </w:style>
  <w:style w:type="paragraph" w:styleId="18">
    <w:name w:val="toc 8"/>
    <w:basedOn w:val="1"/>
    <w:next w:val="1"/>
    <w:qFormat/>
    <w:uiPriority w:val="99"/>
    <w:pPr>
      <w:ind w:left="1680"/>
      <w:jc w:val="left"/>
    </w:pPr>
    <w:rPr>
      <w:rFonts w:ascii="Calibri" w:hAnsi="Calibri" w:eastAsia="宋体" w:cs="Times New Roman"/>
      <w:sz w:val="18"/>
      <w:szCs w:val="18"/>
    </w:rPr>
  </w:style>
  <w:style w:type="paragraph" w:styleId="19">
    <w:name w:val="Date"/>
    <w:basedOn w:val="1"/>
    <w:next w:val="1"/>
    <w:link w:val="65"/>
    <w:qFormat/>
    <w:uiPriority w:val="99"/>
    <w:pPr>
      <w:ind w:left="100" w:leftChars="2500"/>
    </w:pPr>
    <w:rPr>
      <w:sz w:val="24"/>
    </w:rPr>
  </w:style>
  <w:style w:type="paragraph" w:styleId="20">
    <w:name w:val="Body Text Indent 2"/>
    <w:basedOn w:val="1"/>
    <w:link w:val="52"/>
    <w:qFormat/>
    <w:uiPriority w:val="99"/>
    <w:pPr>
      <w:spacing w:after="120" w:line="480" w:lineRule="auto"/>
      <w:ind w:left="420" w:leftChars="200"/>
    </w:pPr>
  </w:style>
  <w:style w:type="paragraph" w:styleId="21">
    <w:name w:val="Balloon Text"/>
    <w:basedOn w:val="1"/>
    <w:link w:val="69"/>
    <w:qFormat/>
    <w:uiPriority w:val="99"/>
    <w:rPr>
      <w:sz w:val="18"/>
    </w:rPr>
  </w:style>
  <w:style w:type="paragraph" w:styleId="22">
    <w:name w:val="footer"/>
    <w:basedOn w:val="1"/>
    <w:link w:val="75"/>
    <w:qFormat/>
    <w:uiPriority w:val="99"/>
    <w:pPr>
      <w:tabs>
        <w:tab w:val="center" w:pos="4153"/>
        <w:tab w:val="right" w:pos="8306"/>
      </w:tabs>
      <w:snapToGrid w:val="0"/>
      <w:jc w:val="left"/>
    </w:pPr>
    <w:rPr>
      <w:sz w:val="18"/>
    </w:rPr>
  </w:style>
  <w:style w:type="paragraph" w:styleId="23">
    <w:name w:val="header"/>
    <w:basedOn w:val="1"/>
    <w:link w:val="60"/>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99"/>
    <w:pPr>
      <w:ind w:left="720"/>
      <w:jc w:val="left"/>
    </w:pPr>
    <w:rPr>
      <w:rFonts w:ascii="Calibri" w:hAnsi="Calibri" w:eastAsia="宋体" w:cs="Times New Roman"/>
      <w:sz w:val="18"/>
      <w:szCs w:val="18"/>
    </w:rPr>
  </w:style>
  <w:style w:type="paragraph" w:styleId="26">
    <w:name w:val="List"/>
    <w:basedOn w:val="1"/>
    <w:qFormat/>
    <w:uiPriority w:val="0"/>
    <w:pPr>
      <w:ind w:left="420" w:hanging="420"/>
    </w:pPr>
    <w:rPr>
      <w:rFonts w:ascii="Times New Roman" w:hAnsi="Times New Roman" w:eastAsia="宋体" w:cs="Times New Roman"/>
      <w:szCs w:val="20"/>
    </w:rPr>
  </w:style>
  <w:style w:type="paragraph" w:styleId="27">
    <w:name w:val="toc 6"/>
    <w:basedOn w:val="1"/>
    <w:next w:val="1"/>
    <w:qFormat/>
    <w:uiPriority w:val="99"/>
    <w:pPr>
      <w:ind w:left="1200"/>
      <w:jc w:val="left"/>
    </w:pPr>
    <w:rPr>
      <w:rFonts w:ascii="Calibri" w:hAnsi="Calibri" w:eastAsia="宋体" w:cs="Times New Roman"/>
      <w:sz w:val="18"/>
      <w:szCs w:val="18"/>
    </w:rPr>
  </w:style>
  <w:style w:type="paragraph" w:styleId="28">
    <w:name w:val="Body Text Indent 3"/>
    <w:basedOn w:val="1"/>
    <w:link w:val="54"/>
    <w:qFormat/>
    <w:uiPriority w:val="99"/>
    <w:pPr>
      <w:spacing w:after="120"/>
      <w:ind w:left="420" w:leftChars="200"/>
    </w:pPr>
    <w:rPr>
      <w:sz w:val="16"/>
    </w:rPr>
  </w:style>
  <w:style w:type="paragraph" w:styleId="29">
    <w:name w:val="index 9"/>
    <w:basedOn w:val="1"/>
    <w:next w:val="1"/>
    <w:qFormat/>
    <w:uiPriority w:val="0"/>
    <w:pPr>
      <w:ind w:left="2520" w:hanging="280"/>
    </w:pPr>
    <w:rPr>
      <w:rFonts w:eastAsia="仿宋"/>
      <w:sz w:val="28"/>
    </w:rPr>
  </w:style>
  <w:style w:type="paragraph" w:styleId="30">
    <w:name w:val="toc 2"/>
    <w:basedOn w:val="1"/>
    <w:next w:val="1"/>
    <w:qFormat/>
    <w:uiPriority w:val="39"/>
    <w:pPr>
      <w:ind w:left="420" w:leftChars="200"/>
    </w:pPr>
    <w:rPr>
      <w:rFonts w:ascii="Calibri" w:hAnsi="Calibri" w:eastAsia="宋体" w:cs="Times New Roman"/>
      <w:szCs w:val="20"/>
    </w:rPr>
  </w:style>
  <w:style w:type="paragraph" w:styleId="31">
    <w:name w:val="toc 9"/>
    <w:basedOn w:val="1"/>
    <w:next w:val="1"/>
    <w:qFormat/>
    <w:uiPriority w:val="9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link w:val="64"/>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3"/>
    <w:next w:val="13"/>
    <w:link w:val="53"/>
    <w:qFormat/>
    <w:uiPriority w:val="0"/>
    <w:rPr>
      <w:b/>
    </w:rPr>
  </w:style>
  <w:style w:type="paragraph" w:styleId="36">
    <w:name w:val="Body Text First Indent 2"/>
    <w:basedOn w:val="15"/>
    <w:qFormat/>
    <w:uiPriority w:val="99"/>
    <w:pPr>
      <w:spacing w:line="276" w:lineRule="auto"/>
      <w:ind w:firstLine="420" w:firstLineChars="200"/>
      <w:jc w:val="left"/>
    </w:p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字符"/>
    <w:basedOn w:val="40"/>
    <w:link w:val="4"/>
    <w:qFormat/>
    <w:uiPriority w:val="0"/>
    <w:rPr>
      <w:rFonts w:ascii="Calibri" w:hAnsi="Calibri" w:eastAsia="宋体" w:cs="Times New Roman"/>
      <w:b/>
      <w:bCs/>
      <w:kern w:val="44"/>
      <w:sz w:val="36"/>
      <w:szCs w:val="44"/>
    </w:rPr>
  </w:style>
  <w:style w:type="character" w:customStyle="1" w:styleId="49">
    <w:name w:val="标题 2 字符"/>
    <w:basedOn w:val="40"/>
    <w:link w:val="6"/>
    <w:qFormat/>
    <w:uiPriority w:val="99"/>
    <w:rPr>
      <w:rFonts w:ascii="Arial" w:hAnsi="Arial" w:eastAsia="宋体" w:cs="Times New Roman"/>
      <w:b/>
      <w:bCs/>
      <w:sz w:val="24"/>
      <w:szCs w:val="32"/>
    </w:rPr>
  </w:style>
  <w:style w:type="character" w:customStyle="1" w:styleId="50">
    <w:name w:val="标题 3 字符"/>
    <w:basedOn w:val="40"/>
    <w:link w:val="7"/>
    <w:qFormat/>
    <w:uiPriority w:val="0"/>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字符"/>
    <w:link w:val="20"/>
    <w:qFormat/>
    <w:uiPriority w:val="99"/>
  </w:style>
  <w:style w:type="character" w:customStyle="1" w:styleId="53">
    <w:name w:val="批注主题 字符"/>
    <w:link w:val="35"/>
    <w:qFormat/>
    <w:uiPriority w:val="0"/>
    <w:rPr>
      <w:b/>
    </w:rPr>
  </w:style>
  <w:style w:type="character" w:customStyle="1" w:styleId="54">
    <w:name w:val="正文文本缩进 3 字符"/>
    <w:link w:val="28"/>
    <w:qFormat/>
    <w:uiPriority w:val="99"/>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字符"/>
    <w:link w:val="23"/>
    <w:qFormat/>
    <w:uiPriority w:val="99"/>
    <w:rPr>
      <w:sz w:val="18"/>
    </w:rPr>
  </w:style>
  <w:style w:type="character" w:customStyle="1" w:styleId="61">
    <w:name w:val="BODY TEXT Char"/>
    <w:link w:val="62"/>
    <w:qFormat/>
    <w:uiPriority w:val="0"/>
    <w:rPr>
      <w:rFonts w:eastAsia="新宋体"/>
      <w:kern w:val="2"/>
      <w:sz w:val="21"/>
    </w:rPr>
  </w:style>
  <w:style w:type="paragraph" w:customStyle="1" w:styleId="62">
    <w:name w:val="正文文本1"/>
    <w:basedOn w:val="1"/>
    <w:link w:val="61"/>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3"/>
    <w:qFormat/>
    <w:uiPriority w:val="0"/>
  </w:style>
  <w:style w:type="character" w:customStyle="1" w:styleId="64">
    <w:name w:val="标题 字符"/>
    <w:link w:val="34"/>
    <w:qFormat/>
    <w:uiPriority w:val="0"/>
    <w:rPr>
      <w:rFonts w:ascii="Arial" w:hAnsi="Arial"/>
      <w:b/>
      <w:sz w:val="32"/>
    </w:rPr>
  </w:style>
  <w:style w:type="character" w:customStyle="1" w:styleId="65">
    <w:name w:val="日期 字符"/>
    <w:link w:val="19"/>
    <w:qFormat/>
    <w:uiPriority w:val="99"/>
    <w:rPr>
      <w:sz w:val="24"/>
    </w:rPr>
  </w:style>
  <w:style w:type="character" w:customStyle="1" w:styleId="66">
    <w:name w:val="ATXT_Bullets Zchn"/>
    <w:link w:val="67"/>
    <w:qFormat/>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1"/>
    <w:qFormat/>
    <w:uiPriority w:val="99"/>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uiPriority w:val="99"/>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7"/>
    <w:qFormat/>
    <w:uiPriority w:val="0"/>
    <w:rPr>
      <w:rFonts w:ascii="宋体" w:hAnsi="Courier New"/>
    </w:rPr>
  </w:style>
  <w:style w:type="character" w:customStyle="1" w:styleId="75">
    <w:name w:val="页脚 字符"/>
    <w:link w:val="22"/>
    <w:qFormat/>
    <w:uiPriority w:val="99"/>
    <w:rPr>
      <w:sz w:val="18"/>
    </w:rPr>
  </w:style>
  <w:style w:type="character" w:customStyle="1" w:styleId="76">
    <w:name w:val="Default Char"/>
    <w:link w:val="77"/>
    <w:qFormat/>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qFormat/>
    <w:uiPriority w:val="99"/>
    <w:rPr>
      <w:sz w:val="18"/>
    </w:rPr>
  </w:style>
  <w:style w:type="character" w:customStyle="1" w:styleId="79">
    <w:name w:val="批注文字 字符1"/>
    <w:basedOn w:val="40"/>
    <w:qFormat/>
    <w:uiPriority w:val="0"/>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5"/>
    <w:qFormat/>
    <w:uiPriority w:val="99"/>
    <w:rPr>
      <w:rFonts w:ascii="Calibri" w:hAnsi="Calibri" w:eastAsia="宋体" w:cs="Times New Roman"/>
      <w:szCs w:val="20"/>
    </w:rPr>
  </w:style>
  <w:style w:type="character" w:customStyle="1" w:styleId="82">
    <w:name w:val="文档结构图 字符1"/>
    <w:basedOn w:val="40"/>
    <w:qFormat/>
    <w:uiPriority w:val="99"/>
    <w:rPr>
      <w:rFonts w:ascii="Microsoft YaHei UI" w:eastAsia="Microsoft YaHei UI"/>
      <w:sz w:val="18"/>
      <w:szCs w:val="18"/>
    </w:rPr>
  </w:style>
  <w:style w:type="character" w:customStyle="1" w:styleId="83">
    <w:name w:val="文档结构图 字符11"/>
    <w:basedOn w:val="40"/>
    <w:qFormat/>
    <w:uiPriority w:val="99"/>
    <w:rPr>
      <w:rFonts w:ascii="Microsoft YaHei UI" w:eastAsia="Microsoft YaHei UI" w:cs="Times New Roman"/>
      <w:kern w:val="2"/>
      <w:sz w:val="18"/>
      <w:szCs w:val="18"/>
    </w:rPr>
  </w:style>
  <w:style w:type="character" w:customStyle="1" w:styleId="84">
    <w:name w:val="正文文本 字符"/>
    <w:basedOn w:val="40"/>
    <w:link w:val="2"/>
    <w:qFormat/>
    <w:uiPriority w:val="99"/>
    <w:rPr>
      <w:rFonts w:ascii="Calibri" w:hAnsi="Calibri" w:eastAsia="新宋体" w:cs="Times New Roman"/>
      <w:szCs w:val="21"/>
    </w:rPr>
  </w:style>
  <w:style w:type="character" w:customStyle="1" w:styleId="85">
    <w:name w:val="纯文本 字符1"/>
    <w:basedOn w:val="40"/>
    <w:qFormat/>
    <w:uiPriority w:val="0"/>
    <w:rPr>
      <w:rFonts w:ascii="等线" w:hAnsi="Courier New" w:cs="Courier New"/>
    </w:rPr>
  </w:style>
  <w:style w:type="character" w:customStyle="1" w:styleId="86">
    <w:name w:val="纯文本 字符11"/>
    <w:basedOn w:val="40"/>
    <w:qFormat/>
    <w:uiPriority w:val="0"/>
    <w:rPr>
      <w:rFonts w:ascii="等线" w:hAnsi="Courier New" w:eastAsia="等线" w:cs="Courier New"/>
      <w:kern w:val="2"/>
      <w:sz w:val="21"/>
    </w:rPr>
  </w:style>
  <w:style w:type="character" w:customStyle="1" w:styleId="87">
    <w:name w:val="页眉 字符1"/>
    <w:basedOn w:val="40"/>
    <w:qFormat/>
    <w:uiPriority w:val="99"/>
    <w:rPr>
      <w:sz w:val="18"/>
      <w:szCs w:val="18"/>
    </w:rPr>
  </w:style>
  <w:style w:type="character" w:customStyle="1" w:styleId="88">
    <w:name w:val="页眉 字符11"/>
    <w:basedOn w:val="40"/>
    <w:qFormat/>
    <w:uiPriority w:val="99"/>
    <w:rPr>
      <w:rFonts w:cs="Times New Roman"/>
      <w:kern w:val="2"/>
      <w:sz w:val="18"/>
      <w:szCs w:val="18"/>
    </w:rPr>
  </w:style>
  <w:style w:type="character" w:customStyle="1" w:styleId="89">
    <w:name w:val="批注框文本 字符1"/>
    <w:basedOn w:val="40"/>
    <w:qFormat/>
    <w:uiPriority w:val="99"/>
    <w:rPr>
      <w:sz w:val="18"/>
      <w:szCs w:val="18"/>
    </w:rPr>
  </w:style>
  <w:style w:type="character" w:customStyle="1" w:styleId="90">
    <w:name w:val="批注框文本 字符11"/>
    <w:basedOn w:val="40"/>
    <w:qFormat/>
    <w:uiPriority w:val="99"/>
    <w:rPr>
      <w:rFonts w:cs="Times New Roman"/>
      <w:kern w:val="2"/>
      <w:sz w:val="18"/>
      <w:szCs w:val="18"/>
    </w:rPr>
  </w:style>
  <w:style w:type="character" w:customStyle="1" w:styleId="91">
    <w:name w:val="日期 字符1"/>
    <w:basedOn w:val="40"/>
    <w:qFormat/>
    <w:uiPriority w:val="99"/>
  </w:style>
  <w:style w:type="character" w:customStyle="1" w:styleId="92">
    <w:name w:val="日期 字符11"/>
    <w:basedOn w:val="40"/>
    <w:qFormat/>
    <w:uiPriority w:val="99"/>
    <w:rPr>
      <w:rFonts w:cs="Times New Roman"/>
      <w:kern w:val="2"/>
      <w:sz w:val="21"/>
    </w:rPr>
  </w:style>
  <w:style w:type="character" w:customStyle="1" w:styleId="93">
    <w:name w:val="页脚 字符1"/>
    <w:basedOn w:val="40"/>
    <w:qFormat/>
    <w:uiPriority w:val="99"/>
    <w:rPr>
      <w:sz w:val="18"/>
      <w:szCs w:val="18"/>
    </w:rPr>
  </w:style>
  <w:style w:type="character" w:customStyle="1" w:styleId="94">
    <w:name w:val="页脚 字符11"/>
    <w:basedOn w:val="40"/>
    <w:qFormat/>
    <w:uiPriority w:val="99"/>
    <w:rPr>
      <w:rFonts w:cs="Times New Roman"/>
      <w:kern w:val="2"/>
      <w:sz w:val="18"/>
      <w:szCs w:val="18"/>
    </w:rPr>
  </w:style>
  <w:style w:type="character" w:customStyle="1" w:styleId="95">
    <w:name w:val="正文文本缩进 2 字符1"/>
    <w:basedOn w:val="40"/>
    <w:qFormat/>
    <w:uiPriority w:val="99"/>
  </w:style>
  <w:style w:type="character" w:customStyle="1" w:styleId="96">
    <w:name w:val="正文文本缩进 2 字符11"/>
    <w:basedOn w:val="40"/>
    <w:qFormat/>
    <w:uiPriority w:val="99"/>
    <w:rPr>
      <w:rFonts w:cs="Times New Roman"/>
      <w:kern w:val="2"/>
      <w:sz w:val="21"/>
    </w:rPr>
  </w:style>
  <w:style w:type="character" w:customStyle="1" w:styleId="97">
    <w:name w:val="正文文本缩进 3 字符1"/>
    <w:basedOn w:val="40"/>
    <w:qFormat/>
    <w:uiPriority w:val="99"/>
    <w:rPr>
      <w:sz w:val="16"/>
      <w:szCs w:val="16"/>
    </w:rPr>
  </w:style>
  <w:style w:type="character" w:customStyle="1" w:styleId="98">
    <w:name w:val="正文文本缩进 3 字符11"/>
    <w:basedOn w:val="40"/>
    <w:qFormat/>
    <w:uiPriority w:val="99"/>
    <w:rPr>
      <w:rFonts w:cs="Times New Roman"/>
      <w:kern w:val="2"/>
      <w:sz w:val="16"/>
      <w:szCs w:val="16"/>
    </w:rPr>
  </w:style>
  <w:style w:type="character" w:customStyle="1" w:styleId="99">
    <w:name w:val="批注主题 字符1"/>
    <w:basedOn w:val="79"/>
    <w:qFormat/>
    <w:uiPriority w:val="99"/>
    <w:rPr>
      <w:b/>
      <w:bCs/>
    </w:rPr>
  </w:style>
  <w:style w:type="character" w:customStyle="1" w:styleId="100">
    <w:name w:val="批注主题 字符11"/>
    <w:basedOn w:val="80"/>
    <w:qFormat/>
    <w:uiPriority w:val="99"/>
    <w:rPr>
      <w:rFonts w:cs="Times New Roman"/>
      <w:b/>
      <w:bCs/>
      <w:kern w:val="2"/>
      <w:sz w:val="21"/>
    </w:rPr>
  </w:style>
  <w:style w:type="character" w:customStyle="1" w:styleId="101">
    <w:name w:val="标题 字符1"/>
    <w:basedOn w:val="40"/>
    <w:qFormat/>
    <w:uiPriority w:val="10"/>
    <w:rPr>
      <w:rFonts w:ascii="等线 Light" w:hAnsi="等线 Light" w:eastAsia="等线 Light" w:cs="宋体"/>
      <w:b/>
      <w:bCs/>
      <w:sz w:val="32"/>
      <w:szCs w:val="32"/>
    </w:rPr>
  </w:style>
  <w:style w:type="character" w:customStyle="1" w:styleId="102">
    <w:name w:val="标题 字符11"/>
    <w:basedOn w:val="40"/>
    <w:qFormat/>
    <w:uiPriority w:val="10"/>
    <w:rPr>
      <w:rFonts w:ascii="等线 Light" w:hAnsi="等线 Light" w:eastAsia="等线 Light" w:cs="Times New Roman"/>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6"/>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uiPriority w:val="0"/>
    <w:rPr>
      <w:rFonts w:ascii="宋体" w:hAnsi="宋体" w:eastAsia="黑体" w:cs="Times New Roman"/>
      <w:bCs/>
      <w:sz w:val="28"/>
      <w:szCs w:val="30"/>
    </w:rPr>
  </w:style>
  <w:style w:type="character" w:customStyle="1" w:styleId="120">
    <w:name w:val="标书表格 字符"/>
    <w:link w:val="118"/>
    <w:qFormat/>
    <w:uiPriority w:val="0"/>
    <w:rPr>
      <w:rFonts w:ascii="Times New Roman" w:hAnsi="Times New Roman" w:eastAsia="宋体" w:cs="Times New Roman"/>
      <w:b/>
      <w:szCs w:val="20"/>
    </w:rPr>
  </w:style>
  <w:style w:type="paragraph" w:customStyle="1" w:styleId="121">
    <w:name w:val="标书三级标题"/>
    <w:basedOn w:val="7"/>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uiPriority w:val="0"/>
    <w:rPr>
      <w:rFonts w:ascii="Times New Roman" w:hAnsi="Times New Roman" w:eastAsia="宋体" w:cs="Times New Roman"/>
      <w:b/>
      <w:bCs/>
      <w:color w:val="000000"/>
      <w:sz w:val="24"/>
      <w:szCs w:val="24"/>
    </w:rPr>
  </w:style>
  <w:style w:type="character" w:customStyle="1" w:styleId="123">
    <w:name w:val="标三级标题 字符"/>
    <w:link w:val="124"/>
    <w:qFormat/>
    <w:uiPriority w:val="0"/>
    <w:rPr>
      <w:b/>
      <w:color w:val="000000"/>
      <w:sz w:val="24"/>
    </w:rPr>
  </w:style>
  <w:style w:type="paragraph" w:customStyle="1" w:styleId="124">
    <w:name w:val="标三级标题"/>
    <w:basedOn w:val="121"/>
    <w:link w:val="123"/>
    <w:qFormat/>
    <w:uiPriority w:val="0"/>
    <w:rPr>
      <w:rFonts w:ascii="等线" w:hAnsi="等线" w:eastAsia="等线" w:cs="宋体"/>
      <w:bCs w:val="0"/>
      <w:szCs w:val="22"/>
    </w:rPr>
  </w:style>
  <w:style w:type="character" w:customStyle="1" w:styleId="125">
    <w:name w:val="标正文 字符"/>
    <w:link w:val="126"/>
    <w:qFormat/>
    <w:uiPriority w:val="0"/>
    <w:rPr>
      <w:rFonts w:ascii="宋体" w:eastAsia="宋体"/>
      <w:color w:val="000000"/>
      <w:sz w:val="24"/>
    </w:rPr>
  </w:style>
  <w:style w:type="paragraph" w:customStyle="1" w:styleId="126">
    <w:name w:val="标正文"/>
    <w:basedOn w:val="115"/>
    <w:link w:val="125"/>
    <w:qFormat/>
    <w:uiPriority w:val="0"/>
    <w:pPr>
      <w:ind w:firstLine="480"/>
    </w:pPr>
    <w:rPr>
      <w:rFonts w:hAnsi="等线" w:eastAsia="宋体"/>
      <w:szCs w:val="22"/>
    </w:rPr>
  </w:style>
  <w:style w:type="paragraph" w:customStyle="1" w:styleId="127">
    <w:name w:val="TOC 标题1"/>
    <w:basedOn w:val="4"/>
    <w:next w:val="1"/>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4"/>
    <w:link w:val="138"/>
    <w:qFormat/>
    <w:uiPriority w:val="0"/>
    <w:rPr>
      <w:rFonts w:eastAsia="黑体"/>
      <w:b w:val="0"/>
      <w:color w:val="000000"/>
      <w:sz w:val="30"/>
      <w:szCs w:val="24"/>
    </w:rPr>
  </w:style>
  <w:style w:type="paragraph" w:customStyle="1" w:styleId="135">
    <w:name w:val="修订1"/>
    <w:qFormat/>
    <w:uiPriority w:val="99"/>
    <w:rPr>
      <w:rFonts w:ascii="等线" w:hAnsi="等线" w:eastAsia="等线" w:cs="宋体"/>
      <w:kern w:val="2"/>
      <w:sz w:val="21"/>
      <w:szCs w:val="22"/>
      <w:lang w:val="en-US" w:eastAsia="zh-CN" w:bidi="ar-SA"/>
    </w:rPr>
  </w:style>
  <w:style w:type="paragraph" w:customStyle="1" w:styleId="136">
    <w:name w:val="一级条标题"/>
    <w:next w:val="1"/>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qFormat/>
    <w:uiPriority w:val="0"/>
    <w:rPr>
      <w:rFonts w:ascii="宋体" w:hAnsi="Courier New" w:eastAsia="宋体"/>
      <w:kern w:val="2"/>
      <w:sz w:val="21"/>
      <w:lang w:val="en-US" w:eastAsia="zh-CN" w:bidi="ar-SA"/>
    </w:rPr>
  </w:style>
  <w:style w:type="character" w:customStyle="1" w:styleId="138">
    <w:name w:val="标书一级标题 字符"/>
    <w:link w:val="134"/>
    <w:qFormat/>
    <w:uiPriority w:val="0"/>
    <w:rPr>
      <w:rFonts w:ascii="等线" w:hAnsi="等线" w:eastAsia="黑体" w:cs="宋体"/>
      <w:bCs/>
      <w:color w:val="000000"/>
      <w:kern w:val="44"/>
      <w:sz w:val="30"/>
      <w:szCs w:val="24"/>
    </w:rPr>
  </w:style>
  <w:style w:type="character" w:customStyle="1" w:styleId="139">
    <w:name w:val="Char Char21"/>
    <w:qFormat/>
    <w:uiPriority w:val="0"/>
    <w:rPr>
      <w:rFonts w:ascii="宋体" w:hAnsi="Courier New" w:cs="宋体"/>
      <w:kern w:val="2"/>
      <w:sz w:val="21"/>
      <w:szCs w:val="21"/>
    </w:rPr>
  </w:style>
  <w:style w:type="character" w:customStyle="1" w:styleId="140">
    <w:name w:val="Char Char51"/>
    <w:qFormat/>
    <w:uiPriority w:val="0"/>
    <w:rPr>
      <w:rFonts w:ascii="宋体" w:hAnsi="Courier New" w:eastAsia="宋体"/>
      <w:kern w:val="2"/>
      <w:sz w:val="21"/>
      <w:lang w:val="en-US" w:eastAsia="zh-CN" w:bidi="ar-SA"/>
    </w:rPr>
  </w:style>
  <w:style w:type="paragraph" w:customStyle="1" w:styleId="141">
    <w:name w:val="列表段落1"/>
    <w:basedOn w:val="1"/>
    <w:qFormat/>
    <w:uiPriority w:val="0"/>
    <w:pPr>
      <w:ind w:firstLine="420" w:firstLineChars="200"/>
    </w:pPr>
    <w:rPr>
      <w:rFonts w:ascii="Calibri" w:hAnsi="Calibri" w:eastAsia="宋体" w:cs="Times New Roman"/>
    </w:rPr>
  </w:style>
  <w:style w:type="paragraph" w:customStyle="1" w:styleId="142">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qFormat/>
    <w:uiPriority w:val="0"/>
    <w:rPr>
      <w:rFonts w:ascii="宋体" w:hAnsi="Courier New" w:eastAsia="宋体"/>
      <w:kern w:val="2"/>
      <w:sz w:val="21"/>
      <w:lang w:val="en-US" w:eastAsia="zh-CN" w:bidi="ar-SA"/>
    </w:rPr>
  </w:style>
  <w:style w:type="character" w:customStyle="1" w:styleId="144">
    <w:name w:val="HR正文 Char1"/>
    <w:link w:val="145"/>
    <w:qFormat/>
    <w:uiPriority w:val="0"/>
    <w:rPr>
      <w:kern w:val="2"/>
      <w:sz w:val="24"/>
      <w:szCs w:val="24"/>
    </w:rPr>
  </w:style>
  <w:style w:type="paragraph" w:customStyle="1" w:styleId="145">
    <w:name w:val="HR正文"/>
    <w:basedOn w:val="1"/>
    <w:link w:val="144"/>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qFormat/>
    <w:uiPriority w:val="0"/>
    <w:rPr>
      <w:rFonts w:ascii="宋体" w:hAnsi="Courier New"/>
      <w:kern w:val="2"/>
      <w:sz w:val="21"/>
    </w:rPr>
  </w:style>
  <w:style w:type="paragraph" w:customStyle="1" w:styleId="147">
    <w:name w:val="Revision_4596799c-76d9-419d-95a5-44a15370b7a4"/>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qFormat/>
    <w:uiPriority w:val="34"/>
    <w:pPr>
      <w:ind w:firstLine="420" w:firstLineChars="200"/>
    </w:pPr>
    <w:rPr>
      <w:rFonts w:ascii="Calibri" w:hAnsi="Calibri" w:eastAsia="宋体" w:cs="Times New Roman"/>
    </w:rPr>
  </w:style>
  <w:style w:type="character" w:customStyle="1" w:styleId="149">
    <w:name w:val="列表段落 字符"/>
    <w:link w:val="148"/>
    <w:qFormat/>
    <w:uiPriority w:val="34"/>
    <w:rPr>
      <w:rFonts w:ascii="Calibri" w:hAnsi="Calibri"/>
      <w:kern w:val="2"/>
      <w:sz w:val="21"/>
      <w:szCs w:val="22"/>
    </w:rPr>
  </w:style>
  <w:style w:type="paragraph" w:customStyle="1" w:styleId="150">
    <w:name w:val="正文文本11"/>
    <w:basedOn w:val="1"/>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qFormat/>
    <w:uiPriority w:val="0"/>
    <w:pPr>
      <w:ind w:firstLine="420" w:firstLineChars="200"/>
    </w:pPr>
    <w:rPr>
      <w:rFonts w:ascii="Calibri" w:hAnsi="Calibri" w:eastAsia="宋体" w:cs="Times New Roman"/>
    </w:rPr>
  </w:style>
  <w:style w:type="paragraph" w:customStyle="1" w:styleId="152">
    <w:name w:val="ATXT_Standard_1"/>
    <w:qFormat/>
    <w:uiPriority w:val="99"/>
    <w:pPr>
      <w:jc w:val="both"/>
    </w:pPr>
    <w:rPr>
      <w:rFonts w:ascii="Arial" w:hAnsi="Arial" w:eastAsia="宋体" w:cs="Times New Roman"/>
      <w:lang w:val="de-DE" w:eastAsia="zh-CN" w:bidi="th-TH"/>
    </w:rPr>
  </w:style>
  <w:style w:type="paragraph" w:customStyle="1" w:styleId="153">
    <w:name w:val="Normal_2"/>
    <w:qFormat/>
    <w:uiPriority w:val="0"/>
    <w:pPr>
      <w:spacing w:after="160" w:line="259" w:lineRule="auto"/>
    </w:pPr>
    <w:rPr>
      <w:rFonts w:ascii="Arial" w:hAnsi="Arial" w:eastAsia="等线" w:cs="Arial"/>
      <w:szCs w:val="28"/>
      <w:lang w:val="de-DE" w:eastAsia="zh-CN" w:bidi="th-TH"/>
    </w:rPr>
  </w:style>
  <w:style w:type="character" w:customStyle="1" w:styleId="154">
    <w:name w:val="Char Char32"/>
    <w:qFormat/>
    <w:uiPriority w:val="0"/>
    <w:rPr>
      <w:rFonts w:ascii="宋体" w:hAnsi="Courier New" w:eastAsia="宋体"/>
      <w:kern w:val="2"/>
      <w:sz w:val="21"/>
      <w:lang w:val="en-US" w:eastAsia="zh-CN" w:bidi="ar-SA"/>
    </w:rPr>
  </w:style>
  <w:style w:type="character" w:customStyle="1" w:styleId="155">
    <w:name w:val="Char Char22"/>
    <w:qFormat/>
    <w:uiPriority w:val="0"/>
    <w:rPr>
      <w:rFonts w:ascii="宋体" w:hAnsi="Courier New" w:cs="宋体"/>
      <w:kern w:val="2"/>
      <w:sz w:val="21"/>
      <w:szCs w:val="21"/>
    </w:rPr>
  </w:style>
  <w:style w:type="paragraph" w:customStyle="1" w:styleId="156">
    <w:name w:val="正文文本2"/>
    <w:basedOn w:val="1"/>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qFormat/>
    <w:uiPriority w:val="0"/>
    <w:rPr>
      <w:rFonts w:ascii="宋体" w:hAnsi="Courier New" w:eastAsia="宋体"/>
      <w:kern w:val="2"/>
      <w:sz w:val="21"/>
      <w:lang w:val="en-US" w:eastAsia="zh-CN" w:bidi="ar-SA"/>
    </w:rPr>
  </w:style>
  <w:style w:type="paragraph" w:customStyle="1" w:styleId="158">
    <w:name w:val="列表段落2"/>
    <w:basedOn w:val="1"/>
    <w:qFormat/>
    <w:uiPriority w:val="0"/>
    <w:pPr>
      <w:ind w:firstLine="420" w:firstLineChars="200"/>
    </w:pPr>
    <w:rPr>
      <w:rFonts w:ascii="Calibri" w:hAnsi="Calibri" w:eastAsia="宋体" w:cs="Times New Roman"/>
    </w:rPr>
  </w:style>
  <w:style w:type="character" w:customStyle="1" w:styleId="159">
    <w:name w:val="Char Char33"/>
    <w:qFormat/>
    <w:uiPriority w:val="0"/>
    <w:rPr>
      <w:rFonts w:ascii="宋体" w:hAnsi="Courier New" w:eastAsia="宋体"/>
      <w:kern w:val="2"/>
      <w:sz w:val="21"/>
      <w:lang w:val="en-US" w:eastAsia="zh-CN" w:bidi="ar-SA"/>
    </w:rPr>
  </w:style>
  <w:style w:type="character" w:customStyle="1" w:styleId="160">
    <w:name w:val="Char Char23"/>
    <w:qFormat/>
    <w:uiPriority w:val="0"/>
    <w:rPr>
      <w:rFonts w:ascii="宋体" w:hAnsi="Courier New" w:cs="宋体"/>
      <w:kern w:val="2"/>
      <w:sz w:val="21"/>
      <w:szCs w:val="21"/>
    </w:rPr>
  </w:style>
  <w:style w:type="paragraph" w:customStyle="1" w:styleId="161">
    <w:name w:val="正文文本3"/>
    <w:basedOn w:val="1"/>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qFormat/>
    <w:uiPriority w:val="0"/>
    <w:rPr>
      <w:rFonts w:ascii="宋体" w:hAnsi="Courier New" w:eastAsia="宋体"/>
      <w:kern w:val="2"/>
      <w:sz w:val="21"/>
      <w:lang w:val="en-US" w:eastAsia="zh-CN" w:bidi="ar-SA"/>
    </w:rPr>
  </w:style>
  <w:style w:type="paragraph" w:customStyle="1" w:styleId="163">
    <w:name w:val="列表段落3"/>
    <w:basedOn w:val="1"/>
    <w:qFormat/>
    <w:uiPriority w:val="0"/>
    <w:pPr>
      <w:ind w:firstLine="420" w:firstLineChars="200"/>
    </w:pPr>
    <w:rPr>
      <w:rFonts w:ascii="Calibri" w:hAnsi="Calibri" w:eastAsia="宋体" w:cs="Times New Roman"/>
    </w:rPr>
  </w:style>
  <w:style w:type="character" w:customStyle="1" w:styleId="164">
    <w:name w:val="cf01"/>
    <w:basedOn w:val="40"/>
    <w:qFormat/>
    <w:uiPriority w:val="0"/>
    <w:rPr>
      <w:rFonts w:hint="eastAsia" w:ascii="Microsoft YaHei UI" w:hAnsi="Microsoft YaHei UI" w:eastAsia="Microsoft YaHei UI"/>
      <w:sz w:val="18"/>
      <w:szCs w:val="18"/>
    </w:rPr>
  </w:style>
  <w:style w:type="character" w:customStyle="1" w:styleId="165">
    <w:name w:val="cf11"/>
    <w:basedOn w:val="40"/>
    <w:qFormat/>
    <w:uiPriority w:val="0"/>
    <w:rPr>
      <w:rFonts w:hint="eastAsia" w:ascii="Microsoft YaHei UI" w:hAnsi="Microsoft YaHei UI" w:eastAsia="Microsoft YaHei UI"/>
      <w:sz w:val="18"/>
      <w:szCs w:val="18"/>
    </w:rPr>
  </w:style>
  <w:style w:type="character" w:customStyle="1" w:styleId="166">
    <w:name w:val="cf21"/>
    <w:basedOn w:val="40"/>
    <w:qFormat/>
    <w:uiPriority w:val="0"/>
    <w:rPr>
      <w:rFonts w:hint="eastAsia" w:ascii="Microsoft YaHei UI" w:hAnsi="Microsoft YaHei UI" w:eastAsia="Microsoft YaHei UI"/>
      <w:sz w:val="18"/>
      <w:szCs w:val="18"/>
    </w:rPr>
  </w:style>
  <w:style w:type="paragraph" w:customStyle="1" w:styleId="167">
    <w:name w:val="pf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qFormat/>
    <w:uiPriority w:val="0"/>
    <w:rPr>
      <w:rFonts w:hint="eastAsia" w:ascii="Microsoft YaHei UI" w:hAnsi="Microsoft YaHei UI" w:eastAsia="Microsoft YaHei UI"/>
      <w:sz w:val="18"/>
      <w:szCs w:val="18"/>
    </w:rPr>
  </w:style>
  <w:style w:type="character" w:customStyle="1" w:styleId="169">
    <w:name w:val="cf41"/>
    <w:basedOn w:val="40"/>
    <w:qFormat/>
    <w:uiPriority w:val="0"/>
    <w:rPr>
      <w:rFonts w:hint="eastAsia" w:ascii="Microsoft YaHei UI" w:hAnsi="Microsoft YaHei UI" w:eastAsia="Microsoft YaHei UI"/>
      <w:sz w:val="18"/>
      <w:szCs w:val="18"/>
    </w:rPr>
  </w:style>
  <w:style w:type="paragraph" w:customStyle="1" w:styleId="170">
    <w:name w:val="ATXT_Bullets_1_6"/>
    <w:basedOn w:val="1"/>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4"/>
    <w:next w:val="1"/>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qFormat/>
    <w:uiPriority w:val="0"/>
    <w:rPr>
      <w:b/>
      <w:kern w:val="2"/>
      <w:sz w:val="24"/>
    </w:rPr>
  </w:style>
  <w:style w:type="table" w:customStyle="1" w:styleId="173">
    <w:name w:val="Rohde &amp; Schwarz - Standard Table"/>
    <w:basedOn w:val="37"/>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qFormat/>
    <w:uiPriority w:val="0"/>
    <w:rPr>
      <w:rFonts w:hint="eastAsia" w:ascii="宋体" w:hAnsi="宋体" w:eastAsia="宋体"/>
      <w:color w:val="000000"/>
      <w:sz w:val="24"/>
      <w:szCs w:val="24"/>
    </w:rPr>
  </w:style>
  <w:style w:type="paragraph" w:styleId="175">
    <w:name w:val="No Spacing"/>
    <w:qFormat/>
    <w:uiPriority w:val="1"/>
    <w:rPr>
      <w:rFonts w:ascii="等线" w:hAnsi="等线" w:eastAsia="等线" w:cs="Times New Roman"/>
      <w:sz w:val="21"/>
      <w:szCs w:val="21"/>
      <w:lang w:val="en-US" w:eastAsia="zh-CN" w:bidi="ar-SA"/>
    </w:rPr>
  </w:style>
  <w:style w:type="character" w:customStyle="1" w:styleId="176">
    <w:name w:val="Classification"/>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9527</Words>
  <Characters>10215</Characters>
  <Paragraphs>7238</Paragraphs>
  <TotalTime>1</TotalTime>
  <ScaleCrop>false</ScaleCrop>
  <LinksUpToDate>false</LinksUpToDate>
  <CharactersWithSpaces>10306</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轻途</cp:lastModifiedBy>
  <cp:lastPrinted>2023-04-10T06:57:00Z</cp:lastPrinted>
  <dcterms:modified xsi:type="dcterms:W3CDTF">2025-09-16T00:44:21Z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1318D26192794898BEA6690DD9790FE0</vt:lpwstr>
  </property>
  <property fmtid="{D5CDD505-2E9C-101B-9397-08002B2CF9AE}" pid="4" name="KSOTemplateDocerSaveRecord">
    <vt:lpwstr>eyJoZGlkIjoiZjJiN2UwZGVhMjdjNmU0YWY0NGMzNmUzNzc3NmY5ODAiLCJ1c2VySWQiOiI0NTU4OTM3NDYifQ==</vt:lpwstr>
  </property>
</Properties>
</file>