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8"/>
        <w:jc w:val="center"/>
        <w:rPr>
          <w:rFonts w:hint="default" w:ascii="宋体" w:hAnsi="宋体"/>
          <w:b/>
          <w:sz w:val="48"/>
          <w:szCs w:val="48"/>
          <w:highlight w:val="none"/>
          <w:lang w:val="en-US" w:eastAsia="zh-CN"/>
        </w:rPr>
      </w:pPr>
      <w:r>
        <w:rPr>
          <w:rFonts w:hint="eastAsia" w:ascii="宋体" w:hAnsi="宋体"/>
          <w:b/>
          <w:sz w:val="48"/>
          <w:szCs w:val="48"/>
          <w:highlight w:val="none"/>
          <w:lang w:val="en-US" w:eastAsia="zh-CN"/>
        </w:rPr>
        <w:t xml:space="preserve"> </w:t>
      </w:r>
    </w:p>
    <w:p>
      <w:pPr>
        <w:jc w:val="center"/>
        <w:rPr>
          <w:rFonts w:hint="eastAsia" w:ascii="宋体" w:hAnsi="宋体" w:cs="Times New Roman"/>
          <w:b/>
          <w:sz w:val="50"/>
          <w:highlight w:val="none"/>
          <w:u w:val="none"/>
          <w:lang w:val="en-US" w:eastAsia="zh-CN"/>
        </w:rPr>
      </w:pPr>
      <w:r>
        <w:rPr>
          <w:rFonts w:hint="eastAsia" w:ascii="宋体" w:hAnsi="宋体" w:cs="Times New Roman"/>
          <w:b/>
          <w:sz w:val="50"/>
          <w:highlight w:val="none"/>
          <w:u w:val="none"/>
          <w:lang w:val="en-US" w:eastAsia="zh-CN"/>
        </w:rPr>
        <w:t>科技中心园区二层平台建设塑胶跑道项目</w:t>
      </w:r>
    </w:p>
    <w:p>
      <w:pPr>
        <w:pStyle w:val="2"/>
        <w:rPr>
          <w:rFonts w:hint="eastAsia"/>
          <w:highlight w:val="none"/>
        </w:rPr>
      </w:pPr>
    </w:p>
    <w:p>
      <w:pPr>
        <w:jc w:val="center"/>
        <w:rPr>
          <w:rFonts w:hint="eastAsia" w:ascii="宋体" w:hAnsi="宋体"/>
          <w:sz w:val="72"/>
          <w:szCs w:val="72"/>
          <w:highlight w:val="none"/>
        </w:rPr>
      </w:pPr>
      <w:r>
        <w:rPr>
          <w:rFonts w:hint="eastAsia" w:ascii="宋体" w:hAnsi="宋体"/>
          <w:sz w:val="72"/>
          <w:szCs w:val="72"/>
          <w:highlight w:val="none"/>
        </w:rPr>
        <w:t>招  标  文  件</w:t>
      </w:r>
    </w:p>
    <w:p>
      <w:pPr>
        <w:rPr>
          <w:rFonts w:hint="eastAsia" w:ascii="宋体" w:hAnsi="宋体"/>
          <w:sz w:val="24"/>
          <w:highlight w:val="none"/>
        </w:rPr>
      </w:pPr>
    </w:p>
    <w:p>
      <w:pPr>
        <w:jc w:val="center"/>
        <w:rPr>
          <w:rFonts w:hint="eastAsia" w:ascii="宋体" w:hAnsi="宋体"/>
          <w:b/>
          <w:bCs/>
          <w:sz w:val="36"/>
          <w:highlight w:val="none"/>
        </w:rPr>
      </w:pPr>
    </w:p>
    <w:p>
      <w:pPr>
        <w:spacing w:line="480" w:lineRule="auto"/>
        <w:jc w:val="center"/>
        <w:rPr>
          <w:rFonts w:hint="eastAsia" w:ascii="宋体" w:hAnsi="宋体" w:eastAsia="宋体"/>
          <w:b/>
          <w:bCs w:val="0"/>
          <w:sz w:val="32"/>
          <w:szCs w:val="32"/>
          <w:highlight w:val="none"/>
          <w:lang w:val="en-US" w:eastAsia="zh-CN"/>
        </w:rPr>
      </w:pPr>
      <w:r>
        <w:rPr>
          <w:rFonts w:hint="eastAsia" w:ascii="宋体" w:hAnsi="宋体"/>
          <w:bCs/>
          <w:sz w:val="32"/>
          <w:szCs w:val="32"/>
          <w:highlight w:val="none"/>
        </w:rPr>
        <w:t>采购形式编号：</w:t>
      </w:r>
      <w:r>
        <w:rPr>
          <w:rFonts w:hint="eastAsia" w:ascii="宋体" w:hAnsi="宋体"/>
          <w:b/>
          <w:bCs w:val="0"/>
          <w:sz w:val="32"/>
          <w:szCs w:val="32"/>
          <w:highlight w:val="none"/>
          <w:u w:val="single"/>
          <w:lang w:eastAsia="zh-CN"/>
        </w:rPr>
        <w:t>CGZX2025070215</w:t>
      </w:r>
    </w:p>
    <w:p>
      <w:pPr>
        <w:spacing w:line="276" w:lineRule="auto"/>
        <w:rPr>
          <w:rFonts w:hint="eastAsia" w:ascii="宋体" w:hAnsi="宋体"/>
          <w:sz w:val="28"/>
          <w:szCs w:val="28"/>
          <w:highlight w:val="none"/>
        </w:rPr>
      </w:pPr>
    </w:p>
    <w:p>
      <w:pPr>
        <w:pStyle w:val="3"/>
        <w:rPr>
          <w:rFonts w:hint="eastAsia" w:ascii="宋体" w:hAnsi="宋体"/>
          <w:sz w:val="28"/>
          <w:szCs w:val="28"/>
          <w:highlight w:val="none"/>
        </w:rPr>
      </w:pPr>
    </w:p>
    <w:p>
      <w:pPr>
        <w:pStyle w:val="3"/>
        <w:rPr>
          <w:rFonts w:hint="eastAsia" w:ascii="宋体" w:hAnsi="宋体"/>
          <w:sz w:val="28"/>
          <w:szCs w:val="28"/>
          <w:highlight w:val="none"/>
        </w:rPr>
      </w:pPr>
    </w:p>
    <w:p>
      <w:pPr>
        <w:spacing w:line="276" w:lineRule="auto"/>
        <w:rPr>
          <w:rFonts w:hint="eastAsia" w:ascii="宋体" w:hAnsi="宋体"/>
          <w:sz w:val="28"/>
          <w:szCs w:val="28"/>
          <w:highlight w:val="none"/>
        </w:rPr>
      </w:pPr>
    </w:p>
    <w:p>
      <w:pPr>
        <w:spacing w:line="480" w:lineRule="auto"/>
        <w:ind w:left="487" w:leftChars="86" w:hanging="306" w:hangingChars="85"/>
        <w:jc w:val="center"/>
        <w:rPr>
          <w:rFonts w:hint="eastAsia" w:ascii="宋体" w:hAnsi="宋体" w:eastAsia="宋体" w:cs="Times New Roman"/>
          <w:color w:val="auto"/>
          <w:sz w:val="36"/>
          <w:szCs w:val="36"/>
          <w:highlight w:val="none"/>
        </w:rPr>
      </w:pPr>
    </w:p>
    <w:p>
      <w:pPr>
        <w:spacing w:line="480" w:lineRule="auto"/>
        <w:ind w:left="487" w:leftChars="86" w:hanging="306" w:hangingChars="85"/>
        <w:jc w:val="center"/>
        <w:rPr>
          <w:rFonts w:hint="eastAsia" w:ascii="宋体" w:hAnsi="宋体" w:cs="Times New Roman"/>
          <w:color w:val="auto"/>
          <w:sz w:val="36"/>
          <w:szCs w:val="36"/>
          <w:highlight w:val="none"/>
          <w:lang w:val="en-US" w:eastAsia="zh-CN"/>
        </w:rPr>
      </w:pPr>
      <w:r>
        <w:rPr>
          <w:rFonts w:hint="eastAsia" w:ascii="宋体" w:hAnsi="宋体" w:eastAsia="宋体" w:cs="Times New Roman"/>
          <w:color w:val="auto"/>
          <w:sz w:val="36"/>
          <w:szCs w:val="36"/>
          <w:highlight w:val="none"/>
        </w:rPr>
        <w:t>招标人：</w:t>
      </w:r>
      <w:r>
        <w:rPr>
          <w:rFonts w:hint="eastAsia" w:ascii="宋体" w:hAnsi="宋体" w:cs="Times New Roman"/>
          <w:color w:val="auto"/>
          <w:sz w:val="36"/>
          <w:szCs w:val="36"/>
          <w:highlight w:val="none"/>
          <w:lang w:val="en-US" w:eastAsia="zh-CN"/>
        </w:rPr>
        <w:t>中国重汽集团济南动力有限公司</w:t>
      </w:r>
    </w:p>
    <w:p>
      <w:pPr>
        <w:spacing w:line="480" w:lineRule="auto"/>
        <w:ind w:left="487" w:leftChars="86" w:hanging="306" w:hangingChars="85"/>
        <w:jc w:val="center"/>
        <w:rPr>
          <w:rFonts w:ascii="宋体" w:hAnsi="宋体"/>
          <w:sz w:val="36"/>
          <w:szCs w:val="36"/>
          <w:highlight w:val="none"/>
        </w:rPr>
        <w:sectPr>
          <w:headerReference r:id="rId5" w:type="default"/>
          <w:footerReference r:id="rId6" w:type="default"/>
          <w:footerReference r:id="rId7"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rPr>
        <w:t>二〇</w:t>
      </w:r>
      <w:r>
        <w:rPr>
          <w:rFonts w:hint="eastAsia" w:ascii="宋体" w:hAnsi="宋体"/>
          <w:sz w:val="36"/>
          <w:szCs w:val="36"/>
          <w:highlight w:val="none"/>
          <w:lang w:eastAsia="zh-CN"/>
        </w:rPr>
        <w:t>二</w:t>
      </w:r>
      <w:r>
        <w:rPr>
          <w:rFonts w:hint="eastAsia" w:ascii="宋体" w:hAnsi="宋体"/>
          <w:sz w:val="36"/>
          <w:szCs w:val="36"/>
          <w:highlight w:val="none"/>
          <w:lang w:val="en-US" w:eastAsia="zh-CN"/>
        </w:rPr>
        <w:t>五</w:t>
      </w:r>
      <w:r>
        <w:rPr>
          <w:rFonts w:hint="eastAsia" w:ascii="宋体" w:hAnsi="宋体"/>
          <w:sz w:val="36"/>
          <w:szCs w:val="36"/>
          <w:highlight w:val="none"/>
        </w:rPr>
        <w:t>年</w:t>
      </w:r>
      <w:r>
        <w:rPr>
          <w:rFonts w:hint="eastAsia" w:ascii="宋体" w:hAnsi="宋体"/>
          <w:sz w:val="36"/>
          <w:szCs w:val="36"/>
          <w:highlight w:val="none"/>
          <w:lang w:val="en-US" w:eastAsia="zh-CN"/>
        </w:rPr>
        <w:t>七</w:t>
      </w:r>
      <w:r>
        <w:rPr>
          <w:rFonts w:hint="eastAsia" w:ascii="宋体" w:hAnsi="宋体"/>
          <w:sz w:val="36"/>
          <w:szCs w:val="36"/>
          <w:highlight w:val="none"/>
        </w:rPr>
        <w:t>月</w:t>
      </w:r>
    </w:p>
    <w:p>
      <w:pPr>
        <w:spacing w:line="480" w:lineRule="auto"/>
        <w:jc w:val="center"/>
        <w:rPr>
          <w:rFonts w:hint="eastAsia" w:ascii="宋体" w:hAnsi="宋体"/>
          <w:b/>
          <w:bCs/>
          <w:sz w:val="48"/>
          <w:szCs w:val="48"/>
          <w:highlight w:val="none"/>
        </w:rPr>
      </w:pPr>
      <w:r>
        <w:rPr>
          <w:rFonts w:hint="eastAsia" w:ascii="宋体" w:hAnsi="宋体"/>
          <w:b/>
          <w:sz w:val="48"/>
          <w:szCs w:val="48"/>
          <w:highlight w:val="none"/>
          <w:lang w:val="en-US" w:eastAsia="zh-CN"/>
        </w:rPr>
        <w:t xml:space="preserve"> </w:t>
      </w:r>
      <w:r>
        <w:rPr>
          <w:rFonts w:ascii="宋体" w:hAnsi="宋体"/>
          <w:b/>
          <w:bCs/>
          <w:sz w:val="48"/>
          <w:szCs w:val="48"/>
          <w:highlight w:val="none"/>
        </w:rPr>
        <w:t>目   录</w:t>
      </w:r>
    </w:p>
    <w:p>
      <w:pPr>
        <w:tabs>
          <w:tab w:val="left" w:pos="3240"/>
        </w:tabs>
        <w:spacing w:line="480" w:lineRule="auto"/>
        <w:rPr>
          <w:rFonts w:hint="eastAsia" w:ascii="宋体" w:hAnsi="宋体"/>
          <w:b/>
          <w:bCs/>
          <w:sz w:val="24"/>
          <w:highlight w:val="none"/>
        </w:rPr>
      </w:pPr>
      <w:r>
        <w:rPr>
          <w:rFonts w:ascii="宋体" w:hAnsi="宋体"/>
          <w:b/>
          <w:bCs/>
          <w:sz w:val="24"/>
          <w:highlight w:val="none"/>
        </w:rPr>
        <w:tab/>
      </w:r>
    </w:p>
    <w:p>
      <w:pPr>
        <w:jc w:val="center"/>
        <w:rPr>
          <w:highlight w:val="none"/>
        </w:rPr>
      </w:pPr>
    </w:p>
    <w:p>
      <w:pPr>
        <w:pStyle w:val="13"/>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"_Toc54267469"</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 xml:space="preserve">第一章  </w:t>
      </w:r>
      <w:r>
        <w:rPr>
          <w:rStyle w:val="24"/>
          <w:rFonts w:hint="eastAsia"/>
          <w:b w:val="0"/>
          <w:bCs w:val="0"/>
          <w:highlight w:val="none"/>
          <w:lang w:val="en-US" w:eastAsia="zh-CN"/>
        </w:rPr>
        <w:t>投标须知</w:t>
      </w:r>
      <w:r>
        <w:rPr>
          <w:b w:val="0"/>
          <w:bCs w:val="0"/>
          <w:highlight w:val="none"/>
        </w:rPr>
        <w:tab/>
      </w:r>
      <w:r>
        <w:rPr>
          <w:b w:val="0"/>
          <w:bCs w:val="0"/>
          <w:highlight w:val="none"/>
        </w:rPr>
        <w:t>1</w:t>
      </w:r>
      <w:r>
        <w:rPr>
          <w:b w:val="0"/>
          <w:bCs w:val="0"/>
          <w:highlight w:val="none"/>
        </w:rPr>
        <w:fldChar w:fldCharType="end"/>
      </w:r>
    </w:p>
    <w:p>
      <w:pPr>
        <w:pStyle w:val="13"/>
        <w:rPr>
          <w:rFonts w:ascii="等线" w:hAnsi="等线" w:eastAsia="等线"/>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"_Toc54267470"</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第二章  投标文件编制</w:t>
      </w:r>
      <w:r>
        <w:rPr>
          <w:b w:val="0"/>
          <w:bCs w:val="0"/>
          <w:highlight w:val="none"/>
        </w:rPr>
        <w:tab/>
      </w:r>
      <w:r>
        <w:rPr>
          <w:rFonts w:hint="eastAsia"/>
          <w:b w:val="0"/>
          <w:bCs w:val="0"/>
          <w:highlight w:val="none"/>
          <w:lang w:val="en-US" w:eastAsia="zh-CN"/>
        </w:rPr>
        <w:t>9</w:t>
      </w:r>
      <w:r>
        <w:rPr>
          <w:b w:val="0"/>
          <w:bCs w:val="0"/>
          <w:highlight w:val="none"/>
        </w:rPr>
        <w:fldChar w:fldCharType="end"/>
      </w:r>
    </w:p>
    <w:p>
      <w:pPr>
        <w:pStyle w:val="13"/>
        <w:rPr>
          <w:rFonts w:hint="default" w:ascii="等线" w:hAnsi="等线"/>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"_Toc54267471"</w:instrText>
      </w:r>
      <w:r>
        <w:rPr>
          <w:rStyle w:val="24"/>
          <w:b w:val="0"/>
          <w:bCs w:val="0"/>
          <w:highlight w:val="none"/>
        </w:rPr>
        <w:instrText xml:space="preserve"> </w:instrText>
      </w:r>
      <w:r>
        <w:rPr>
          <w:b w:val="0"/>
          <w:bCs w:val="0"/>
          <w:highlight w:val="none"/>
        </w:rPr>
        <w:fldChar w:fldCharType="separate"/>
      </w:r>
      <w:r>
        <w:rPr>
          <w:rStyle w:val="24"/>
          <w:rFonts w:hint="eastAsia" w:ascii="宋体" w:hAnsi="宋体" w:eastAsia="宋体" w:cs="宋体"/>
          <w:b w:val="0"/>
          <w:bCs w:val="0"/>
          <w:highlight w:val="none"/>
        </w:rPr>
        <w:t>第三章</w:t>
      </w:r>
      <w:r>
        <w:rPr>
          <w:rStyle w:val="24"/>
          <w:rFonts w:ascii="黑体" w:eastAsia="黑体"/>
          <w:b w:val="0"/>
          <w:bCs w:val="0"/>
          <w:highlight w:val="none"/>
        </w:rPr>
        <w:t xml:space="preserve">  </w:t>
      </w:r>
      <w:r>
        <w:rPr>
          <w:rStyle w:val="24"/>
          <w:b w:val="0"/>
          <w:bCs w:val="0"/>
          <w:highlight w:val="none"/>
        </w:rPr>
        <w:t>施工内容及技术</w:t>
      </w:r>
      <w:bookmarkStart w:id="0" w:name="_Hlt64617771"/>
      <w:r>
        <w:rPr>
          <w:rStyle w:val="24"/>
          <w:b w:val="0"/>
          <w:bCs w:val="0"/>
          <w:highlight w:val="none"/>
        </w:rPr>
        <w:t>要</w:t>
      </w:r>
      <w:bookmarkEnd w:id="0"/>
      <w:bookmarkStart w:id="1" w:name="_Hlt55311405"/>
      <w:r>
        <w:rPr>
          <w:rStyle w:val="24"/>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32</w:t>
      </w:r>
    </w:p>
    <w:p>
      <w:pPr>
        <w:pStyle w:val="13"/>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"_Toc54267472"</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第四章  施工工程合同</w:t>
      </w:r>
      <w:bookmarkStart w:id="2" w:name="_Hlt55311416"/>
      <w:r>
        <w:rPr>
          <w:rStyle w:val="24"/>
          <w:rFonts w:hint="eastAsia"/>
          <w:b w:val="0"/>
          <w:bCs w:val="0"/>
          <w:highlight w:val="none"/>
          <w:lang w:val="en-US" w:eastAsia="zh-CN"/>
        </w:rPr>
        <w:t>模板</w:t>
      </w:r>
      <w:r>
        <w:rPr>
          <w:b w:val="0"/>
          <w:bCs w:val="0"/>
          <w:highlight w:val="none"/>
        </w:rPr>
        <w:tab/>
      </w:r>
      <w:bookmarkEnd w:id="2"/>
      <w:r>
        <w:rPr>
          <w:rFonts w:hint="eastAsia"/>
          <w:b w:val="0"/>
          <w:bCs w:val="0"/>
          <w:highlight w:val="none"/>
          <w:lang w:val="en-US" w:eastAsia="zh-CN"/>
        </w:rPr>
        <w:t>3</w:t>
      </w:r>
      <w:r>
        <w:rPr>
          <w:b w:val="0"/>
          <w:bCs w:val="0"/>
          <w:highlight w:val="none"/>
        </w:rPr>
        <w:fldChar w:fldCharType="end"/>
      </w:r>
      <w:r>
        <w:rPr>
          <w:rFonts w:hint="eastAsia"/>
          <w:b w:val="0"/>
          <w:bCs w:val="0"/>
          <w:highlight w:val="none"/>
          <w:lang w:val="en-US" w:eastAsia="zh-CN"/>
        </w:rPr>
        <w:t>7</w:t>
      </w:r>
    </w:p>
    <w:p>
      <w:pPr>
        <w:pStyle w:val="13"/>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4"/>
          <w:b w:val="0"/>
          <w:bCs w:val="0"/>
          <w:highlight w:val="none"/>
        </w:rPr>
        <w:instrText xml:space="preserve"> </w:instrText>
      </w:r>
      <w:r>
        <w:rPr>
          <w:b w:val="0"/>
          <w:bCs w:val="0"/>
          <w:highlight w:val="none"/>
        </w:rPr>
        <w:instrText xml:space="preserve">HYPERLINK \l "_Toc54267473"</w:instrText>
      </w:r>
      <w:r>
        <w:rPr>
          <w:rStyle w:val="24"/>
          <w:b w:val="0"/>
          <w:bCs w:val="0"/>
          <w:highlight w:val="none"/>
        </w:rPr>
        <w:instrText xml:space="preserve"> </w:instrText>
      </w:r>
      <w:r>
        <w:rPr>
          <w:b w:val="0"/>
          <w:bCs w:val="0"/>
          <w:highlight w:val="none"/>
        </w:rPr>
        <w:fldChar w:fldCharType="separate"/>
      </w:r>
      <w:r>
        <w:rPr>
          <w:rStyle w:val="24"/>
          <w:b w:val="0"/>
          <w:bCs w:val="0"/>
          <w:highlight w:val="none"/>
        </w:rPr>
        <w:t xml:space="preserve">第五章  </w:t>
      </w:r>
      <w:r>
        <w:rPr>
          <w:rStyle w:val="24"/>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5</w:t>
      </w:r>
      <w:r>
        <w:rPr>
          <w:b w:val="0"/>
          <w:bCs w:val="0"/>
          <w:highlight w:val="none"/>
        </w:rPr>
        <w:fldChar w:fldCharType="end"/>
      </w:r>
      <w:r>
        <w:rPr>
          <w:rFonts w:hint="eastAsia"/>
          <w:b w:val="0"/>
          <w:bCs w:val="0"/>
          <w:highlight w:val="none"/>
          <w:lang w:val="en-US" w:eastAsia="zh-CN"/>
        </w:rPr>
        <w:t>7</w:t>
      </w:r>
    </w:p>
    <w:p>
      <w:pPr>
        <w:tabs>
          <w:tab w:val="left" w:pos="3240"/>
        </w:tabs>
        <w:spacing w:line="480" w:lineRule="auto"/>
        <w:rPr>
          <w:rFonts w:ascii="宋体" w:hAnsi="宋体"/>
          <w:bCs/>
          <w:highlight w:val="none"/>
        </w:rPr>
      </w:pPr>
      <w:r>
        <w:rPr>
          <w:rFonts w:hint="eastAsia" w:ascii="宋体" w:hAnsi="宋体"/>
          <w:b w:val="0"/>
          <w:bCs w:val="0"/>
          <w:highlight w:val="none"/>
        </w:rPr>
        <w:fldChar w:fldCharType="end"/>
      </w:r>
    </w:p>
    <w:p>
      <w:pPr>
        <w:tabs>
          <w:tab w:val="left" w:pos="3240"/>
        </w:tabs>
        <w:spacing w:line="480" w:lineRule="auto"/>
        <w:rPr>
          <w:rFonts w:ascii="宋体" w:hAnsi="宋体"/>
          <w:bCs/>
          <w:highlight w:val="none"/>
        </w:rPr>
      </w:pPr>
    </w:p>
    <w:p>
      <w:pPr>
        <w:tabs>
          <w:tab w:val="left" w:pos="3240"/>
        </w:tabs>
        <w:spacing w:line="480" w:lineRule="auto"/>
        <w:rPr>
          <w:rFonts w:ascii="宋体" w:hAnsi="宋体"/>
          <w:bCs/>
          <w:highlight w:val="none"/>
        </w:rPr>
      </w:pPr>
    </w:p>
    <w:p>
      <w:pPr>
        <w:tabs>
          <w:tab w:val="left" w:pos="3240"/>
        </w:tabs>
        <w:spacing w:line="480" w:lineRule="auto"/>
        <w:rPr>
          <w:rFonts w:hint="eastAsia" w:ascii="宋体" w:hAnsi="宋体"/>
          <w:bCs/>
          <w:highlight w:val="none"/>
        </w:rPr>
        <w:sectPr>
          <w:footerReference r:id="rId11" w:type="first"/>
          <w:headerReference r:id="rId8" w:type="default"/>
          <w:footerReference r:id="rId9" w:type="default"/>
          <w:footerReference r:id="rId10" w:type="even"/>
          <w:pgSz w:w="11906" w:h="16838"/>
          <w:pgMar w:top="1440" w:right="1474" w:bottom="1361" w:left="1474" w:header="851" w:footer="992" w:gutter="0"/>
          <w:pgNumType w:start="1"/>
          <w:cols w:space="720" w:num="1"/>
          <w:docGrid w:type="linesAndChars" w:linePitch="312" w:charSpace="0"/>
        </w:sectPr>
      </w:pPr>
    </w:p>
    <w:p>
      <w:pPr>
        <w:pStyle w:val="16"/>
        <w:rPr>
          <w:rFonts w:hint="eastAsia" w:eastAsia="宋体"/>
          <w:sz w:val="44"/>
          <w:szCs w:val="44"/>
          <w:highlight w:val="none"/>
          <w:lang w:eastAsia="zh-CN"/>
        </w:rPr>
      </w:pPr>
      <w:bookmarkStart w:id="3" w:name="_Toc18114"/>
      <w:bookmarkStart w:id="4" w:name="_Toc54267469"/>
      <w:r>
        <w:rPr>
          <w:rFonts w:hint="eastAsia"/>
          <w:sz w:val="44"/>
          <w:szCs w:val="44"/>
          <w:highlight w:val="none"/>
        </w:rPr>
        <w:t xml:space="preserve">第一章  </w:t>
      </w:r>
      <w:bookmarkEnd w:id="3"/>
      <w:bookmarkEnd w:id="4"/>
      <w:r>
        <w:rPr>
          <w:rFonts w:hint="eastAsia"/>
          <w:sz w:val="44"/>
          <w:szCs w:val="44"/>
          <w:highlight w:val="none"/>
          <w:lang w:val="en-US" w:eastAsia="zh-CN"/>
        </w:rPr>
        <w:t>投标须知</w:t>
      </w:r>
    </w:p>
    <w:p>
      <w:pPr>
        <w:rPr>
          <w:rFonts w:hint="default"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科技中心园区二层平台建设塑胶跑道项目</w:t>
      </w:r>
    </w:p>
    <w:p>
      <w:pPr>
        <w:pStyle w:val="10"/>
        <w:rPr>
          <w:rFonts w:ascii="黑体" w:eastAsia="黑体"/>
          <w:b/>
          <w:bCs/>
          <w:sz w:val="28"/>
          <w:highlight w:val="none"/>
        </w:rPr>
      </w:pPr>
      <w:r>
        <w:rPr>
          <w:rFonts w:hint="eastAsia" w:ascii="黑体" w:eastAsia="黑体"/>
          <w:b/>
          <w:bCs/>
          <w:sz w:val="28"/>
          <w:highlight w:val="none"/>
        </w:rPr>
        <w:t>二、项目概况与招标范围</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color w:val="000000"/>
          <w:kern w:val="2"/>
          <w:sz w:val="21"/>
          <w:szCs w:val="21"/>
          <w:highlight w:val="none"/>
          <w:u w:val="single"/>
          <w:lang w:val="en-US" w:eastAsia="zh-CN" w:bidi="ar-SA"/>
        </w:rPr>
      </w:pPr>
      <w:bookmarkStart w:id="5" w:name="_Toc144974482"/>
      <w:bookmarkEnd w:id="5"/>
      <w:bookmarkStart w:id="6" w:name="_Toc179632530"/>
      <w:bookmarkEnd w:id="6"/>
      <w:bookmarkStart w:id="7" w:name="_Toc285809451"/>
      <w:bookmarkEnd w:id="7"/>
      <w:bookmarkStart w:id="8" w:name="_Toc152042290"/>
      <w:bookmarkEnd w:id="8"/>
      <w:bookmarkStart w:id="9" w:name="_Toc152045514"/>
      <w:bookmarkEnd w:id="9"/>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cs="宋体"/>
          <w:b w:val="0"/>
          <w:bCs w:val="0"/>
          <w:color w:val="000000"/>
          <w:kern w:val="2"/>
          <w:sz w:val="21"/>
          <w:szCs w:val="21"/>
          <w:highlight w:val="none"/>
          <w:u w:val="single"/>
          <w:lang w:val="en-US" w:eastAsia="zh-CN" w:bidi="ar-SA"/>
        </w:rPr>
        <w:t>科技中心园区二层平台建设塑胶跑道项目</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eastAsia="微软雅黑" w:cs="宋体"/>
          <w:b w:val="0"/>
          <w:bCs w:val="0"/>
          <w:color w:val="000000"/>
          <w:kern w:val="2"/>
          <w:sz w:val="21"/>
          <w:szCs w:val="21"/>
          <w:highlight w:val="none"/>
          <w:u w:val="single"/>
          <w:lang w:val="en-US" w:eastAsia="zh-CN" w:bidi="ar-SA"/>
        </w:rPr>
      </w:pPr>
      <w:r>
        <w:rPr>
          <w:rFonts w:hint="eastAsia" w:ascii="宋体" w:hAnsi="宋体"/>
          <w:szCs w:val="21"/>
          <w:highlight w:val="none"/>
          <w:lang w:val="en-US" w:eastAsia="zh-CN"/>
        </w:rPr>
        <w:t>2.</w:t>
      </w:r>
      <w:r>
        <w:rPr>
          <w:rFonts w:hint="eastAsia" w:ascii="宋体" w:hAnsi="宋体"/>
          <w:szCs w:val="21"/>
          <w:highlight w:val="none"/>
        </w:rPr>
        <w:t>工程地点：</w:t>
      </w:r>
      <w:r>
        <w:rPr>
          <w:rFonts w:hint="eastAsia" w:ascii="宋体" w:hAnsi="宋体" w:cs="宋体"/>
          <w:b w:val="0"/>
          <w:bCs w:val="0"/>
          <w:color w:val="000000"/>
          <w:kern w:val="2"/>
          <w:sz w:val="21"/>
          <w:szCs w:val="21"/>
          <w:highlight w:val="none"/>
          <w:u w:val="single"/>
          <w:lang w:val="en-US" w:eastAsia="zh-CN" w:bidi="ar-SA"/>
        </w:rPr>
        <w:t>山东省济南市华奥路777号</w:t>
      </w:r>
    </w:p>
    <w:p>
      <w:pPr>
        <w:keepNext w:val="0"/>
        <w:keepLines w:val="0"/>
        <w:widowControl/>
        <w:suppressLineNumbers w:val="0"/>
        <w:ind w:firstLine="420" w:firstLineChars="200"/>
        <w:jc w:val="left"/>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1"/>
          <w:szCs w:val="21"/>
          <w:highlight w:val="none"/>
          <w:lang w:val="en-US" w:eastAsia="zh-CN" w:bidi="ar-SA"/>
        </w:rPr>
        <w:t>3.工程概况：</w:t>
      </w:r>
      <w:r>
        <w:rPr>
          <w:rFonts w:hint="eastAsia" w:ascii="宋体" w:hAnsi="宋体" w:eastAsia="宋体" w:cs="宋体"/>
          <w:b w:val="0"/>
          <w:bCs w:val="0"/>
          <w:color w:val="000000"/>
          <w:kern w:val="2"/>
          <w:sz w:val="21"/>
          <w:szCs w:val="21"/>
          <w:highlight w:val="none"/>
          <w:u w:val="single"/>
          <w:lang w:val="en-US" w:eastAsia="zh-CN" w:bidi="ar-SA"/>
        </w:rPr>
        <w:t>为丰富职工业余文化生活，同时配合集团公司廉洁文化长廊建设，实现“健身+教育”双功能，拟在科技中心园区二层平台建设标准化塑胶跑道。工程内容有：拆除清理花砖，安装不锈钢收边条，摊铺40mm沥青，铺设13mm厚EPDM塑胶面层，两侧喷涂5cm白线，施工总面积为1075㎡。</w:t>
      </w: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keepNext w:val="0"/>
        <w:keepLines w:val="0"/>
        <w:pageBreakBefore w:val="0"/>
        <w:widowControl w:val="0"/>
        <w:numPr>
          <w:ilvl w:val="0"/>
          <w:numId w:val="1"/>
        </w:numPr>
        <w:kinsoku/>
        <w:wordWrap/>
        <w:overflowPunct/>
        <w:topLinePunct w:val="0"/>
        <w:autoSpaceDE/>
        <w:autoSpaceDN/>
        <w:bidi w:val="0"/>
        <w:adjustRightInd/>
        <w:snapToGrid w:val="0"/>
        <w:spacing w:line="360" w:lineRule="auto"/>
        <w:ind w:firstLine="420" w:firstLineChars="200"/>
        <w:textAlignment w:val="auto"/>
        <w:rPr>
          <w:rFonts w:hint="eastAsia" w:ascii="宋体" w:hAnsi="宋体"/>
          <w:color w:val="auto"/>
          <w:szCs w:val="21"/>
          <w:highlight w:val="none"/>
          <w:u w:val="single"/>
          <w:lang w:val="en-US" w:eastAsia="zh-CN"/>
        </w:rPr>
      </w:pPr>
      <w:r>
        <w:rPr>
          <w:rFonts w:hint="eastAsia" w:ascii="宋体" w:hAnsi="宋体"/>
          <w:szCs w:val="21"/>
          <w:highlight w:val="none"/>
        </w:rPr>
        <w:t>工期要求</w:t>
      </w:r>
      <w:r>
        <w:rPr>
          <w:rFonts w:hint="eastAsia" w:ascii="宋体" w:hAnsi="宋体"/>
          <w:szCs w:val="21"/>
          <w:highlight w:val="none"/>
          <w:lang w:eastAsia="zh-CN"/>
        </w:rPr>
        <w:t>：</w:t>
      </w:r>
      <w:r>
        <w:rPr>
          <w:rFonts w:hint="eastAsia" w:ascii="宋体" w:hAnsi="宋体"/>
          <w:szCs w:val="21"/>
          <w:highlight w:val="none"/>
          <w:u w:val="single"/>
          <w:lang w:val="en-US" w:eastAsia="zh-CN"/>
        </w:rPr>
        <w:t>30</w:t>
      </w:r>
      <w:r>
        <w:rPr>
          <w:rFonts w:hint="eastAsia" w:ascii="宋体" w:hAnsi="宋体" w:cs="Times New Roman"/>
          <w:color w:val="auto"/>
          <w:szCs w:val="21"/>
          <w:highlight w:val="none"/>
          <w:u w:val="single"/>
          <w:lang w:val="en-US" w:eastAsia="zh-CN"/>
        </w:rPr>
        <w:t>天</w:t>
      </w:r>
      <w:r>
        <w:rPr>
          <w:rFonts w:hint="eastAsia" w:ascii="宋体" w:hAnsi="宋体"/>
          <w:color w:val="auto"/>
          <w:szCs w:val="21"/>
          <w:highlight w:val="none"/>
          <w:u w:val="single"/>
          <w:lang w:val="en-US" w:eastAsia="zh-CN"/>
        </w:rPr>
        <w:t>。</w:t>
      </w:r>
    </w:p>
    <w:p>
      <w:pPr>
        <w:numPr>
          <w:ilvl w:val="0"/>
          <w:numId w:val="1"/>
        </w:numPr>
        <w:ind w:firstLine="420" w:firstLineChars="200"/>
        <w:rPr>
          <w:rFonts w:hint="eastAsia" w:ascii="宋体" w:hAnsi="宋体"/>
          <w:color w:val="auto"/>
          <w:szCs w:val="21"/>
          <w:highlight w:val="none"/>
          <w:u w:val="single"/>
          <w:lang w:val="en-US" w:eastAsia="zh-CN"/>
        </w:rPr>
      </w:pPr>
      <w:r>
        <w:rPr>
          <w:rFonts w:hint="eastAsia" w:ascii="宋体" w:hAnsi="宋体"/>
          <w:color w:val="auto"/>
          <w:szCs w:val="21"/>
          <w:highlight w:val="none"/>
          <w:u w:val="none"/>
          <w:lang w:val="en-US" w:eastAsia="zh-CN"/>
        </w:rPr>
        <w:t>资金来源：</w:t>
      </w:r>
      <w:r>
        <w:rPr>
          <w:rFonts w:hint="eastAsia" w:ascii="宋体" w:hAnsi="宋体"/>
          <w:color w:val="auto"/>
          <w:szCs w:val="21"/>
          <w:highlight w:val="none"/>
          <w:u w:val="single"/>
          <w:lang w:val="en-US" w:eastAsia="zh-CN"/>
        </w:rPr>
        <w:t>企业自筹，已落实。</w:t>
      </w:r>
    </w:p>
    <w:p>
      <w:pPr>
        <w:pStyle w:val="10"/>
        <w:rPr>
          <w:rFonts w:hint="eastAsia" w:ascii="黑体" w:eastAsia="黑体"/>
          <w:b/>
          <w:bCs/>
          <w:sz w:val="28"/>
          <w:highlight w:val="none"/>
        </w:rPr>
      </w:pPr>
      <w:r>
        <w:rPr>
          <w:rFonts w:hint="eastAsia" w:ascii="黑体" w:eastAsia="黑体"/>
          <w:b/>
          <w:bCs/>
          <w:sz w:val="28"/>
          <w:highlight w:val="none"/>
        </w:rPr>
        <w:t>三、招标形式</w:t>
      </w:r>
    </w:p>
    <w:p>
      <w:pPr>
        <w:pStyle w:val="10"/>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w:t>
      </w:r>
      <w:r>
        <w:rPr>
          <w:rFonts w:hint="eastAsia" w:hAnsi="宋体" w:cs="Times New Roman"/>
          <w:kern w:val="2"/>
          <w:sz w:val="21"/>
          <w:szCs w:val="21"/>
          <w:highlight w:val="none"/>
          <w:u w:val="single"/>
          <w:lang w:val="en-US" w:eastAsia="zh-CN" w:bidi="ar-SA"/>
        </w:rPr>
        <w:t>s</w:t>
      </w:r>
      <w:r>
        <w:rPr>
          <w:rFonts w:hint="eastAsia" w:ascii="宋体" w:hAnsi="宋体" w:eastAsia="宋体" w:cs="Times New Roman"/>
          <w:kern w:val="2"/>
          <w:sz w:val="21"/>
          <w:szCs w:val="21"/>
          <w:highlight w:val="none"/>
          <w:u w:val="single"/>
          <w:lang w:val="en-US" w:eastAsia="zh-CN" w:bidi="ar-SA"/>
        </w:rPr>
        <w:t>://ecaitong.sinotruk.com:8012)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w:t>
      </w:r>
      <w:r>
        <w:rPr>
          <w:rFonts w:hint="eastAsia" w:ascii="宋体" w:hAnsi="宋体" w:cs="Times New Roman"/>
          <w:kern w:val="2"/>
          <w:sz w:val="21"/>
          <w:szCs w:val="21"/>
          <w:highlight w:val="none"/>
          <w:u w:val="single"/>
          <w:lang w:val="en-US" w:eastAsia="zh-CN" w:bidi="ar-SA"/>
        </w:rPr>
        <w:t>CGZX2025070215</w:t>
      </w:r>
    </w:p>
    <w:p>
      <w:pPr>
        <w:pStyle w:val="10"/>
        <w:rPr>
          <w:rFonts w:hint="eastAsia" w:ascii="黑体" w:eastAsia="黑体"/>
          <w:b/>
          <w:bCs/>
          <w:sz w:val="28"/>
          <w:highlight w:val="none"/>
        </w:rPr>
      </w:pPr>
      <w:r>
        <w:rPr>
          <w:rFonts w:hint="eastAsia" w:ascii="黑体" w:eastAsia="黑体"/>
          <w:b/>
          <w:bCs/>
          <w:sz w:val="28"/>
          <w:highlight w:val="none"/>
        </w:rPr>
        <w:t>四、议程安排</w:t>
      </w:r>
    </w:p>
    <w:p>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1.公告时间：2025年8月1</w:t>
      </w:r>
      <w:bookmarkStart w:id="40" w:name="_GoBack"/>
      <w:bookmarkEnd w:id="40"/>
      <w:r>
        <w:rPr>
          <w:rFonts w:hint="eastAsia" w:hAnsi="宋体" w:cs="Times New Roman"/>
          <w:kern w:val="2"/>
          <w:sz w:val="21"/>
          <w:szCs w:val="21"/>
          <w:highlight w:val="none"/>
          <w:u w:val="single"/>
          <w:lang w:val="en-US" w:eastAsia="zh-CN" w:bidi="ar-SA"/>
        </w:rPr>
        <w:t>日</w:t>
      </w:r>
    </w:p>
    <w:p>
      <w:pPr>
        <w:pStyle w:val="10"/>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2.应标（报名）截止时间：2025年8月7日17时（e采通）</w:t>
      </w:r>
    </w:p>
    <w:p>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3.现场勘察时间：2025年8月8日</w:t>
      </w:r>
    </w:p>
    <w:p>
      <w:pPr>
        <w:pStyle w:val="10"/>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4．投标保证金收取截止时间：2025年8月13日 17 时</w:t>
      </w:r>
    </w:p>
    <w:p>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5.纸质投标文件提交截止时间：2025年8月13日 17 时</w:t>
      </w:r>
    </w:p>
    <w:p>
      <w:pPr>
        <w:pStyle w:val="10"/>
        <w:ind w:firstLine="420" w:firstLineChars="200"/>
        <w:rPr>
          <w:rFonts w:hint="default"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6.e采通投标截止时间：2025年8月13日 17 时（e采通）</w:t>
      </w:r>
    </w:p>
    <w:p>
      <w:pPr>
        <w:pStyle w:val="10"/>
        <w:ind w:firstLine="420" w:firstLineChars="200"/>
        <w:rPr>
          <w:rFonts w:hint="eastAsia" w:hAnsi="宋体" w:cs="Times New Roman"/>
          <w:kern w:val="2"/>
          <w:sz w:val="21"/>
          <w:szCs w:val="21"/>
          <w:highlight w:val="none"/>
          <w:u w:val="single"/>
          <w:lang w:val="en-US" w:eastAsia="zh-CN" w:bidi="ar-SA"/>
        </w:rPr>
      </w:pPr>
      <w:r>
        <w:rPr>
          <w:rFonts w:hint="eastAsia" w:hAnsi="宋体" w:cs="Times New Roman"/>
          <w:kern w:val="2"/>
          <w:sz w:val="21"/>
          <w:szCs w:val="21"/>
          <w:highlight w:val="none"/>
          <w:u w:val="single"/>
          <w:lang w:val="en-US" w:eastAsia="zh-CN" w:bidi="ar-SA"/>
        </w:rPr>
        <w:t>7.开标时间：2025年8月14日 9 时（e采通）</w:t>
      </w:r>
    </w:p>
    <w:p>
      <w:pPr>
        <w:pStyle w:val="10"/>
        <w:ind w:firstLine="420" w:firstLineChars="200"/>
        <w:rPr>
          <w:rFonts w:hint="eastAsia"/>
          <w:b w:val="0"/>
          <w:bCs w:val="0"/>
          <w:highlight w:val="none"/>
        </w:rPr>
      </w:pPr>
      <w:r>
        <w:rPr>
          <w:rFonts w:hint="eastAsia"/>
          <w:b w:val="0"/>
          <w:bCs w:val="0"/>
          <w:highlight w:val="none"/>
          <w:lang w:val="en-US" w:eastAsia="zh-CN"/>
        </w:rPr>
        <w:t>8</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10"/>
        <w:ind w:firstLine="420" w:firstLineChars="200"/>
        <w:rPr>
          <w:rFonts w:hint="eastAsia"/>
          <w:highlight w:val="none"/>
        </w:rPr>
      </w:pPr>
      <w:r>
        <w:rPr>
          <w:rFonts w:hint="eastAsia"/>
          <w:highlight w:val="none"/>
          <w:lang w:val="en-US" w:eastAsia="zh-CN"/>
        </w:rPr>
        <w:t>9</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w:t>
      </w:r>
      <w:r>
        <w:rPr>
          <w:rFonts w:hint="eastAsia" w:hAnsi="宋体" w:cs="Times New Roman"/>
          <w:kern w:val="2"/>
          <w:sz w:val="21"/>
          <w:szCs w:val="21"/>
          <w:highlight w:val="none"/>
          <w:u w:val="single"/>
          <w:lang w:val="en-US" w:eastAsia="zh-CN" w:bidi="ar-SA"/>
        </w:rPr>
        <w:t>2025年8月13日 17 时</w:t>
      </w:r>
    </w:p>
    <w:p>
      <w:pPr>
        <w:pStyle w:val="10"/>
        <w:ind w:firstLine="630" w:firstLineChars="300"/>
        <w:rPr>
          <w:rFonts w:hint="eastAsia"/>
          <w:highlight w:val="none"/>
        </w:rPr>
      </w:pPr>
      <w:r>
        <w:rPr>
          <w:rFonts w:hint="eastAsia"/>
          <w:highlight w:val="none"/>
        </w:rPr>
        <w:t>答疑方式：电子邮件答疑</w:t>
      </w:r>
    </w:p>
    <w:p>
      <w:pPr>
        <w:pStyle w:val="10"/>
        <w:ind w:firstLine="632" w:firstLineChars="300"/>
        <w:rPr>
          <w:rFonts w:hint="default" w:eastAsia="宋体"/>
          <w:b/>
          <w:bCs/>
          <w:highlight w:val="none"/>
          <w:lang w:val="en-US" w:eastAsia="zh-CN"/>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bCs/>
          <w:highlight w:val="none"/>
          <w:lang w:val="en-US" w:eastAsia="zh-CN"/>
        </w:rPr>
        <w:t>杨善卿 15966323321</w:t>
      </w:r>
    </w:p>
    <w:p>
      <w:pPr>
        <w:pStyle w:val="10"/>
        <w:ind w:firstLine="630" w:firstLineChars="300"/>
        <w:rPr>
          <w:rFonts w:hint="eastAsia"/>
          <w:highlight w:val="none"/>
        </w:rPr>
      </w:pPr>
      <w:r>
        <w:rPr>
          <w:rFonts w:hint="eastAsia"/>
          <w:highlight w:val="none"/>
        </w:rPr>
        <w:t>电子邮箱：</w:t>
      </w:r>
      <w:r>
        <w:rPr>
          <w:rFonts w:hint="eastAsia"/>
          <w:highlight w:val="none"/>
          <w:lang w:val="en-US" w:eastAsia="zh-CN"/>
        </w:rPr>
        <w:t>15966323321</w:t>
      </w:r>
      <w:r>
        <w:rPr>
          <w:rFonts w:hint="eastAsia"/>
          <w:highlight w:val="none"/>
        </w:rPr>
        <w:t>@</w:t>
      </w:r>
      <w:r>
        <w:rPr>
          <w:rFonts w:hint="eastAsia"/>
          <w:highlight w:val="none"/>
          <w:lang w:val="en-US" w:eastAsia="zh-CN"/>
        </w:rPr>
        <w:t>163</w:t>
      </w:r>
      <w:r>
        <w:rPr>
          <w:rFonts w:hint="eastAsia"/>
          <w:highlight w:val="none"/>
        </w:rPr>
        <w:t>.com</w:t>
      </w:r>
    </w:p>
    <w:p>
      <w:pPr>
        <w:pStyle w:val="10"/>
        <w:numPr>
          <w:ilvl w:val="0"/>
          <w:numId w:val="0"/>
        </w:numPr>
        <w:ind w:firstLine="420" w:firstLineChars="200"/>
        <w:rPr>
          <w:rFonts w:hint="default"/>
          <w:highlight w:val="none"/>
          <w:lang w:val="en-US"/>
        </w:rPr>
      </w:pPr>
      <w:r>
        <w:rPr>
          <w:rFonts w:hint="eastAsia"/>
          <w:highlight w:val="none"/>
          <w:lang w:val="en-US" w:eastAsia="zh-CN"/>
        </w:rPr>
        <w:t>10.</w:t>
      </w:r>
      <w:r>
        <w:rPr>
          <w:rFonts w:hint="eastAsia"/>
          <w:highlight w:val="none"/>
        </w:rPr>
        <w:t>报名及商务事宜联系人</w:t>
      </w:r>
      <w:r>
        <w:rPr>
          <w:rFonts w:hint="eastAsia"/>
          <w:highlight w:val="none"/>
          <w:lang w:val="en-US" w:eastAsia="zh-CN"/>
        </w:rPr>
        <w:t>及其联系电话</w:t>
      </w:r>
      <w:r>
        <w:rPr>
          <w:rFonts w:hint="eastAsia"/>
          <w:highlight w:val="none"/>
        </w:rPr>
        <w:t>：</w:t>
      </w:r>
      <w:r>
        <w:rPr>
          <w:rFonts w:hint="eastAsia"/>
          <w:b/>
          <w:bCs/>
          <w:highlight w:val="none"/>
          <w:lang w:val="en-US" w:eastAsia="zh-CN"/>
        </w:rPr>
        <w:t>杨善卿 15966323321</w:t>
      </w:r>
    </w:p>
    <w:p>
      <w:pPr>
        <w:pStyle w:val="10"/>
        <w:numPr>
          <w:ilvl w:val="0"/>
          <w:numId w:val="0"/>
        </w:numPr>
        <w:ind w:firstLine="422" w:firstLineChars="200"/>
        <w:rPr>
          <w:rFonts w:hint="default"/>
          <w:highlight w:val="none"/>
          <w:lang w:val="en-US"/>
        </w:rPr>
      </w:pPr>
      <w:r>
        <w:rPr>
          <w:rFonts w:hint="eastAsia"/>
          <w:b/>
          <w:bCs/>
          <w:highlight w:val="none"/>
          <w:lang w:val="en-US" w:eastAsia="zh-CN"/>
        </w:rPr>
        <w:t>11.本项目工程量较大，为让各投标单位了解施工现场环境，保证报价的公平及准确，需在开标前对现场进行勘察。为方便各单位人员管理，保证正常生产，暂定在开标前四天（详见议程安排）进行现场勘察。勘查联系人及联系电话：杨善卿 15966323321。未对现场进行勘察的单位，不允许参与开标，投标视为无效。</w:t>
      </w:r>
    </w:p>
    <w:p>
      <w:pPr>
        <w:pStyle w:val="10"/>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lang w:val="en-US" w:eastAsia="zh-CN"/>
        </w:rPr>
      </w:pPr>
      <w:r>
        <w:rPr>
          <w:rFonts w:hint="eastAsia" w:ascii="宋体" w:hAnsi="宋体" w:cs="仿宋"/>
          <w:bCs/>
          <w:kern w:val="0"/>
          <w:sz w:val="21"/>
          <w:szCs w:val="21"/>
          <w:highlight w:val="none"/>
          <w:lang w:val="en-US" w:eastAsia="zh-CN"/>
        </w:rPr>
        <w:t>公开招标的项目，由项目实施单位在中国重汽官网发布招标公告，内容包括：项目名称、项目类别、采购方、采购预算、采购方式、采购内容、供应商资格条件、公告开始时间、公告结束时间、采购文件领取地址、响应文件递交截止时间、响应文件递交地址、联系方式等。</w:t>
      </w:r>
    </w:p>
    <w:p>
      <w:pPr>
        <w:pStyle w:val="9"/>
        <w:keepNext w:val="0"/>
        <w:keepLines w:val="0"/>
        <w:pageBreakBefore w:val="0"/>
        <w:widowControl w:val="0"/>
        <w:kinsoku/>
        <w:wordWrap/>
        <w:overflowPunct/>
        <w:topLinePunct w:val="0"/>
        <w:autoSpaceDE/>
        <w:autoSpaceDN/>
        <w:bidi w:val="0"/>
        <w:adjustRightInd/>
        <w:snapToGrid w:val="0"/>
        <w:spacing w:line="360" w:lineRule="auto"/>
        <w:ind w:left="0" w:leftChars="0" w:firstLine="471"/>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lang w:val="en-US" w:eastAsia="zh-CN"/>
        </w:rPr>
        <w:t>中国重汽官网www.</w:t>
      </w:r>
      <w:r>
        <w:rPr>
          <w:rFonts w:hint="eastAsia" w:ascii="宋体" w:hAnsi="宋体" w:cs="仿宋"/>
          <w:bCs/>
          <w:kern w:val="0"/>
          <w:sz w:val="21"/>
          <w:szCs w:val="21"/>
          <w:highlight w:val="none"/>
          <w:lang w:val="en-US" w:eastAsia="zh-CN"/>
        </w:rPr>
        <w:fldChar w:fldCharType="begin"/>
      </w:r>
      <w:r>
        <w:rPr>
          <w:rFonts w:hint="eastAsia" w:ascii="宋体" w:hAnsi="宋体" w:cs="仿宋"/>
          <w:bCs/>
          <w:kern w:val="0"/>
          <w:sz w:val="21"/>
          <w:szCs w:val="21"/>
          <w:highlight w:val="none"/>
          <w:lang w:val="en-US" w:eastAsia="zh-CN"/>
        </w:rPr>
        <w:instrText xml:space="preserve"> HYPERLINK "http://www.cnhtc.com.cn/" </w:instrText>
      </w:r>
      <w:r>
        <w:rPr>
          <w:rFonts w:hint="eastAsia" w:ascii="宋体" w:hAnsi="宋体" w:cs="仿宋"/>
          <w:bCs/>
          <w:kern w:val="0"/>
          <w:sz w:val="21"/>
          <w:szCs w:val="21"/>
          <w:highlight w:val="none"/>
          <w:lang w:val="en-US" w:eastAsia="zh-CN"/>
        </w:rPr>
        <w:fldChar w:fldCharType="separate"/>
      </w:r>
      <w:r>
        <w:rPr>
          <w:rFonts w:hint="eastAsia" w:ascii="宋体" w:hAnsi="宋体" w:cs="仿宋"/>
          <w:bCs/>
          <w:kern w:val="0"/>
          <w:sz w:val="21"/>
          <w:szCs w:val="21"/>
          <w:highlight w:val="none"/>
          <w:lang w:val="en-US" w:eastAsia="zh-CN"/>
        </w:rPr>
        <w:t>cnhtc.com.cn</w:t>
      </w:r>
      <w:r>
        <w:rPr>
          <w:rFonts w:hint="eastAsia" w:ascii="宋体" w:hAnsi="宋体" w:cs="仿宋"/>
          <w:bCs/>
          <w:kern w:val="0"/>
          <w:sz w:val="21"/>
          <w:szCs w:val="21"/>
          <w:highlight w:val="none"/>
          <w:lang w:val="en-US" w:eastAsia="zh-CN"/>
        </w:rPr>
        <w:fldChar w:fldCharType="end"/>
      </w:r>
      <w:r>
        <w:rPr>
          <w:rFonts w:hint="eastAsia" w:ascii="宋体" w:hAnsi="宋体" w:cs="仿宋"/>
          <w:bCs/>
          <w:kern w:val="0"/>
          <w:sz w:val="21"/>
          <w:szCs w:val="21"/>
          <w:highlight w:val="none"/>
          <w:lang w:val="en-US" w:eastAsia="zh-CN"/>
        </w:rPr>
        <w:t xml:space="preserve">  发布。</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pPr>
        <w:keepNext w:val="0"/>
        <w:keepLines w:val="0"/>
        <w:pageBreakBefore w:val="0"/>
        <w:widowControl w:val="0"/>
        <w:kinsoku/>
        <w:wordWrap/>
        <w:overflowPunct/>
        <w:topLinePunct w:val="0"/>
        <w:autoSpaceDE/>
        <w:autoSpaceDN/>
        <w:bidi w:val="0"/>
        <w:adjustRightInd/>
        <w:snapToGrid w:val="0"/>
        <w:ind w:firstLine="422" w:firstLineChars="200"/>
        <w:textAlignment w:val="auto"/>
        <w:rPr>
          <w:rStyle w:val="26"/>
          <w:rFonts w:hint="eastAsia"/>
          <w:b/>
          <w:bCs/>
          <w:highlight w:val="none"/>
        </w:rPr>
      </w:pPr>
      <w:r>
        <w:rPr>
          <w:rStyle w:val="26"/>
          <w:rFonts w:hint="eastAsia"/>
          <w:b/>
          <w:bCs/>
          <w:highlight w:val="none"/>
        </w:rPr>
        <w:t>本项目实行资格后审，报名成功不代表资格审查通过，以最终通过资格审查委员会的审查为准。</w:t>
      </w:r>
    </w:p>
    <w:p>
      <w:pPr>
        <w:pStyle w:val="10"/>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sz w:val="21"/>
          <w:szCs w:val="21"/>
          <w:highlight w:val="none"/>
          <w:u w:val="single"/>
          <w:lang w:val="en-US" w:eastAsia="zh-CN"/>
        </w:rPr>
        <w:t>5000</w:t>
      </w:r>
      <w:r>
        <w:rPr>
          <w:rFonts w:ascii="宋体" w:hAnsi="宋体"/>
          <w:sz w:val="21"/>
          <w:szCs w:val="21"/>
          <w:highlight w:val="none"/>
          <w:u w:val="single"/>
        </w:rPr>
        <w:t xml:space="preserve"> </w:t>
      </w:r>
      <w:r>
        <w:rPr>
          <w:rFonts w:hint="eastAsia" w:ascii="宋体" w:hAnsi="宋体"/>
          <w:sz w:val="21"/>
          <w:szCs w:val="21"/>
          <w:highlight w:val="none"/>
          <w:u w:val="single"/>
        </w:rPr>
        <w:t>元</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pPr>
        <w:autoSpaceDE w:val="0"/>
        <w:autoSpaceDN w:val="0"/>
        <w:adjustRightInd w:val="0"/>
        <w:spacing w:line="360" w:lineRule="auto"/>
        <w:ind w:firstLine="495" w:firstLineChars="236"/>
        <w:jc w:val="left"/>
        <w:rPr>
          <w:rFonts w:ascii="宋体" w:hAnsi="宋体"/>
          <w:sz w:val="21"/>
          <w:szCs w:val="21"/>
          <w:highlight w:val="none"/>
        </w:rPr>
      </w:pPr>
      <w:bookmarkStart w:id="10"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ascii="宋体" w:hAnsi="宋体"/>
          <w:sz w:val="21"/>
          <w:szCs w:val="21"/>
          <w:highlight w:val="none"/>
          <w:u w:val="single"/>
        </w:rPr>
        <w:t>37001616508050150300</w:t>
      </w:r>
    </w:p>
    <w:p>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宋体"/>
          <w:b w:val="0"/>
          <w:bCs w:val="0"/>
          <w:color w:val="000000"/>
          <w:kern w:val="2"/>
          <w:sz w:val="21"/>
          <w:szCs w:val="21"/>
          <w:highlight w:val="none"/>
          <w:u w:val="single"/>
          <w:lang w:val="en-US" w:eastAsia="zh-CN" w:bidi="ar-SA"/>
        </w:rPr>
        <w:t>二层平台塑胶跑道</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b/>
          <w:bCs/>
          <w:highlight w:val="none"/>
          <w:u w:val="single"/>
          <w:lang w:val="en-US" w:eastAsia="zh-CN"/>
        </w:rPr>
        <w:t>（详见议程安排）</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10"/>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w:t>
      </w:r>
      <w:r>
        <w:rPr>
          <w:rFonts w:hint="eastAsia" w:ascii="宋体" w:hAnsi="宋体"/>
          <w:b/>
          <w:bCs/>
          <w:color w:val="000000"/>
          <w:sz w:val="21"/>
          <w:szCs w:val="21"/>
          <w:highlight w:val="none"/>
        </w:rPr>
        <w:t>一个付款周期内退还投标保证金</w:t>
      </w:r>
      <w:r>
        <w:rPr>
          <w:rFonts w:hint="eastAsia" w:ascii="宋体" w:hAnsi="宋体"/>
          <w:color w:val="000000"/>
          <w:sz w:val="21"/>
          <w:szCs w:val="21"/>
          <w:highlight w:val="none"/>
        </w:rPr>
        <w:t>（本金，不计息）。</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pPr>
        <w:spacing w:line="360" w:lineRule="auto"/>
        <w:ind w:firstLine="495" w:firstLineChars="235"/>
        <w:rPr>
          <w:rFonts w:hint="default" w:ascii="宋体" w:hAnsi="宋体" w:eastAsia="宋体"/>
          <w:b/>
          <w:bCs/>
          <w:color w:val="000000"/>
          <w:sz w:val="21"/>
          <w:szCs w:val="21"/>
          <w:highlight w:val="none"/>
          <w:u w:val="single"/>
          <w:lang w:val="en-US" w:eastAsia="zh-CN"/>
        </w:rPr>
      </w:pPr>
      <w:r>
        <w:rPr>
          <w:rFonts w:hint="eastAsia" w:ascii="宋体" w:hAnsi="宋体"/>
          <w:b/>
          <w:bCs/>
          <w:color w:val="000000"/>
          <w:sz w:val="21"/>
          <w:szCs w:val="21"/>
          <w:highlight w:val="none"/>
          <w:u w:val="single"/>
          <w:lang w:val="en-US" w:eastAsia="zh-CN"/>
        </w:rPr>
        <w:t>6.3中标单位保证金在确认中标资格之后，自动转为施工履约保证金。</w:t>
      </w:r>
    </w:p>
    <w:p>
      <w:pPr>
        <w:spacing w:line="360" w:lineRule="auto"/>
        <w:ind w:firstLine="493" w:firstLineChars="235"/>
        <w:rPr>
          <w:rFonts w:hint="eastAsia"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w:t>
      </w:r>
      <w:r>
        <w:rPr>
          <w:rFonts w:hint="eastAsia" w:ascii="宋体" w:hAnsi="宋体"/>
          <w:color w:val="000000"/>
          <w:sz w:val="21"/>
          <w:szCs w:val="21"/>
          <w:highlight w:val="none"/>
          <w:lang w:val="en-US" w:eastAsia="zh-CN"/>
        </w:rPr>
        <w:t>4</w:t>
      </w:r>
      <w:r>
        <w:rPr>
          <w:rFonts w:hint="eastAsia" w:ascii="宋体" w:hAnsi="宋体"/>
          <w:color w:val="000000"/>
          <w:sz w:val="21"/>
          <w:szCs w:val="21"/>
          <w:highlight w:val="none"/>
        </w:rPr>
        <w:t>发生以下情况时，招标人有权没收保证金：</w:t>
      </w:r>
    </w:p>
    <w:p>
      <w:pPr>
        <w:spacing w:line="360" w:lineRule="auto"/>
        <w:ind w:left="426" w:leftChars="203" w:firstLine="58" w:firstLineChars="28"/>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(1)供应商在提交响应文件截止时间后撤回响应文件的；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rPr>
        <w:t>(2)供应商在响应文件中提供虚假材料的；</w:t>
      </w:r>
    </w:p>
    <w:p>
      <w:pPr>
        <w:spacing w:line="360" w:lineRule="auto"/>
        <w:ind w:left="218" w:leftChars="104" w:firstLine="270" w:firstLineChars="129"/>
        <w:rPr>
          <w:rFonts w:ascii="宋体" w:hAnsi="宋体"/>
          <w:color w:val="000000"/>
          <w:sz w:val="21"/>
          <w:szCs w:val="21"/>
          <w:highlight w:val="none"/>
        </w:rPr>
      </w:pPr>
      <w:r>
        <w:rPr>
          <w:rFonts w:hint="eastAsia" w:ascii="宋体" w:hAnsi="宋体" w:eastAsia="宋体" w:cs="宋体"/>
          <w:color w:val="000000"/>
          <w:sz w:val="21"/>
          <w:szCs w:val="21"/>
          <w:highlight w:val="none"/>
        </w:rPr>
        <w:t>(3)除因不可抗力或谈判文件、询价通知书认可的情形以外，成交供应商不与采购人签订合同的；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(4)供应商与采购人、其他供应商或者采购代理机构恶意串通、围标、陪标的；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(5)供应商有违约违规行为或被投诉、举报的，在调查处理期间，保证金暂不退还，待调查处理结束后按有关规定处理。</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(6)截至开标前3天，投标人无正当理由、未以书面形式向招标人递交说明而在投标截止日不来投标的。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(7)自中标通知书发出之日起30日内，中标人无正当理由投标人无正当签订合同的；</w:t>
      </w:r>
      <w:r>
        <w:rPr>
          <w:rFonts w:hint="eastAsia" w:ascii="宋体" w:hAnsi="宋体" w:eastAsia="宋体" w:cs="宋体"/>
          <w:color w:val="000000"/>
          <w:sz w:val="21"/>
          <w:szCs w:val="21"/>
          <w:highlight w:val="none"/>
        </w:rPr>
        <w:br w:type="textWrapping"/>
      </w:r>
      <w:r>
        <w:rPr>
          <w:rFonts w:hint="eastAsia" w:ascii="宋体" w:hAnsi="宋体" w:eastAsia="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(8)采购文件规定的其他情形；</w:t>
      </w:r>
    </w:p>
    <w:p>
      <w:pPr>
        <w:pStyle w:val="10"/>
        <w:rPr>
          <w:rFonts w:ascii="黑体" w:eastAsia="黑体"/>
          <w:b/>
          <w:bCs/>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cs="Times New Roman"/>
          <w:kern w:val="2"/>
          <w:sz w:val="21"/>
          <w:szCs w:val="21"/>
          <w:highlight w:val="none"/>
          <w:u w:val="single"/>
          <w:lang w:val="en-US" w:eastAsia="zh-CN" w:bidi="ar-SA"/>
        </w:rPr>
        <w:t>见议程安排</w:t>
      </w:r>
      <w:r>
        <w:rPr>
          <w:rFonts w:hint="eastAsia" w:ascii="宋体" w:hAnsi="宋体" w:eastAsia="宋体" w:cs="宋体"/>
          <w:highlight w:val="none"/>
        </w:rPr>
        <w:t>。</w:t>
      </w:r>
    </w:p>
    <w:p>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本项目采用线上开标，纸质投标文件需在开标日前，邮寄到指定地址。</w:t>
      </w:r>
    </w:p>
    <w:p>
      <w:pPr>
        <w:ind w:firstLine="422" w:firstLineChars="200"/>
        <w:rPr>
          <w:rFonts w:hint="default"/>
          <w:b/>
          <w:bCs/>
          <w:highlight w:val="none"/>
          <w:lang w:val="en-US" w:eastAsia="zh-CN"/>
        </w:rPr>
      </w:pPr>
      <w:r>
        <w:rPr>
          <w:rFonts w:hint="eastAsia"/>
          <w:b/>
          <w:bCs/>
          <w:highlight w:val="none"/>
          <w:lang w:val="en-US" w:eastAsia="zh-CN"/>
        </w:rPr>
        <w:t>邮寄地址：山东省济南市舜华南路688号未来科技大厦</w:t>
      </w:r>
    </w:p>
    <w:p>
      <w:pPr>
        <w:ind w:firstLine="422" w:firstLineChars="200"/>
        <w:rPr>
          <w:rFonts w:hint="default"/>
          <w:highlight w:val="none"/>
          <w:lang w:val="en-US"/>
        </w:rPr>
      </w:pPr>
      <w:r>
        <w:rPr>
          <w:rFonts w:hint="eastAsia"/>
          <w:b/>
          <w:bCs/>
          <w:highlight w:val="none"/>
          <w:lang w:val="en-US" w:eastAsia="zh-CN"/>
        </w:rPr>
        <w:t>联系人及联系方式：杨善卿 15966323321</w:t>
      </w:r>
    </w:p>
    <w:p>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b/>
          <w:bCs/>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w:t>
      </w:r>
      <w:r>
        <w:rPr>
          <w:rFonts w:hint="eastAsia" w:cs="Times New Roman"/>
          <w:color w:val="auto"/>
          <w:highlight w:val="none"/>
          <w:u w:val="single"/>
          <w:lang w:val="en-US" w:eastAsia="zh-CN"/>
        </w:rPr>
        <w:t>s</w:t>
      </w:r>
      <w:r>
        <w:rPr>
          <w:rFonts w:hint="eastAsia" w:ascii="宋体" w:hAnsi="Courier New" w:eastAsia="宋体" w:cs="Times New Roman"/>
          <w:color w:val="auto"/>
          <w:highlight w:val="none"/>
          <w:u w:val="single"/>
          <w:lang w:val="en-US" w:eastAsia="zh-CN"/>
        </w:rPr>
        <w:t>://ecaitong.sinotruk.com:8012/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10"/>
        <w:keepNext w:val="0"/>
        <w:keepLines w:val="0"/>
        <w:pageBreakBefore w:val="0"/>
        <w:widowControl w:val="0"/>
        <w:kinsoku/>
        <w:wordWrap/>
        <w:overflowPunct/>
        <w:topLinePunct w:val="0"/>
        <w:autoSpaceDE/>
        <w:autoSpaceDN/>
        <w:bidi w:val="0"/>
        <w:adjustRightInd/>
        <w:snapToGrid w:val="0"/>
        <w:spacing w:line="360" w:lineRule="auto"/>
        <w:ind w:firstLine="527"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10"/>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pPr>
        <w:pStyle w:val="10"/>
        <w:ind w:firstLine="422" w:firstLineChars="200"/>
        <w:rPr>
          <w:rFonts w:hint="eastAsia"/>
          <w:b/>
          <w:highlight w:val="none"/>
        </w:rPr>
      </w:pPr>
      <w:r>
        <w:rPr>
          <w:rFonts w:hint="eastAsia"/>
          <w:b/>
          <w:highlight w:val="none"/>
        </w:rPr>
        <w:t>1.合格投标人：</w:t>
      </w:r>
    </w:p>
    <w:p>
      <w:pPr>
        <w:pStyle w:val="10"/>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w:t>
      </w:r>
      <w:r>
        <w:rPr>
          <w:rFonts w:hint="eastAsia"/>
          <w:highlight w:val="none"/>
          <w:lang w:eastAsia="zh-CN"/>
        </w:rPr>
        <w:t>民法典</w:t>
      </w:r>
      <w:r>
        <w:rPr>
          <w:rFonts w:hint="eastAsia"/>
          <w:highlight w:val="none"/>
        </w:rPr>
        <w:t>》及其它有关的法律和法规；为中华人民共和国境内注册的独立法人机构，具有独立承担民事责任能力</w:t>
      </w:r>
      <w:r>
        <w:rPr>
          <w:rFonts w:hint="eastAsia"/>
          <w:highlight w:val="none"/>
          <w:lang w:eastAsia="zh-CN"/>
        </w:rPr>
        <w:t>。</w:t>
      </w:r>
    </w:p>
    <w:p>
      <w:pPr>
        <w:pStyle w:val="10"/>
        <w:ind w:firstLine="420" w:firstLineChars="200"/>
        <w:rPr>
          <w:rFonts w:hint="eastAsia"/>
          <w:highlight w:val="none"/>
          <w:u w:val="single"/>
          <w:lang w:val="en-US" w:eastAsia="zh-CN"/>
        </w:rPr>
      </w:pPr>
      <w:r>
        <w:rPr>
          <w:rFonts w:hint="eastAsia"/>
          <w:highlight w:val="none"/>
          <w:lang w:val="en-US" w:eastAsia="zh-CN"/>
        </w:rPr>
        <w:t>（2）</w:t>
      </w:r>
      <w:r>
        <w:rPr>
          <w:rFonts w:hint="eastAsia"/>
          <w:highlight w:val="none"/>
          <w:u w:val="single"/>
          <w:lang w:val="en-US" w:eastAsia="zh-CN"/>
        </w:rPr>
        <w:t>公司成立叁年及以上（以营业执照成立日期到开标当日满三年为准）；原则上注册资金不少于100万元，投标人注册资金不符条件但却属优秀的，经项目实施单位和业务主管部门负责人会签后，可接受其投标。企业营业执照经营范围满足招标内容。</w:t>
      </w:r>
    </w:p>
    <w:p>
      <w:pPr>
        <w:pStyle w:val="10"/>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pPr>
        <w:pStyle w:val="10"/>
        <w:ind w:firstLine="420" w:firstLineChars="200"/>
        <w:rPr>
          <w:rFonts w:hint="eastAsia"/>
          <w:highlight w:val="none"/>
        </w:rPr>
      </w:pPr>
      <w:r>
        <w:rPr>
          <w:rFonts w:hint="eastAsia"/>
          <w:highlight w:val="none"/>
          <w:lang w:val="en-US" w:eastAsia="zh-CN"/>
        </w:rPr>
        <w:t xml:space="preserve">（4）满足技术、质量、资金等要求，财务状况良好、经营稳定，具有全面履约的能力，能提供相关信用等级和完税证明； </w:t>
      </w:r>
    </w:p>
    <w:p>
      <w:pPr>
        <w:pStyle w:val="10"/>
        <w:ind w:firstLine="420" w:firstLineChars="200"/>
        <w:rPr>
          <w:rFonts w:hint="eastAsia"/>
          <w:highlight w:val="none"/>
        </w:rPr>
      </w:pPr>
      <w:r>
        <w:rPr>
          <w:rFonts w:hint="eastAsia"/>
          <w:highlight w:val="none"/>
          <w:lang w:val="en-US" w:eastAsia="zh-CN"/>
        </w:rPr>
        <w:t xml:space="preserve">（5）投标人之间必须具有充分的竞争关系； </w:t>
      </w:r>
    </w:p>
    <w:p>
      <w:pPr>
        <w:pStyle w:val="10"/>
        <w:ind w:firstLine="420" w:firstLineChars="200"/>
        <w:rPr>
          <w:rFonts w:hint="eastAsia"/>
          <w:highlight w:val="none"/>
        </w:rPr>
      </w:pPr>
      <w:r>
        <w:rPr>
          <w:rFonts w:hint="eastAsia"/>
          <w:highlight w:val="none"/>
          <w:lang w:val="en-US" w:eastAsia="zh-CN"/>
        </w:rPr>
        <w:t xml:space="preserve">（6）在“国家企业信用信息公示系统”、“中国执行信息公开网”、“信用中国”、“天眼查”“裁判文书网”等信息平台中，无行政处罚及失信记录等信息； </w:t>
      </w:r>
    </w:p>
    <w:p>
      <w:pPr>
        <w:pStyle w:val="10"/>
        <w:ind w:firstLine="420" w:firstLineChars="200"/>
        <w:rPr>
          <w:rFonts w:hint="eastAsia"/>
          <w:highlight w:val="none"/>
          <w:lang w:val="en-US" w:eastAsia="zh-CN"/>
        </w:rPr>
      </w:pPr>
      <w:r>
        <w:rPr>
          <w:rFonts w:hint="eastAsia"/>
          <w:highlight w:val="none"/>
          <w:lang w:val="en-US" w:eastAsia="zh-CN"/>
        </w:rPr>
        <w:t>（7）无招标违规、谎报年度报告信息、提供虚假资质资料等行为或其他行政处罚记录；</w:t>
      </w:r>
    </w:p>
    <w:p>
      <w:pPr>
        <w:pStyle w:val="10"/>
        <w:ind w:firstLine="420" w:firstLineChars="200"/>
        <w:rPr>
          <w:rFonts w:hint="eastAsia"/>
          <w:highlight w:val="none"/>
        </w:rPr>
      </w:pPr>
      <w:r>
        <w:rPr>
          <w:rFonts w:hint="eastAsia"/>
          <w:highlight w:val="none"/>
          <w:lang w:val="en-US" w:eastAsia="zh-CN"/>
        </w:rPr>
        <w:t xml:space="preserve">（8）没有被公司列入黑名单； </w:t>
      </w:r>
    </w:p>
    <w:p>
      <w:pPr>
        <w:pStyle w:val="10"/>
        <w:ind w:firstLine="420" w:firstLineChars="200"/>
        <w:rPr>
          <w:rFonts w:hint="eastAsia"/>
          <w:highlight w:val="none"/>
        </w:rPr>
      </w:pPr>
      <w:r>
        <w:rPr>
          <w:rFonts w:hint="eastAsia"/>
          <w:highlight w:val="none"/>
          <w:lang w:val="en-US" w:eastAsia="zh-CN"/>
        </w:rPr>
        <w:t>（9）供方的直接或间接股东、法定代表人、董事、监事、高管非重汽员工及其亲属。</w:t>
      </w:r>
    </w:p>
    <w:p>
      <w:pPr>
        <w:pStyle w:val="10"/>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pPr>
        <w:pStyle w:val="10"/>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pPr>
        <w:pStyle w:val="10"/>
        <w:ind w:firstLine="420" w:firstLineChars="200"/>
        <w:rPr>
          <w:rFonts w:hint="eastAsia"/>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pPr>
        <w:pStyle w:val="10"/>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13）投标人须提供</w:t>
      </w:r>
      <w:r>
        <w:rPr>
          <w:rFonts w:hint="eastAsia"/>
          <w:b w:val="0"/>
          <w:bCs w:val="0"/>
          <w:szCs w:val="21"/>
          <w:highlight w:val="none"/>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pPr>
        <w:pStyle w:val="10"/>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14）投标人须提供</w:t>
      </w:r>
      <w:r>
        <w:rPr>
          <w:rFonts w:hint="eastAsia"/>
          <w:b w:val="0"/>
          <w:bCs w:val="0"/>
          <w:szCs w:val="21"/>
          <w:highlight w:val="none"/>
        </w:rPr>
        <w:t xml:space="preserve">企业最近半年完税证明、信用证明材料（征信报告）； </w:t>
      </w:r>
    </w:p>
    <w:p>
      <w:pPr>
        <w:pStyle w:val="10"/>
        <w:ind w:firstLine="420" w:firstLineChars="200"/>
        <w:rPr>
          <w:rFonts w:hint="eastAsia"/>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15）投标人须提供</w:t>
      </w:r>
      <w:r>
        <w:rPr>
          <w:rFonts w:hint="eastAsia"/>
          <w:b w:val="0"/>
          <w:bCs w:val="0"/>
          <w:szCs w:val="21"/>
          <w:highlight w:val="none"/>
        </w:rPr>
        <w:t xml:space="preserve">年度纳税信用评价信息（可从电子税务局查询截图，需加盖公章）； </w:t>
      </w:r>
    </w:p>
    <w:p>
      <w:pPr>
        <w:ind w:firstLine="420" w:firstLineChars="200"/>
        <w:rPr>
          <w:rFonts w:hint="eastAsia"/>
          <w:b w:val="0"/>
          <w:bCs w:val="0"/>
          <w:szCs w:val="21"/>
          <w:highlight w:val="none"/>
        </w:rPr>
      </w:pPr>
      <w:r>
        <w:rPr>
          <w:rFonts w:hint="eastAsia" w:ascii="宋体" w:hAnsi="Courier New" w:eastAsia="宋体" w:cs="Times New Roman"/>
          <w:b w:val="0"/>
          <w:bCs w:val="0"/>
          <w:kern w:val="2"/>
          <w:sz w:val="21"/>
          <w:szCs w:val="21"/>
          <w:highlight w:val="none"/>
          <w:lang w:val="en-US" w:eastAsia="zh-CN" w:bidi="ar-SA"/>
        </w:rPr>
        <w:t>（16）投标人须提供企</w:t>
      </w:r>
      <w:r>
        <w:rPr>
          <w:rFonts w:hint="eastAsia"/>
          <w:b w:val="0"/>
          <w:bCs w:val="0"/>
          <w:szCs w:val="21"/>
          <w:highlight w:val="none"/>
        </w:rPr>
        <w:t>业对外担保说明（写明贵单位对外有无对外担保和质押业务，需加盖公章）。</w:t>
      </w:r>
    </w:p>
    <w:p>
      <w:pPr>
        <w:ind w:firstLine="420" w:firstLineChars="200"/>
        <w:rPr>
          <w:rFonts w:hint="eastAsia"/>
          <w:highlight w:val="none"/>
        </w:rPr>
      </w:pPr>
      <w:r>
        <w:rPr>
          <w:rFonts w:hint="eastAsia" w:ascii="宋体" w:hAnsi="宋体" w:cs="宋体"/>
          <w:highlight w:val="none"/>
          <w:lang w:eastAsia="zh-CN"/>
        </w:rPr>
        <w:t>（</w:t>
      </w:r>
      <w:r>
        <w:rPr>
          <w:rFonts w:hint="eastAsia" w:ascii="宋体" w:hAnsi="宋体" w:cs="宋体"/>
          <w:highlight w:val="none"/>
          <w:lang w:val="en-US" w:eastAsia="zh-CN"/>
        </w:rPr>
        <w:t>17</w:t>
      </w:r>
      <w:r>
        <w:rPr>
          <w:rFonts w:hint="eastAsia" w:ascii="宋体" w:hAnsi="宋体" w:cs="宋体"/>
          <w:highlight w:val="none"/>
          <w:lang w:eastAsia="zh-CN"/>
        </w:rPr>
        <w:t>）</w:t>
      </w:r>
      <w:r>
        <w:rPr>
          <w:rFonts w:hint="eastAsia"/>
          <w:highlight w:val="none"/>
        </w:rPr>
        <w:t>投标人有下列情形之一，其投标将被视为</w:t>
      </w:r>
      <w:r>
        <w:rPr>
          <w:rFonts w:hint="eastAsia"/>
          <w:highlight w:val="none"/>
          <w:lang w:val="en-US" w:eastAsia="zh-CN"/>
        </w:rPr>
        <w:t>投标无效</w:t>
      </w:r>
      <w:r>
        <w:rPr>
          <w:rFonts w:hint="eastAsia"/>
          <w:highlight w:val="none"/>
        </w:rPr>
        <w:t>，招标人将严格按照《中华人民共和国招标投标法》及相关法律、法规及规章制度的规定行使权利。投标人给招标人造成损失的，招标人有索赔的权利，投标人应予以赔偿。</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①</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②</w:t>
      </w:r>
      <w:r>
        <w:rPr>
          <w:rFonts w:hint="eastAsia" w:ascii="宋体" w:hAnsi="宋体" w:eastAsia="宋体" w:cs="Times New Roman"/>
          <w:kern w:val="2"/>
          <w:sz w:val="21"/>
          <w:szCs w:val="21"/>
          <w:highlight w:val="none"/>
          <w:lang w:val="en-US" w:eastAsia="zh-CN" w:bidi="ar-SA"/>
        </w:rPr>
        <w:t>投标人在报价有效期内撤回投标；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③</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④</w:t>
      </w:r>
      <w:r>
        <w:rPr>
          <w:rFonts w:hint="eastAsia" w:ascii="宋体" w:hAnsi="宋体" w:eastAsia="宋体" w:cs="Times New Roman"/>
          <w:kern w:val="2"/>
          <w:sz w:val="21"/>
          <w:szCs w:val="21"/>
          <w:highlight w:val="none"/>
          <w:lang w:val="en-US" w:eastAsia="zh-CN" w:bidi="ar-SA"/>
        </w:rPr>
        <w:t>投标人以任何方式诋毁其他投标人；</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⑤</w:t>
      </w:r>
      <w:r>
        <w:rPr>
          <w:rFonts w:hint="eastAsia" w:ascii="宋体" w:hAnsi="宋体" w:eastAsia="宋体" w:cs="Times New Roman"/>
          <w:kern w:val="2"/>
          <w:sz w:val="21"/>
          <w:szCs w:val="21"/>
          <w:highlight w:val="none"/>
          <w:lang w:val="en-US" w:eastAsia="zh-CN" w:bidi="ar-SA"/>
        </w:rPr>
        <w:t>投标人串通投标；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⑥</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⑦</w:t>
      </w:r>
      <w:r>
        <w:rPr>
          <w:rFonts w:hint="eastAsia" w:ascii="宋体" w:hAnsi="宋体" w:eastAsia="宋体" w:cs="Times New Roman"/>
          <w:kern w:val="2"/>
          <w:sz w:val="21"/>
          <w:szCs w:val="21"/>
          <w:highlight w:val="none"/>
          <w:lang w:val="en-US" w:eastAsia="zh-CN" w:bidi="ar-SA"/>
        </w:rPr>
        <w:t>中标人不按规定签订合同；</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⑧</w:t>
      </w:r>
      <w:r>
        <w:rPr>
          <w:rFonts w:hint="eastAsia" w:ascii="宋体" w:hAnsi="宋体" w:eastAsia="宋体" w:cs="Times New Roman"/>
          <w:kern w:val="2"/>
          <w:sz w:val="21"/>
          <w:szCs w:val="21"/>
          <w:highlight w:val="none"/>
          <w:lang w:val="en-US" w:eastAsia="zh-CN" w:bidi="ar-SA"/>
        </w:rPr>
        <w:t>法律、法规规定的其他情况。</w:t>
      </w:r>
    </w:p>
    <w:p>
      <w:pPr>
        <w:ind w:firstLine="420" w:firstLineChars="200"/>
        <w:rPr>
          <w:rFonts w:hint="eastAsia"/>
          <w:highlight w:val="none"/>
          <w:lang w:val="en-US" w:eastAsia="zh-CN"/>
        </w:rPr>
      </w:pPr>
      <w:r>
        <w:rPr>
          <w:rFonts w:hint="eastAsia"/>
          <w:highlight w:val="none"/>
          <w:lang w:val="en-US" w:eastAsia="zh-CN"/>
        </w:rPr>
        <w:t>⑨</w:t>
      </w:r>
      <w:r>
        <w:rPr>
          <w:rFonts w:hint="eastAsia" w:ascii="宋体" w:hAnsi="宋体" w:cs="Times New Roman"/>
          <w:kern w:val="2"/>
          <w:sz w:val="21"/>
          <w:szCs w:val="21"/>
          <w:highlight w:val="none"/>
          <w:lang w:val="en-US" w:eastAsia="zh-CN" w:bidi="ar-SA"/>
        </w:rPr>
        <w:t>不同投标单位负责人为同一人或存在管理关系的；</w:t>
      </w:r>
    </w:p>
    <w:p>
      <w:pPr>
        <w:ind w:firstLine="420" w:firstLineChars="200"/>
        <w:rPr>
          <w:rFonts w:hint="eastAsia"/>
          <w:b w:val="0"/>
          <w:bCs w:val="0"/>
          <w:szCs w:val="21"/>
          <w:highlight w:val="none"/>
          <w:lang w:eastAsia="zh-CN"/>
        </w:rPr>
      </w:pPr>
      <w:r>
        <w:rPr>
          <w:rFonts w:hint="eastAsia"/>
          <w:highlight w:val="none"/>
          <w:lang w:val="en-US" w:eastAsia="zh-CN"/>
        </w:rPr>
        <w:t>⑩</w:t>
      </w:r>
      <w:r>
        <w:rPr>
          <w:rFonts w:hint="eastAsia" w:ascii="宋体" w:hAnsi="宋体" w:cs="Times New Roman"/>
          <w:kern w:val="2"/>
          <w:sz w:val="21"/>
          <w:szCs w:val="21"/>
          <w:highlight w:val="none"/>
          <w:lang w:val="en-US" w:eastAsia="zh-CN" w:bidi="ar-SA"/>
        </w:rPr>
        <w:t>投标人被举报、检举，并经招标方查实无误的。</w:t>
      </w:r>
    </w:p>
    <w:p>
      <w:pPr>
        <w:pStyle w:val="10"/>
        <w:ind w:firstLine="422" w:firstLineChars="200"/>
        <w:rPr>
          <w:rFonts w:hint="eastAsia"/>
          <w:b/>
          <w:szCs w:val="21"/>
          <w:highlight w:val="none"/>
        </w:rPr>
      </w:pPr>
      <w:r>
        <w:rPr>
          <w:rFonts w:hint="eastAsia"/>
          <w:b/>
          <w:szCs w:val="21"/>
          <w:highlight w:val="none"/>
        </w:rPr>
        <w:t>2.投标文件格式</w:t>
      </w:r>
    </w:p>
    <w:p>
      <w:pPr>
        <w:pStyle w:val="10"/>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pPr>
        <w:pStyle w:val="10"/>
        <w:ind w:firstLine="422" w:firstLineChars="200"/>
        <w:rPr>
          <w:rFonts w:hint="eastAsia"/>
          <w:b/>
          <w:szCs w:val="21"/>
          <w:highlight w:val="none"/>
        </w:rPr>
      </w:pPr>
      <w:r>
        <w:rPr>
          <w:rFonts w:hint="eastAsia"/>
          <w:b/>
          <w:szCs w:val="21"/>
          <w:highlight w:val="none"/>
        </w:rPr>
        <w:t>3.报价：</w:t>
      </w:r>
    </w:p>
    <w:p>
      <w:pPr>
        <w:numPr>
          <w:ilvl w:val="0"/>
          <w:numId w:val="0"/>
        </w:numPr>
        <w:ind w:firstLine="420" w:firstLineChars="200"/>
        <w:rPr>
          <w:rFonts w:hint="eastAsia"/>
          <w:b/>
          <w:bCs/>
          <w:sz w:val="28"/>
          <w:szCs w:val="28"/>
          <w:highlight w:val="none"/>
          <w:u w:val="singl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r>
        <w:rPr>
          <w:rFonts w:hint="eastAsia" w:ascii="宋体" w:hAnsi="宋体"/>
          <w:b/>
          <w:bCs/>
          <w:color w:val="auto"/>
          <w:sz w:val="28"/>
          <w:szCs w:val="28"/>
          <w:highlight w:val="none"/>
          <w:u w:val="single"/>
          <w:lang w:val="en-US" w:eastAsia="zh-CN"/>
        </w:rPr>
        <w:t>供应商报价上限为25.5万元（含税）。</w:t>
      </w:r>
    </w:p>
    <w:p>
      <w:pPr>
        <w:pStyle w:val="10"/>
        <w:ind w:firstLine="422" w:firstLineChars="200"/>
        <w:rPr>
          <w:rFonts w:hint="default" w:eastAsia="宋体"/>
          <w:b/>
          <w:bCs/>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2</w:t>
      </w:r>
      <w:r>
        <w:rPr>
          <w:rFonts w:hint="eastAsia"/>
          <w:b/>
          <w:bCs/>
          <w:sz w:val="21"/>
          <w:szCs w:val="21"/>
          <w:highlight w:val="none"/>
          <w:lang w:eastAsia="zh-CN"/>
        </w:rPr>
        <w:t>）</w:t>
      </w:r>
      <w:r>
        <w:rPr>
          <w:rFonts w:hint="eastAsia"/>
          <w:b/>
          <w:bCs/>
          <w:sz w:val="21"/>
          <w:szCs w:val="21"/>
          <w:highlight w:val="none"/>
          <w:lang w:val="en-US" w:eastAsia="zh-CN"/>
        </w:rPr>
        <w:t>报价清单内</w:t>
      </w:r>
      <w:r>
        <w:rPr>
          <w:rFonts w:hint="eastAsia"/>
          <w:b/>
          <w:bCs/>
          <w:sz w:val="21"/>
          <w:szCs w:val="21"/>
          <w:highlight w:val="none"/>
        </w:rPr>
        <w:t>所有</w:t>
      </w:r>
      <w:r>
        <w:rPr>
          <w:rFonts w:hint="eastAsia"/>
          <w:b/>
          <w:bCs/>
          <w:sz w:val="21"/>
          <w:szCs w:val="21"/>
          <w:highlight w:val="none"/>
          <w:lang w:val="en-US" w:eastAsia="zh-CN"/>
        </w:rPr>
        <w:t>价格</w:t>
      </w:r>
      <w:r>
        <w:rPr>
          <w:rFonts w:hint="eastAsia"/>
          <w:b/>
          <w:bCs/>
          <w:sz w:val="21"/>
          <w:szCs w:val="21"/>
          <w:highlight w:val="none"/>
        </w:rPr>
        <w:t>货币单位为：元（人民币</w:t>
      </w:r>
      <w:r>
        <w:rPr>
          <w:rFonts w:hint="eastAsia"/>
          <w:b/>
          <w:bCs/>
          <w:sz w:val="21"/>
          <w:szCs w:val="21"/>
          <w:highlight w:val="none"/>
          <w:lang w:eastAsia="zh-CN"/>
        </w:rPr>
        <w:t>）</w:t>
      </w:r>
      <w:r>
        <w:rPr>
          <w:rFonts w:hint="eastAsia"/>
          <w:b/>
          <w:bCs/>
          <w:sz w:val="21"/>
          <w:szCs w:val="21"/>
          <w:highlight w:val="none"/>
        </w:rPr>
        <w:t>，</w:t>
      </w:r>
      <w:r>
        <w:rPr>
          <w:rFonts w:hint="eastAsia"/>
          <w:b/>
          <w:bCs/>
          <w:sz w:val="21"/>
          <w:szCs w:val="21"/>
          <w:highlight w:val="none"/>
          <w:lang w:val="en-US" w:eastAsia="zh-CN"/>
        </w:rPr>
        <w:t>投标总报价为含税总价，注明税率，清单价格为不</w:t>
      </w:r>
      <w:r>
        <w:rPr>
          <w:rFonts w:hint="eastAsia"/>
          <w:b/>
          <w:bCs/>
          <w:sz w:val="21"/>
          <w:szCs w:val="21"/>
          <w:highlight w:val="none"/>
        </w:rPr>
        <w:t>含税价，税率</w:t>
      </w:r>
      <w:r>
        <w:rPr>
          <w:rFonts w:hint="eastAsia"/>
          <w:b/>
          <w:bCs/>
          <w:sz w:val="21"/>
          <w:szCs w:val="21"/>
          <w:highlight w:val="none"/>
          <w:lang w:val="en-US" w:eastAsia="zh-CN"/>
        </w:rPr>
        <w:t>单独计算；</w:t>
      </w:r>
      <w:r>
        <w:rPr>
          <w:rFonts w:hint="eastAsia"/>
          <w:b/>
          <w:bCs/>
          <w:sz w:val="21"/>
          <w:szCs w:val="21"/>
          <w:highlight w:val="none"/>
        </w:rPr>
        <w:t xml:space="preserve"> </w:t>
      </w:r>
      <w:r>
        <w:rPr>
          <w:rFonts w:hint="eastAsia"/>
          <w:b/>
          <w:bCs/>
          <w:sz w:val="21"/>
          <w:szCs w:val="21"/>
          <w:highlight w:val="none"/>
          <w:lang w:val="en-US" w:eastAsia="zh-CN"/>
        </w:rPr>
        <w:t>开标一览表及e采通内报价货币单位为万元</w:t>
      </w:r>
    </w:p>
    <w:p>
      <w:pPr>
        <w:pStyle w:val="10"/>
        <w:ind w:firstLine="420" w:firstLineChars="200"/>
        <w:rPr>
          <w:b w:val="0"/>
          <w:bCs w:val="0"/>
          <w:sz w:val="21"/>
          <w:szCs w:val="21"/>
          <w:highlight w:val="none"/>
        </w:rPr>
      </w:pPr>
      <w:r>
        <w:rPr>
          <w:rFonts w:hint="eastAsia" w:hAnsi="宋体"/>
          <w:b w:val="0"/>
          <w:bCs w:val="0"/>
          <w:sz w:val="21"/>
          <w:szCs w:val="21"/>
          <w:highlight w:val="none"/>
          <w:lang w:eastAsia="zh-CN"/>
        </w:rPr>
        <w:t>（</w:t>
      </w:r>
      <w:r>
        <w:rPr>
          <w:rFonts w:hint="eastAsia" w:hAnsi="宋体"/>
          <w:b w:val="0"/>
          <w:bCs w:val="0"/>
          <w:sz w:val="21"/>
          <w:szCs w:val="21"/>
          <w:highlight w:val="none"/>
          <w:lang w:val="en-US" w:eastAsia="zh-CN"/>
        </w:rPr>
        <w:t>3</w:t>
      </w:r>
      <w:r>
        <w:rPr>
          <w:rFonts w:hint="eastAsia" w:hAnsi="宋体"/>
          <w:b w:val="0"/>
          <w:bCs w:val="0"/>
          <w:sz w:val="21"/>
          <w:szCs w:val="21"/>
          <w:highlight w:val="none"/>
          <w:lang w:eastAsia="zh-CN"/>
        </w:rPr>
        <w:t>）</w:t>
      </w:r>
      <w:r>
        <w:rPr>
          <w:rFonts w:hint="eastAsia" w:hAnsi="宋体"/>
          <w:b w:val="0"/>
          <w:bCs w:val="0"/>
          <w:sz w:val="21"/>
          <w:szCs w:val="21"/>
          <w:highlight w:val="none"/>
        </w:rPr>
        <w:t>付款</w:t>
      </w:r>
      <w:r>
        <w:rPr>
          <w:rFonts w:hint="eastAsia"/>
          <w:b w:val="0"/>
          <w:bCs w:val="0"/>
          <w:sz w:val="21"/>
          <w:szCs w:val="21"/>
          <w:highlight w:val="none"/>
        </w:rPr>
        <w:t>结算方式：</w:t>
      </w:r>
      <w:r>
        <w:rPr>
          <w:rFonts w:hint="eastAsia" w:ascii="宋体" w:hAnsi="宋体"/>
          <w:b w:val="0"/>
          <w:bCs w:val="0"/>
          <w:sz w:val="21"/>
          <w:szCs w:val="21"/>
          <w:highlight w:val="none"/>
          <w:u w:val="single"/>
        </w:rPr>
        <w:t>半年期商业汇票（包括银行承兑汇票和商业承兑汇票）</w:t>
      </w:r>
      <w:r>
        <w:rPr>
          <w:rFonts w:hint="eastAsia"/>
          <w:b w:val="0"/>
          <w:bCs w:val="0"/>
          <w:sz w:val="21"/>
          <w:szCs w:val="21"/>
          <w:highlight w:val="none"/>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工程竣工验收合格，乙方提供当批付款金额一致的符合国家要求的增值税专用发票（税率</w:t>
      </w:r>
      <w:r>
        <w:rPr>
          <w:rFonts w:hint="eastAsia" w:ascii="宋体" w:hAnsi="Courier New" w:cs="Times New Roman"/>
          <w:kern w:val="2"/>
          <w:sz w:val="21"/>
          <w:szCs w:val="21"/>
          <w:highlight w:val="none"/>
          <w:u w:val="single"/>
          <w:lang w:val="en-US" w:eastAsia="zh-CN" w:bidi="ar-SA"/>
        </w:rPr>
        <w:t>9</w:t>
      </w:r>
      <w:r>
        <w:rPr>
          <w:rFonts w:hint="eastAsia" w:ascii="宋体" w:hAnsi="Courier New" w:eastAsia="宋体" w:cs="Times New Roman"/>
          <w:kern w:val="2"/>
          <w:sz w:val="21"/>
          <w:szCs w:val="21"/>
          <w:highlight w:val="none"/>
          <w:u w:val="single"/>
          <w:lang w:val="en-US" w:eastAsia="zh-CN" w:bidi="ar-SA"/>
        </w:rPr>
        <w:t xml:space="preserve"> %</w:t>
      </w:r>
      <w:r>
        <w:rPr>
          <w:rFonts w:hint="eastAsia" w:ascii="宋体" w:hAnsi="Courier New" w:eastAsia="宋体" w:cs="Times New Roman"/>
          <w:kern w:val="2"/>
          <w:sz w:val="21"/>
          <w:szCs w:val="21"/>
          <w:highlight w:val="none"/>
          <w:lang w:val="en-US" w:eastAsia="zh-CN" w:bidi="ar-SA"/>
        </w:rPr>
        <w:t>，如国家出台新政策对增值税率进行了调整，则不含税价款不变，本合同含税总价在不含税价基础上根据国家最新税率进行相应的调整），经甲方审核无误后于次月付款至合同价款的</w:t>
      </w:r>
      <w:r>
        <w:rPr>
          <w:rFonts w:hint="eastAsia" w:ascii="宋体" w:hAnsi="Courier New" w:cs="Times New Roman"/>
          <w:kern w:val="2"/>
          <w:sz w:val="21"/>
          <w:szCs w:val="21"/>
          <w:highlight w:val="none"/>
          <w:lang w:val="en-US" w:eastAsia="zh-CN" w:bidi="ar-SA"/>
        </w:rPr>
        <w:t xml:space="preserve"> </w:t>
      </w:r>
      <w:r>
        <w:rPr>
          <w:rFonts w:hint="eastAsia" w:ascii="宋体" w:hAnsi="Courier New" w:eastAsia="宋体" w:cs="Times New Roman"/>
          <w:kern w:val="2"/>
          <w:sz w:val="21"/>
          <w:szCs w:val="21"/>
          <w:highlight w:val="none"/>
          <w:u w:val="single"/>
          <w:lang w:val="en-US" w:eastAsia="zh-CN" w:bidi="ar-SA"/>
        </w:rPr>
        <w:t>70%</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宋体" w:hAnsi="Courier New" w:eastAsia="宋体" w:cs="Times New Roman"/>
          <w:kern w:val="2"/>
          <w:sz w:val="21"/>
          <w:szCs w:val="21"/>
          <w:highlight w:val="none"/>
          <w:u w:val="single"/>
          <w:lang w:val="en-US" w:eastAsia="zh-CN" w:bidi="ar-SA"/>
        </w:rPr>
        <w:t>95%</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剩余</w:t>
      </w:r>
      <w:r>
        <w:rPr>
          <w:rFonts w:hint="eastAsia" w:ascii="宋体" w:hAnsi="Courier New" w:eastAsia="宋体" w:cs="Times New Roman"/>
          <w:kern w:val="2"/>
          <w:sz w:val="21"/>
          <w:szCs w:val="21"/>
          <w:highlight w:val="none"/>
          <w:u w:val="single"/>
          <w:lang w:val="en-US" w:eastAsia="zh-CN" w:bidi="ar-SA"/>
        </w:rPr>
        <w:t>5%</w:t>
      </w:r>
      <w:r>
        <w:rPr>
          <w:rFonts w:hint="eastAsia" w:ascii="宋体" w:hAnsi="Courier New" w:eastAsia="宋体" w:cs="Times New Roman"/>
          <w:kern w:val="2"/>
          <w:sz w:val="21"/>
          <w:szCs w:val="21"/>
          <w:highlight w:val="none"/>
          <w:lang w:val="en-US" w:eastAsia="zh-CN" w:bidi="ar-SA"/>
        </w:rPr>
        <w:t>作为质保金，质保期后无质量问题进行支付。</w:t>
      </w:r>
    </w:p>
    <w:p>
      <w:pPr>
        <w:pStyle w:val="10"/>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Courier New" w:eastAsia="宋体" w:cs="Times New Roman"/>
          <w:kern w:val="2"/>
          <w:sz w:val="21"/>
          <w:szCs w:val="21"/>
          <w:highlight w:val="none"/>
          <w:lang w:val="en-US" w:eastAsia="zh-CN" w:bidi="ar-SA"/>
        </w:rPr>
      </w:pPr>
      <w:r>
        <w:rPr>
          <w:rFonts w:hint="default" w:ascii="宋体" w:hAnsi="Courier New" w:eastAsia="宋体" w:cs="Times New Roman"/>
          <w:kern w:val="2"/>
          <w:sz w:val="21"/>
          <w:szCs w:val="21"/>
          <w:highlight w:val="none"/>
          <w:lang w:val="en-US" w:eastAsia="zh-CN" w:bidi="ar-SA"/>
        </w:rPr>
        <w:t>本合同的最终结算金额以工程结算审核报告中的审定</w:t>
      </w:r>
      <w:r>
        <w:rPr>
          <w:rFonts w:hint="eastAsia" w:ascii="宋体" w:hAnsi="Courier New" w:eastAsia="宋体" w:cs="Times New Roman"/>
          <w:kern w:val="2"/>
          <w:sz w:val="21"/>
          <w:szCs w:val="21"/>
          <w:highlight w:val="none"/>
          <w:lang w:val="en-US" w:eastAsia="zh-CN" w:bidi="ar-SA"/>
        </w:rPr>
        <w:t>额</w:t>
      </w:r>
      <w:r>
        <w:rPr>
          <w:rFonts w:hint="default" w:ascii="宋体" w:hAnsi="Courier New" w:eastAsia="宋体" w:cs="Times New Roman"/>
          <w:kern w:val="2"/>
          <w:sz w:val="21"/>
          <w:szCs w:val="21"/>
          <w:highlight w:val="none"/>
          <w:lang w:val="en-US" w:eastAsia="zh-CN" w:bidi="ar-SA"/>
        </w:rPr>
        <w:t>为准</w:t>
      </w:r>
      <w:r>
        <w:rPr>
          <w:rFonts w:hint="eastAsia" w:ascii="宋体" w:hAnsi="Courier New" w:eastAsia="宋体" w:cs="Times New Roman"/>
          <w:kern w:val="2"/>
          <w:sz w:val="21"/>
          <w:szCs w:val="21"/>
          <w:highlight w:val="none"/>
          <w:lang w:val="en-US" w:eastAsia="zh-CN" w:bidi="ar-SA"/>
        </w:rPr>
        <w:t>。</w:t>
      </w:r>
    </w:p>
    <w:p>
      <w:pPr>
        <w:pStyle w:val="10"/>
        <w:ind w:firstLine="422" w:firstLineChars="200"/>
        <w:rPr>
          <w:rFonts w:hint="eastAsia"/>
          <w:b/>
          <w:szCs w:val="21"/>
          <w:highlight w:val="none"/>
        </w:rPr>
      </w:pPr>
      <w:r>
        <w:rPr>
          <w:rFonts w:hint="eastAsia"/>
          <w:b/>
          <w:szCs w:val="21"/>
          <w:highlight w:val="none"/>
        </w:rPr>
        <w:t>4.技术规范及服务</w:t>
      </w:r>
    </w:p>
    <w:p>
      <w:pPr>
        <w:pStyle w:val="10"/>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pPr>
        <w:pStyle w:val="10"/>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pPr>
        <w:rPr>
          <w:rFonts w:hint="default" w:ascii="宋体" w:hAnsi="Courier New" w:eastAsia="宋体" w:cs="Times New Roman"/>
          <w:kern w:val="2"/>
          <w:sz w:val="21"/>
          <w:szCs w:val="21"/>
          <w:highlight w:val="none"/>
          <w:lang w:val="en-US" w:eastAsia="zh-CN" w:bidi="ar-SA"/>
        </w:rPr>
      </w:pPr>
      <w:r>
        <w:rPr>
          <w:rFonts w:hint="eastAsia"/>
          <w:szCs w:val="21"/>
          <w:highlight w:val="none"/>
          <w:lang w:val="en-US" w:eastAsia="zh-CN"/>
        </w:rPr>
        <w:t xml:space="preserve">    </w:t>
      </w:r>
      <w:r>
        <w:rPr>
          <w:rFonts w:hint="eastAsia" w:ascii="宋体" w:hAnsi="Courier New" w:eastAsia="宋体" w:cs="Times New Roman"/>
          <w:kern w:val="2"/>
          <w:sz w:val="21"/>
          <w:szCs w:val="21"/>
          <w:highlight w:val="none"/>
          <w:lang w:val="en-US" w:eastAsia="zh-CN" w:bidi="ar-SA"/>
        </w:rPr>
        <w:t>（3）</w:t>
      </w:r>
      <w:r>
        <w:rPr>
          <w:rFonts w:hint="eastAsia" w:ascii="宋体" w:hAnsi="Courier New" w:cs="Times New Roman"/>
          <w:kern w:val="2"/>
          <w:sz w:val="21"/>
          <w:szCs w:val="21"/>
          <w:highlight w:val="none"/>
          <w:lang w:val="en-US" w:eastAsia="zh-CN" w:bidi="ar-SA"/>
        </w:rPr>
        <w:t>商务偏离表仅供填写正偏离，负偏离视为放弃投标。</w:t>
      </w:r>
    </w:p>
    <w:p>
      <w:pPr>
        <w:pStyle w:val="10"/>
        <w:ind w:firstLine="422" w:firstLineChars="200"/>
        <w:rPr>
          <w:rFonts w:hint="eastAsia"/>
          <w:b/>
          <w:szCs w:val="21"/>
          <w:highlight w:val="none"/>
        </w:rPr>
      </w:pPr>
      <w:r>
        <w:rPr>
          <w:rFonts w:hint="eastAsia"/>
          <w:b/>
          <w:szCs w:val="21"/>
          <w:highlight w:val="none"/>
        </w:rPr>
        <w:t>5.其他</w:t>
      </w:r>
    </w:p>
    <w:p>
      <w:pPr>
        <w:pStyle w:val="10"/>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投标文件编制”之“相关条款偏离表（含商务偏离及技术偏离）”中注明“不接受”字，招标人将视之为主动弃标。</w:t>
      </w:r>
    </w:p>
    <w:p>
      <w:pPr>
        <w:pStyle w:val="10"/>
        <w:ind w:firstLine="420" w:firstLineChars="200"/>
        <w:rPr>
          <w:rFonts w:hint="eastAsia"/>
          <w:szCs w:val="21"/>
          <w:highlight w:val="none"/>
        </w:rPr>
      </w:pPr>
      <w:r>
        <w:rPr>
          <w:rFonts w:hint="eastAsia"/>
          <w:szCs w:val="21"/>
          <w:highlight w:val="none"/>
        </w:rPr>
        <w:t>其余未尽事宜，均以双方最终签订的合同版本为准。</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pPr>
        <w:pStyle w:val="10"/>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w:t>
      </w:r>
      <w:r>
        <w:rPr>
          <w:rFonts w:hint="eastAsia" w:ascii="黑体" w:eastAsia="黑体"/>
          <w:b/>
          <w:bCs/>
          <w:sz w:val="28"/>
          <w:highlight w:val="none"/>
          <w:lang w:val="en-US" w:eastAsia="zh-CN"/>
        </w:rPr>
        <w:t>/</w:t>
      </w:r>
      <w:r>
        <w:rPr>
          <w:rFonts w:hint="eastAsia" w:ascii="黑体" w:eastAsia="黑体"/>
          <w:b/>
          <w:bCs/>
          <w:sz w:val="28"/>
          <w:highlight w:val="none"/>
        </w:rPr>
        <w:t>评标</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pPr>
        <w:pStyle w:val="10"/>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pPr>
        <w:pStyle w:val="10"/>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pPr>
        <w:pStyle w:val="10"/>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keepNext w:val="0"/>
        <w:keepLines w:val="0"/>
        <w:widowControl/>
        <w:suppressLineNumbers w:val="0"/>
        <w:jc w:val="left"/>
        <w:rPr>
          <w:rFonts w:hint="eastAsia"/>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w:t>
      </w:r>
      <w:r>
        <w:rPr>
          <w:rFonts w:hint="eastAsia" w:ascii="宋体" w:hAnsi="宋体" w:eastAsia="宋体" w:cs="宋体"/>
          <w:highlight w:val="none"/>
          <w:lang w:val="en-US" w:eastAsia="zh-CN"/>
        </w:rPr>
        <w:t>所有项目经资质审查通过后，先进行开唱标工作，并统一报价要求。</w:t>
      </w:r>
      <w:r>
        <w:rPr>
          <w:rFonts w:hint="eastAsia" w:ascii="宋体" w:hAnsi="宋体" w:cs="宋体"/>
          <w:highlight w:val="none"/>
          <w:lang w:val="en-US" w:eastAsia="zh-CN"/>
        </w:rPr>
        <w:t>商务标专家组与有效投标人在其开标报价的基础上开展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，确定推荐中标人，原则上按照评标合理最低价选择中标人</w:t>
      </w:r>
      <w:r>
        <w:rPr>
          <w:rFonts w:hint="eastAsia" w:ascii="仿宋_GB2312" w:hAnsi="宋体" w:eastAsia="仿宋_GB2312" w:cs="仿宋_GB2312"/>
          <w:color w:val="000000"/>
          <w:kern w:val="0"/>
          <w:sz w:val="18"/>
          <w:szCs w:val="18"/>
          <w:highlight w:val="none"/>
          <w:lang w:val="en-US" w:eastAsia="zh-CN" w:bidi="ar"/>
        </w:rPr>
        <w:t>。</w:t>
      </w:r>
    </w:p>
    <w:p>
      <w:pPr>
        <w:pStyle w:val="10"/>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4</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pPr>
        <w:numPr>
          <w:ilvl w:val="0"/>
          <w:numId w:val="2"/>
        </w:numPr>
        <w:ind w:left="20" w:leftChars="0" w:firstLine="420" w:firstLineChars="0"/>
        <w:rPr>
          <w:rFonts w:hint="eastAsia"/>
          <w:color w:val="auto"/>
          <w:highlight w:val="none"/>
        </w:rPr>
      </w:pP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lang w:val="en-US" w:eastAsia="zh-CN"/>
        </w:rPr>
        <w:t>资格审核通过</w:t>
      </w:r>
      <w:r>
        <w:rPr>
          <w:rFonts w:hint="eastAsia"/>
          <w:b/>
          <w:bCs/>
          <w:color w:val="auto"/>
          <w:highlight w:val="none"/>
        </w:rPr>
        <w:t>合理最低价中标</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pPr>
        <w:pStyle w:val="17"/>
        <w:numPr>
          <w:ilvl w:val="0"/>
          <w:numId w:val="2"/>
        </w:numPr>
        <w:ind w:left="220" w:leftChars="0" w:firstLineChars="0"/>
        <w:rPr>
          <w:rFonts w:hint="eastAsia"/>
          <w:b/>
          <w:bCs/>
          <w:highlight w:val="none"/>
          <w:u w:val="single"/>
          <w:lang w:val="en-US" w:eastAsia="zh-CN"/>
        </w:rPr>
      </w:pPr>
      <w:r>
        <w:rPr>
          <w:rFonts w:hint="eastAsia"/>
          <w:b/>
          <w:bCs/>
          <w:highlight w:val="none"/>
          <w:u w:val="single"/>
          <w:lang w:val="en-US" w:eastAsia="zh-CN"/>
        </w:rPr>
        <w:t>中标价格须经招标人价格审核部门审核报价清单内各分项单价，以审核商谈后价格为准，作为合同额。</w:t>
      </w:r>
    </w:p>
    <w:p>
      <w:pPr>
        <w:pStyle w:val="10"/>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pPr>
        <w:pStyle w:val="10"/>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pPr>
        <w:pStyle w:val="10"/>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10"/>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向招标人指定的合同签订单位缴纳</w:t>
      </w:r>
      <w:r>
        <w:rPr>
          <w:rFonts w:hint="eastAsia" w:hAnsi="宋体"/>
          <w:b/>
          <w:bCs/>
          <w:highlight w:val="none"/>
        </w:rPr>
        <w:t>履约保证金</w:t>
      </w:r>
      <w:r>
        <w:rPr>
          <w:rFonts w:hint="eastAsia" w:hAnsi="宋体"/>
          <w:b/>
          <w:bCs/>
          <w:highlight w:val="none"/>
          <w:lang w:val="en-US" w:eastAsia="zh-CN"/>
        </w:rPr>
        <w:t>5000</w:t>
      </w:r>
      <w:r>
        <w:rPr>
          <w:rFonts w:hint="eastAsia" w:hAnsi="宋体"/>
          <w:b/>
          <w:bCs/>
          <w:highlight w:val="none"/>
        </w:rPr>
        <w:t>元</w:t>
      </w:r>
      <w:r>
        <w:rPr>
          <w:rFonts w:hint="eastAsia" w:hAnsi="宋体"/>
          <w:highlight w:val="none"/>
        </w:rPr>
        <w:t>（具体数额以合同约定为准），如中标人未按合同及其附件约定履行应承担的责任，招标人或招标人指定的合同签订单位有权扣除其履约保证金。</w:t>
      </w:r>
    </w:p>
    <w:p>
      <w:pPr>
        <w:pStyle w:val="10"/>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pPr>
        <w:pStyle w:val="10"/>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pPr>
        <w:pStyle w:val="10"/>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pPr>
        <w:pStyle w:val="10"/>
        <w:ind w:firstLine="420" w:firstLineChars="200"/>
        <w:rPr>
          <w:rFonts w:hint="eastAsia" w:hAnsi="宋体" w:cs="宋体"/>
          <w:szCs w:val="21"/>
          <w:highlight w:val="none"/>
        </w:rPr>
      </w:pPr>
      <w:r>
        <w:rPr>
          <w:rFonts w:hint="eastAsia" w:hAnsi="宋体" w:cs="宋体"/>
          <w:szCs w:val="21"/>
          <w:highlight w:val="none"/>
        </w:rPr>
        <w:t>7.清单中有的按照清单方式结算，清单中不包含项按照定额进行结算，对工程价款的确定遵循以下方式执行：</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w:t>
      </w:r>
      <w:r>
        <w:rPr>
          <w:rFonts w:hint="eastAsia" w:hAnsi="宋体"/>
          <w:szCs w:val="21"/>
          <w:highlight w:val="none"/>
          <w:lang w:eastAsia="zh-CN"/>
        </w:rPr>
        <w:t>）</w:t>
      </w:r>
      <w:r>
        <w:rPr>
          <w:rFonts w:hint="eastAsia" w:hAnsi="宋体"/>
          <w:szCs w:val="21"/>
          <w:highlight w:val="none"/>
        </w:rPr>
        <w:t>执行2016版《山东省建筑工程消耗量定额》，2020版价目表；2016版《山东省安装工程消耗量定额》，2020版价目表</w:t>
      </w:r>
      <w:r>
        <w:rPr>
          <w:rFonts w:hint="eastAsia" w:hAnsi="宋体"/>
          <w:szCs w:val="21"/>
          <w:highlight w:val="none"/>
          <w:lang w:val="en-US" w:eastAsia="zh-CN"/>
        </w:rPr>
        <w:t xml:space="preserve"> </w:t>
      </w:r>
      <w:r>
        <w:rPr>
          <w:rFonts w:hint="eastAsia" w:hAnsi="宋体"/>
          <w:szCs w:val="21"/>
          <w:highlight w:val="none"/>
        </w:rPr>
        <w:t>；2016版《山东省市政工程消耗量定额》，2020版价目表；2016版《山东省园林绿化工程消耗量定额》，2020版价目表；</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2</w:t>
      </w:r>
      <w:r>
        <w:rPr>
          <w:rFonts w:hint="eastAsia" w:hAnsi="宋体"/>
          <w:szCs w:val="21"/>
          <w:highlight w:val="none"/>
          <w:lang w:eastAsia="zh-CN"/>
        </w:rPr>
        <w:t>）</w:t>
      </w:r>
      <w:r>
        <w:rPr>
          <w:rFonts w:hint="eastAsia" w:hAnsi="宋体"/>
          <w:szCs w:val="21"/>
          <w:highlight w:val="none"/>
        </w:rPr>
        <w:t>工程类别：建筑、装饰、市政、园林绿化、修缮执行Ⅲ类取费，安装执行相应工业安装取费。</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3</w:t>
      </w:r>
      <w:r>
        <w:rPr>
          <w:rFonts w:hint="eastAsia" w:hAnsi="宋体"/>
          <w:szCs w:val="21"/>
          <w:highlight w:val="none"/>
          <w:lang w:eastAsia="zh-CN"/>
        </w:rPr>
        <w:t>）</w:t>
      </w:r>
      <w:r>
        <w:rPr>
          <w:rFonts w:hint="eastAsia" w:hAnsi="宋体"/>
          <w:szCs w:val="21"/>
          <w:highlight w:val="none"/>
        </w:rPr>
        <w:t>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4</w:t>
      </w:r>
      <w:r>
        <w:rPr>
          <w:rFonts w:hint="eastAsia" w:hAnsi="宋体"/>
          <w:szCs w:val="21"/>
          <w:highlight w:val="none"/>
          <w:lang w:eastAsia="zh-CN"/>
        </w:rPr>
        <w:t>）</w:t>
      </w:r>
      <w:r>
        <w:rPr>
          <w:rFonts w:hint="eastAsia" w:hAnsi="宋体"/>
          <w:szCs w:val="21"/>
          <w:highlight w:val="none"/>
        </w:rPr>
        <w:t>定额缺项部分由承包人事前提出书面报价，由发包人按照规定程序审批后确定单价，以实际工程量结算。</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5</w:t>
      </w:r>
      <w:r>
        <w:rPr>
          <w:rFonts w:hint="eastAsia" w:hAnsi="宋体"/>
          <w:szCs w:val="21"/>
          <w:highlight w:val="none"/>
          <w:lang w:eastAsia="zh-CN"/>
        </w:rPr>
        <w:t>）</w:t>
      </w:r>
      <w:r>
        <w:rPr>
          <w:rFonts w:hint="eastAsia" w:hAnsi="宋体"/>
          <w:szCs w:val="21"/>
          <w:highlight w:val="none"/>
        </w:rPr>
        <w:t>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6</w:t>
      </w:r>
      <w:r>
        <w:rPr>
          <w:rFonts w:hint="eastAsia" w:hAnsi="宋体"/>
          <w:szCs w:val="21"/>
          <w:highlight w:val="none"/>
          <w:lang w:eastAsia="zh-CN"/>
        </w:rPr>
        <w:t>）</w:t>
      </w:r>
      <w:r>
        <w:rPr>
          <w:rFonts w:hint="eastAsia" w:hAnsi="宋体"/>
          <w:szCs w:val="21"/>
          <w:highlight w:val="none"/>
        </w:rPr>
        <w:t>主材价格以甲方批准价格为准，其它材料价格以市场价或当期《山东省建筑工程价目表》为准。</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7</w:t>
      </w:r>
      <w:r>
        <w:rPr>
          <w:rFonts w:hint="eastAsia" w:hAnsi="宋体"/>
          <w:szCs w:val="21"/>
          <w:highlight w:val="none"/>
          <w:lang w:eastAsia="zh-CN"/>
        </w:rPr>
        <w:t>）</w:t>
      </w:r>
      <w:r>
        <w:rPr>
          <w:rFonts w:hint="eastAsia" w:hAnsi="宋体"/>
          <w:szCs w:val="21"/>
          <w:highlight w:val="none"/>
        </w:rPr>
        <w:t>“主材价格以甲方批准价格为准”中主材价格并非在年度</w:t>
      </w:r>
      <w:r>
        <w:rPr>
          <w:rFonts w:hint="eastAsia" w:hAnsi="宋体"/>
          <w:szCs w:val="21"/>
          <w:highlight w:val="none"/>
          <w:lang w:val="en-US" w:eastAsia="zh-CN"/>
        </w:rPr>
        <w:t>维修</w:t>
      </w:r>
      <w:r>
        <w:rPr>
          <w:rFonts w:hint="eastAsia" w:hAnsi="宋体"/>
          <w:szCs w:val="21"/>
          <w:highlight w:val="none"/>
        </w:rPr>
        <w:t>合同中固定材料价格，而是</w:t>
      </w:r>
      <w:r>
        <w:rPr>
          <w:rFonts w:hint="eastAsia" w:hAnsi="宋体"/>
          <w:szCs w:val="21"/>
          <w:highlight w:val="none"/>
          <w:lang w:val="en-US" w:eastAsia="zh-CN"/>
        </w:rPr>
        <w:t>由</w:t>
      </w:r>
      <w:r>
        <w:rPr>
          <w:rFonts w:hint="eastAsia" w:hAnsi="宋体"/>
          <w:szCs w:val="21"/>
          <w:highlight w:val="none"/>
        </w:rPr>
        <w:t>施工单位报送主材价格，发包人按照规定程序审批后确定</w:t>
      </w:r>
      <w:r>
        <w:rPr>
          <w:rFonts w:hint="eastAsia" w:hAnsi="宋体"/>
          <w:szCs w:val="21"/>
          <w:highlight w:val="none"/>
          <w:lang w:val="en-US" w:eastAsia="zh-CN"/>
        </w:rPr>
        <w:t>的价格</w:t>
      </w:r>
      <w:r>
        <w:rPr>
          <w:rFonts w:hint="eastAsia" w:hAnsi="宋体"/>
          <w:szCs w:val="21"/>
          <w:highlight w:val="none"/>
        </w:rPr>
        <w:t>。</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8</w:t>
      </w:r>
      <w:r>
        <w:rPr>
          <w:rFonts w:hint="eastAsia" w:hAnsi="宋体"/>
          <w:szCs w:val="21"/>
          <w:highlight w:val="none"/>
          <w:lang w:eastAsia="zh-CN"/>
        </w:rPr>
        <w:t>）</w:t>
      </w:r>
      <w:r>
        <w:rPr>
          <w:rFonts w:hint="eastAsia" w:hAnsi="宋体"/>
          <w:szCs w:val="21"/>
          <w:highlight w:val="none"/>
        </w:rPr>
        <w:t>乙方施工中所发生的水电费</w:t>
      </w:r>
      <w:r>
        <w:rPr>
          <w:rFonts w:hint="eastAsia" w:hAnsi="宋体"/>
          <w:szCs w:val="21"/>
          <w:highlight w:val="none"/>
          <w:lang w:val="en-US" w:eastAsia="zh-CN"/>
        </w:rPr>
        <w:t>由发包人承担</w:t>
      </w:r>
      <w:r>
        <w:rPr>
          <w:rFonts w:hint="eastAsia" w:hAnsi="宋体"/>
          <w:szCs w:val="21"/>
          <w:highlight w:val="none"/>
        </w:rPr>
        <w:t>。</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9</w:t>
      </w:r>
      <w:r>
        <w:rPr>
          <w:rFonts w:hint="eastAsia" w:hAnsi="宋体"/>
          <w:szCs w:val="21"/>
          <w:highlight w:val="none"/>
          <w:lang w:eastAsia="zh-CN"/>
        </w:rPr>
        <w:t>）</w:t>
      </w:r>
      <w:r>
        <w:rPr>
          <w:rFonts w:hint="eastAsia" w:hAnsi="宋体"/>
          <w:szCs w:val="21"/>
          <w:highlight w:val="none"/>
        </w:rPr>
        <w:t>垃圾清运费用由发包方书面确认实际方量及运距，按照当期市场价确定。</w:t>
      </w:r>
    </w:p>
    <w:p>
      <w:pPr>
        <w:pStyle w:val="10"/>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10</w:t>
      </w:r>
      <w:r>
        <w:rPr>
          <w:rFonts w:hint="eastAsia" w:hAnsi="宋体"/>
          <w:szCs w:val="21"/>
          <w:highlight w:val="none"/>
          <w:lang w:eastAsia="zh-CN"/>
        </w:rPr>
        <w:t>）</w:t>
      </w:r>
      <w:r>
        <w:rPr>
          <w:rFonts w:hint="eastAsia" w:hAnsi="宋体"/>
          <w:szCs w:val="21"/>
          <w:highlight w:val="none"/>
        </w:rPr>
        <w:t>工程结算需经甲方审计主管部门审计确定。委托社会中介机构进行审计的，结算审计费用由乙方支付全部费用，甲方在乙方工程款中代扣代缴。</w:t>
      </w:r>
    </w:p>
    <w:p>
      <w:pPr>
        <w:pStyle w:val="10"/>
        <w:rPr>
          <w:rFonts w:hint="eastAsia"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、废标及终止招标</w:t>
      </w:r>
    </w:p>
    <w:p>
      <w:pPr>
        <w:ind w:firstLine="420" w:firstLineChars="200"/>
        <w:rPr>
          <w:rFonts w:hint="eastAsia"/>
          <w:highlight w:val="none"/>
        </w:rPr>
      </w:pPr>
      <w:r>
        <w:rPr>
          <w:rFonts w:hint="eastAsia" w:ascii="宋体" w:hAnsi="宋体" w:cs="宋体"/>
          <w:highlight w:val="none"/>
          <w:lang w:val="en-US" w:eastAsia="zh-CN"/>
        </w:rPr>
        <w:t>1</w:t>
      </w:r>
      <w:r>
        <w:rPr>
          <w:rFonts w:hint="eastAsia" w:ascii="宋体" w:hAnsi="宋体" w:eastAsia="宋体" w:cs="宋体"/>
          <w:highlight w:val="none"/>
        </w:rPr>
        <w:t>.</w:t>
      </w:r>
      <w:r>
        <w:rPr>
          <w:rFonts w:hint="eastAsia"/>
          <w:highlight w:val="none"/>
        </w:rPr>
        <w:t>出现下列情形之一，招标人有权否决所有投标人的投标，并终止招标。</w:t>
      </w:r>
    </w:p>
    <w:p>
      <w:pPr>
        <w:ind w:firstLine="420" w:firstLineChars="200"/>
        <w:rPr>
          <w:rFonts w:hint="eastAsia" w:ascii="宋体" w:hAnsi="宋体" w:eastAsia="宋体" w:cs="宋体"/>
          <w:color w:val="000000"/>
          <w:sz w:val="21"/>
          <w:szCs w:val="21"/>
          <w:highlight w:val="none"/>
        </w:rPr>
      </w:pPr>
      <w:r>
        <w:rPr>
          <w:rFonts w:hint="eastAsia" w:ascii="仿宋_GB2312" w:hAnsi="仿宋_GB2312" w:eastAsia="仿宋_GB2312" w:cs="仿宋_GB2312"/>
          <w:color w:val="000000"/>
          <w:sz w:val="21"/>
          <w:szCs w:val="21"/>
          <w:highlight w:val="none"/>
          <w:lang w:eastAsia="zh-CN"/>
        </w:rPr>
        <w:t>（</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符合条件、或对招标文件做实质响应的供应商不足3家的</w:t>
      </w:r>
    </w:p>
    <w:p>
      <w:pPr>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2</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出现影响采购公正的违法违规行为的</w:t>
      </w:r>
    </w:p>
    <w:p>
      <w:pPr>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不同投标人的投标文件异常一致或者投标报价呈规律性差异的</w:t>
      </w:r>
    </w:p>
    <w:p>
      <w:pPr>
        <w:ind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投标人报价均超过采购预算的</w:t>
      </w:r>
    </w:p>
    <w:p>
      <w:pPr>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因重大变故、采购任务取消的</w:t>
      </w:r>
      <w:r>
        <w:rPr>
          <w:rFonts w:hint="eastAsia" w:ascii="宋体" w:hAnsi="宋体" w:eastAsia="宋体" w:cs="宋体"/>
          <w:kern w:val="2"/>
          <w:sz w:val="21"/>
          <w:szCs w:val="21"/>
          <w:highlight w:val="none"/>
          <w:lang w:val="en-US" w:eastAsia="zh-CN" w:bidi="ar-SA"/>
        </w:rPr>
        <w:t xml:space="preserve"> </w:t>
      </w:r>
    </w:p>
    <w:p>
      <w:pPr>
        <w:ind w:firstLine="420" w:firstLineChars="200"/>
        <w:rPr>
          <w:rFonts w:hint="eastAsia" w:ascii="宋体" w:hAnsi="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解释权：本招标文件的最终解释权归招标人，当对一个问题有多种解释时以招标人的书面解释为准。招标文件未做须知明示，而又有相关法律、法规规定的，招标人对此所做解释以相关的法律、法规规定为依据。</w:t>
      </w:r>
    </w:p>
    <w:p>
      <w:pPr>
        <w:pStyle w:val="10"/>
        <w:rPr>
          <w:rFonts w:ascii="黑体" w:eastAsia="黑体"/>
          <w:b/>
          <w:bCs/>
          <w:sz w:val="28"/>
          <w:highlight w:val="none"/>
        </w:rPr>
      </w:pPr>
      <w:r>
        <w:rPr>
          <w:rFonts w:hint="eastAsia" w:ascii="黑体" w:eastAsia="黑体"/>
          <w:b/>
          <w:bCs/>
          <w:sz w:val="28"/>
          <w:highlight w:val="none"/>
        </w:rPr>
        <w:t>十</w:t>
      </w:r>
      <w:r>
        <w:rPr>
          <w:rFonts w:hint="eastAsia" w:ascii="黑体" w:eastAsia="黑体"/>
          <w:b/>
          <w:bCs/>
          <w:sz w:val="28"/>
          <w:highlight w:val="none"/>
          <w:lang w:val="en-US" w:eastAsia="zh-CN"/>
        </w:rPr>
        <w:t>二</w:t>
      </w:r>
      <w:r>
        <w:rPr>
          <w:rFonts w:hint="eastAsia" w:ascii="黑体" w:eastAsia="黑体"/>
          <w:b/>
          <w:bCs/>
          <w:sz w:val="28"/>
          <w:highlight w:val="none"/>
        </w:rPr>
        <w:t>、中标人瑕疵滞后发现的处理原则</w:t>
      </w:r>
    </w:p>
    <w:p>
      <w:pPr>
        <w:ind w:firstLine="420" w:firstLineChars="200"/>
        <w:rPr>
          <w:rFonts w:hint="eastAsia" w:ascii="宋体" w:hAnsi="Courier New"/>
          <w:highlight w:val="none"/>
        </w:rPr>
      </w:pPr>
      <w:r>
        <w:rPr>
          <w:rFonts w:hint="eastAsia" w:ascii="宋体" w:hAnsi="Courier New"/>
          <w:highlight w:val="none"/>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6"/>
        <w:rPr>
          <w:rFonts w:hint="eastAsia"/>
          <w:sz w:val="44"/>
          <w:szCs w:val="44"/>
          <w:highlight w:val="none"/>
        </w:rPr>
      </w:pPr>
      <w:bookmarkStart w:id="11" w:name="_Toc54267470"/>
      <w:bookmarkStart w:id="12" w:name="_Toc29554"/>
    </w:p>
    <w:p>
      <w:pPr>
        <w:rPr>
          <w:rFonts w:hint="eastAsia"/>
          <w:sz w:val="44"/>
          <w:szCs w:val="44"/>
          <w:highlight w:val="none"/>
        </w:rPr>
      </w:pPr>
      <w:r>
        <w:rPr>
          <w:rFonts w:hint="eastAsia"/>
          <w:sz w:val="44"/>
          <w:szCs w:val="44"/>
          <w:highlight w:val="none"/>
        </w:rPr>
        <w:br w:type="page"/>
      </w:r>
    </w:p>
    <w:p>
      <w:pPr>
        <w:pStyle w:val="16"/>
        <w:rPr>
          <w:rFonts w:hint="eastAsia"/>
          <w:sz w:val="44"/>
          <w:szCs w:val="44"/>
          <w:highlight w:val="none"/>
        </w:rPr>
      </w:pPr>
      <w:r>
        <w:rPr>
          <w:rFonts w:hint="eastAsia"/>
          <w:sz w:val="44"/>
          <w:szCs w:val="44"/>
          <w:highlight w:val="none"/>
        </w:rPr>
        <w:t>第二章  投标文件编制</w:t>
      </w:r>
      <w:bookmarkEnd w:id="11"/>
      <w:bookmarkEnd w:id="12"/>
    </w:p>
    <w:p>
      <w:pPr>
        <w:pStyle w:val="10"/>
        <w:rPr>
          <w:rFonts w:hint="eastAsia" w:ascii="黑体" w:hAnsi="黑体" w:eastAsia="黑体"/>
          <w:b/>
          <w:bCs/>
          <w:sz w:val="28"/>
          <w:szCs w:val="28"/>
          <w:highlight w:val="none"/>
        </w:rPr>
      </w:pPr>
      <w:r>
        <w:rPr>
          <w:rFonts w:hint="eastAsia" w:ascii="黑体" w:hAnsi="黑体" w:eastAsia="黑体"/>
          <w:b/>
          <w:bCs/>
          <w:sz w:val="28"/>
          <w:szCs w:val="28"/>
          <w:highlight w:val="none"/>
        </w:rPr>
        <w:t>一、投标文件签署</w:t>
      </w:r>
    </w:p>
    <w:p>
      <w:pPr>
        <w:pStyle w:val="10"/>
        <w:ind w:firstLine="420" w:firstLineChars="200"/>
        <w:rPr>
          <w:rFonts w:hint="eastAsia" w:hAnsi="宋体"/>
          <w:highlight w:val="none"/>
        </w:rPr>
      </w:pPr>
      <w:r>
        <w:rPr>
          <w:rFonts w:hint="eastAsia" w:hAnsi="宋体"/>
          <w:highlight w:val="none"/>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10"/>
        <w:ind w:firstLine="420" w:firstLineChars="200"/>
        <w:rPr>
          <w:rFonts w:hAnsi="宋体"/>
          <w:highlight w:val="none"/>
        </w:rPr>
      </w:pPr>
      <w:r>
        <w:rPr>
          <w:rFonts w:hint="eastAsia" w:hAnsi="宋体"/>
          <w:highlight w:val="none"/>
        </w:rPr>
        <w:t>2.任何行间插字、涂改和增删，必须由投标人的法定代表人或授权代表签字或加盖公章后才有效。</w:t>
      </w:r>
    </w:p>
    <w:p>
      <w:pPr>
        <w:pStyle w:val="10"/>
        <w:rPr>
          <w:rFonts w:ascii="黑体" w:hAnsi="黑体" w:eastAsia="黑体"/>
          <w:b/>
          <w:bCs/>
          <w:sz w:val="28"/>
          <w:szCs w:val="28"/>
          <w:highlight w:val="none"/>
        </w:rPr>
      </w:pPr>
      <w:r>
        <w:rPr>
          <w:rFonts w:hint="eastAsia" w:ascii="黑体" w:hAnsi="黑体" w:eastAsia="黑体"/>
          <w:b/>
          <w:bCs/>
          <w:sz w:val="28"/>
          <w:szCs w:val="28"/>
          <w:highlight w:val="none"/>
        </w:rPr>
        <w:t>二、投标文件组成</w:t>
      </w:r>
    </w:p>
    <w:p>
      <w:pPr>
        <w:ind w:firstLine="420" w:firstLineChars="200"/>
        <w:rPr>
          <w:rFonts w:ascii="宋体" w:hAnsi="宋体" w:cs="宋体"/>
          <w:b w:val="0"/>
          <w:bCs w:val="0"/>
          <w:szCs w:val="21"/>
          <w:highlight w:val="none"/>
        </w:rPr>
      </w:pPr>
      <w:r>
        <w:rPr>
          <w:rFonts w:hint="eastAsia" w:ascii="宋体" w:hAnsi="宋体" w:cs="宋体"/>
          <w:b w:val="0"/>
          <w:bCs w:val="0"/>
          <w:szCs w:val="21"/>
          <w:highlight w:val="none"/>
        </w:rPr>
        <w:t>投标人的投标文件由</w:t>
      </w:r>
      <w:r>
        <w:rPr>
          <w:rFonts w:hint="eastAsia" w:ascii="宋体" w:hAnsi="宋体" w:cs="宋体"/>
          <w:b/>
          <w:bCs/>
          <w:szCs w:val="21"/>
          <w:highlight w:val="none"/>
        </w:rPr>
        <w:t>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开标一览表</w:t>
      </w:r>
      <w:r>
        <w:rPr>
          <w:rFonts w:hint="eastAsia" w:ascii="宋体" w:hAnsi="宋体" w:cs="宋体"/>
          <w:b/>
          <w:bCs/>
          <w:szCs w:val="21"/>
          <w:highlight w:val="none"/>
        </w:rPr>
        <w:t>和投标文件商务部分</w:t>
      </w:r>
      <w:r>
        <w:rPr>
          <w:rFonts w:hint="eastAsia" w:ascii="宋体" w:hAnsi="宋体" w:cs="宋体"/>
          <w:b w:val="0"/>
          <w:bCs w:val="0"/>
          <w:szCs w:val="21"/>
          <w:highlight w:val="none"/>
        </w:rPr>
        <w:t>共</w:t>
      </w:r>
      <w:r>
        <w:rPr>
          <w:rFonts w:hint="eastAsia" w:ascii="宋体" w:hAnsi="宋体" w:cs="宋体"/>
          <w:b/>
          <w:bCs/>
          <w:szCs w:val="21"/>
          <w:highlight w:val="none"/>
          <w:lang w:val="en-US" w:eastAsia="zh-CN"/>
        </w:rPr>
        <w:t>三</w:t>
      </w:r>
      <w:r>
        <w:rPr>
          <w:rFonts w:hint="eastAsia" w:ascii="宋体" w:hAnsi="宋体" w:cs="宋体"/>
          <w:b w:val="0"/>
          <w:bCs w:val="0"/>
          <w:szCs w:val="21"/>
          <w:highlight w:val="none"/>
        </w:rPr>
        <w:t>部分构成</w:t>
      </w:r>
      <w:r>
        <w:rPr>
          <w:rFonts w:hint="eastAsia" w:ascii="宋体" w:hAnsi="宋体" w:cs="宋体"/>
          <w:b/>
          <w:bCs/>
          <w:szCs w:val="21"/>
          <w:highlight w:val="none"/>
        </w:rPr>
        <w:t>，</w:t>
      </w:r>
      <w:r>
        <w:rPr>
          <w:rFonts w:hint="eastAsia" w:ascii="宋体" w:hAnsi="宋体" w:cs="宋体"/>
          <w:b/>
          <w:bCs/>
          <w:szCs w:val="21"/>
          <w:highlight w:val="none"/>
          <w:lang w:val="en-US" w:eastAsia="zh-CN"/>
        </w:rPr>
        <w:t>每</w:t>
      </w:r>
      <w:r>
        <w:rPr>
          <w:rFonts w:hint="eastAsia" w:ascii="宋体" w:hAnsi="宋体" w:cs="宋体"/>
          <w:b/>
          <w:bCs/>
          <w:szCs w:val="21"/>
          <w:highlight w:val="none"/>
        </w:rPr>
        <w:t>部分</w:t>
      </w:r>
      <w:r>
        <w:rPr>
          <w:rFonts w:hint="eastAsia" w:ascii="宋体" w:hAnsi="宋体" w:cs="宋体"/>
          <w:b/>
          <w:bCs/>
          <w:szCs w:val="21"/>
          <w:highlight w:val="none"/>
          <w:lang w:val="en-US" w:eastAsia="zh-CN"/>
        </w:rPr>
        <w:t>分别</w:t>
      </w:r>
      <w:r>
        <w:rPr>
          <w:rFonts w:hint="eastAsia" w:ascii="宋体" w:hAnsi="宋体" w:cs="宋体"/>
          <w:b/>
          <w:bCs/>
          <w:sz w:val="30"/>
          <w:szCs w:val="30"/>
          <w:highlight w:val="none"/>
          <w:lang w:val="en-US" w:eastAsia="zh-CN"/>
        </w:rPr>
        <w:t>单独胶装</w:t>
      </w:r>
      <w:r>
        <w:rPr>
          <w:rFonts w:hint="eastAsia" w:ascii="宋体" w:hAnsi="宋体" w:cs="宋体"/>
          <w:b/>
          <w:bCs/>
          <w:sz w:val="30"/>
          <w:szCs w:val="30"/>
          <w:highlight w:val="none"/>
        </w:rPr>
        <w:t>成册</w:t>
      </w:r>
      <w:r>
        <w:rPr>
          <w:rFonts w:hint="eastAsia" w:ascii="宋体" w:hAnsi="宋体" w:cs="宋体"/>
          <w:b/>
          <w:bCs/>
          <w:szCs w:val="21"/>
          <w:highlight w:val="none"/>
          <w:lang w:eastAsia="zh-CN"/>
        </w:rPr>
        <w:t>、</w:t>
      </w:r>
      <w:r>
        <w:rPr>
          <w:rFonts w:hint="eastAsia" w:ascii="宋体" w:hAnsi="宋体" w:cs="宋体"/>
          <w:b/>
          <w:bCs/>
          <w:szCs w:val="21"/>
          <w:highlight w:val="none"/>
        </w:rPr>
        <w:t>禁止</w:t>
      </w:r>
      <w:r>
        <w:rPr>
          <w:rFonts w:hint="eastAsia" w:ascii="宋体" w:hAnsi="宋体" w:eastAsia="宋体" w:cs="宋体"/>
          <w:b/>
          <w:bCs/>
          <w:szCs w:val="21"/>
          <w:highlight w:val="none"/>
        </w:rPr>
        <w:t>将不同类的投标文件编写进同一标书，违反上述要求投标的按无效投标处理</w:t>
      </w:r>
      <w:r>
        <w:rPr>
          <w:rFonts w:hint="eastAsia" w:ascii="宋体" w:hAnsi="宋体" w:eastAsia="宋体" w:cs="宋体"/>
          <w:b w:val="0"/>
          <w:bCs w:val="0"/>
          <w:szCs w:val="21"/>
          <w:highlight w:val="none"/>
        </w:rPr>
        <w:t>。</w:t>
      </w:r>
      <w:r>
        <w:rPr>
          <w:rFonts w:hint="eastAsia" w:ascii="宋体" w:hAnsi="宋体" w:cs="宋体"/>
          <w:b w:val="0"/>
          <w:bCs w:val="0"/>
          <w:szCs w:val="21"/>
          <w:highlight w:val="none"/>
        </w:rPr>
        <w:t>具体内容如下：</w:t>
      </w:r>
    </w:p>
    <w:p>
      <w:pPr>
        <w:ind w:firstLine="422" w:firstLineChars="200"/>
        <w:rPr>
          <w:rFonts w:ascii="宋体" w:hAnsi="宋体"/>
          <w:b/>
          <w:bCs/>
          <w:szCs w:val="21"/>
          <w:highlight w:val="none"/>
        </w:rPr>
      </w:pPr>
      <w:bookmarkStart w:id="13" w:name="_Toc212369516"/>
      <w:r>
        <w:rPr>
          <w:rFonts w:hint="eastAsia" w:ascii="宋体" w:hAnsi="宋体"/>
          <w:b/>
          <w:bCs/>
          <w:szCs w:val="21"/>
          <w:highlight w:val="none"/>
        </w:rPr>
        <w:t>1.第一部分、资格证明文件</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正本1份</w:t>
      </w:r>
      <w:r>
        <w:rPr>
          <w:rFonts w:hint="eastAsia" w:ascii="宋体" w:hAnsi="宋体" w:cs="宋体"/>
          <w:b/>
          <w:bCs/>
          <w:szCs w:val="21"/>
          <w:highlight w:val="none"/>
          <w:lang w:eastAsia="zh-CN"/>
        </w:rPr>
        <w:t>）</w:t>
      </w:r>
      <w:r>
        <w:rPr>
          <w:rFonts w:hint="eastAsia" w:ascii="宋体" w:hAnsi="宋体"/>
          <w:b/>
          <w:bCs/>
          <w:szCs w:val="21"/>
          <w:highlight w:val="none"/>
        </w:rPr>
        <w:t>：</w:t>
      </w:r>
      <w:bookmarkEnd w:id="13"/>
    </w:p>
    <w:p>
      <w:pPr>
        <w:ind w:firstLine="420" w:firstLineChars="200"/>
        <w:rPr>
          <w:rStyle w:val="26"/>
          <w:szCs w:val="21"/>
          <w:highlight w:val="none"/>
        </w:rPr>
      </w:pPr>
      <w:r>
        <w:rPr>
          <w:rStyle w:val="26"/>
          <w:rFonts w:ascii="宋体" w:hAnsi="宋体"/>
          <w:szCs w:val="21"/>
          <w:highlight w:val="none"/>
        </w:rPr>
        <w:t>1.1</w:t>
      </w:r>
      <w:r>
        <w:rPr>
          <w:rStyle w:val="26"/>
          <w:rFonts w:hint="eastAsia" w:ascii="宋体" w:hAnsi="宋体"/>
          <w:szCs w:val="21"/>
          <w:highlight w:val="none"/>
        </w:rPr>
        <w:t>投标人基本情况表</w:t>
      </w:r>
    </w:p>
    <w:p>
      <w:pPr>
        <w:ind w:left="2" w:firstLine="420" w:firstLineChars="200"/>
        <w:rPr>
          <w:rStyle w:val="26"/>
          <w:rFonts w:ascii="宋体" w:hAnsi="宋体"/>
          <w:szCs w:val="21"/>
          <w:highlight w:val="none"/>
        </w:rPr>
      </w:pPr>
      <w:r>
        <w:rPr>
          <w:rStyle w:val="26"/>
          <w:rFonts w:ascii="宋体" w:hAnsi="宋体"/>
          <w:szCs w:val="21"/>
          <w:highlight w:val="none"/>
        </w:rPr>
        <w:t>1.2</w:t>
      </w:r>
      <w:r>
        <w:rPr>
          <w:rStyle w:val="26"/>
          <w:rFonts w:hint="eastAsia" w:ascii="宋体" w:hAnsi="宋体"/>
          <w:szCs w:val="21"/>
          <w:highlight w:val="none"/>
        </w:rPr>
        <w:t>营业执照；</w:t>
      </w:r>
    </w:p>
    <w:p>
      <w:pPr>
        <w:ind w:left="2" w:firstLine="420" w:firstLineChars="200"/>
        <w:rPr>
          <w:rStyle w:val="26"/>
          <w:rFonts w:hint="eastAsia" w:ascii="宋体" w:hAnsi="宋体"/>
          <w:szCs w:val="21"/>
          <w:highlight w:val="none"/>
        </w:rPr>
      </w:pPr>
      <w:r>
        <w:rPr>
          <w:rStyle w:val="26"/>
          <w:rFonts w:ascii="宋体" w:hAnsi="宋体"/>
          <w:szCs w:val="21"/>
          <w:highlight w:val="none"/>
        </w:rPr>
        <w:t>1.3</w:t>
      </w:r>
      <w:r>
        <w:rPr>
          <w:rStyle w:val="26"/>
          <w:rFonts w:hint="eastAsia" w:ascii="宋体" w:hAnsi="宋体"/>
          <w:szCs w:val="21"/>
          <w:highlight w:val="none"/>
        </w:rPr>
        <w:t>法人授权委托书及被授权人身份证；</w:t>
      </w:r>
    </w:p>
    <w:p>
      <w:pPr>
        <w:ind w:left="2" w:firstLine="420" w:firstLineChars="200"/>
        <w:rPr>
          <w:rStyle w:val="26"/>
          <w:rFonts w:hint="eastAsia" w:ascii="宋体" w:hAnsi="宋体"/>
          <w:szCs w:val="21"/>
          <w:highlight w:val="none"/>
          <w:lang w:eastAsia="zh-CN"/>
        </w:rPr>
      </w:pPr>
      <w:r>
        <w:rPr>
          <w:rStyle w:val="26"/>
          <w:rFonts w:hint="eastAsia" w:ascii="宋体" w:hAnsi="宋体"/>
          <w:szCs w:val="21"/>
          <w:highlight w:val="none"/>
        </w:rPr>
        <w:t>1.</w:t>
      </w:r>
      <w:r>
        <w:rPr>
          <w:rStyle w:val="26"/>
          <w:rFonts w:hint="eastAsia" w:ascii="宋体" w:hAnsi="宋体"/>
          <w:szCs w:val="21"/>
          <w:highlight w:val="none"/>
          <w:lang w:val="en-US" w:eastAsia="zh-CN"/>
        </w:rPr>
        <w:t>4</w:t>
      </w:r>
      <w:r>
        <w:rPr>
          <w:rStyle w:val="26"/>
          <w:rFonts w:hint="eastAsia" w:ascii="宋体" w:hAnsi="宋体"/>
          <w:szCs w:val="21"/>
          <w:highlight w:val="none"/>
        </w:rPr>
        <w:t>投标保证金缴纳证明</w:t>
      </w:r>
      <w:r>
        <w:rPr>
          <w:rStyle w:val="26"/>
          <w:rFonts w:hint="eastAsia" w:ascii="宋体" w:hAnsi="宋体"/>
          <w:szCs w:val="21"/>
          <w:highlight w:val="none"/>
          <w:lang w:eastAsia="zh-CN"/>
        </w:rPr>
        <w:t>（</w:t>
      </w:r>
      <w:r>
        <w:rPr>
          <w:rStyle w:val="26"/>
          <w:rFonts w:hint="eastAsia" w:ascii="宋体" w:hAnsi="宋体"/>
          <w:szCs w:val="21"/>
          <w:highlight w:val="none"/>
          <w:lang w:val="en-US" w:eastAsia="zh-CN"/>
        </w:rPr>
        <w:t>银行回执单</w:t>
      </w:r>
      <w:r>
        <w:rPr>
          <w:rStyle w:val="26"/>
          <w:rFonts w:hint="eastAsia" w:ascii="宋体" w:hAnsi="宋体"/>
          <w:szCs w:val="21"/>
          <w:highlight w:val="none"/>
          <w:lang w:eastAsia="zh-CN"/>
        </w:rPr>
        <w:t>）；</w:t>
      </w:r>
    </w:p>
    <w:p>
      <w:pPr>
        <w:ind w:left="2" w:firstLine="422" w:firstLineChars="200"/>
        <w:rPr>
          <w:rFonts w:hint="default" w:ascii="宋体" w:hAnsi="宋体"/>
          <w:szCs w:val="21"/>
          <w:highlight w:val="none"/>
          <w:lang w:val="en-US" w:eastAsia="zh-CN"/>
        </w:rPr>
      </w:pPr>
      <w:r>
        <w:rPr>
          <w:rStyle w:val="26"/>
          <w:rFonts w:hint="eastAsia" w:ascii="宋体" w:hAnsi="宋体"/>
          <w:b/>
          <w:bCs/>
          <w:szCs w:val="21"/>
          <w:highlight w:val="none"/>
          <w:lang w:val="en-US" w:eastAsia="zh-CN"/>
        </w:rPr>
        <w:t>2.第二部分、开标一览表（正本1份）</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3</w:t>
      </w:r>
      <w:r>
        <w:rPr>
          <w:rFonts w:hint="eastAsia" w:ascii="宋体" w:hAnsi="宋体"/>
          <w:b/>
          <w:bCs/>
          <w:sz w:val="21"/>
          <w:szCs w:val="21"/>
          <w:highlight w:val="none"/>
        </w:rPr>
        <w:t>.第</w:t>
      </w:r>
      <w:r>
        <w:rPr>
          <w:rFonts w:hint="eastAsia" w:ascii="宋体" w:hAnsi="宋体"/>
          <w:b/>
          <w:bCs/>
          <w:sz w:val="21"/>
          <w:szCs w:val="21"/>
          <w:highlight w:val="none"/>
          <w:lang w:val="en-US" w:eastAsia="zh-CN"/>
        </w:rPr>
        <w:t>三</w:t>
      </w:r>
      <w:r>
        <w:rPr>
          <w:rFonts w:hint="eastAsia" w:ascii="宋体" w:hAnsi="宋体"/>
          <w:b/>
          <w:bCs/>
          <w:sz w:val="21"/>
          <w:szCs w:val="21"/>
          <w:highlight w:val="none"/>
        </w:rPr>
        <w:t>部分、商务</w:t>
      </w:r>
      <w:r>
        <w:rPr>
          <w:rFonts w:hint="eastAsia" w:ascii="宋体" w:hAnsi="宋体"/>
          <w:b/>
          <w:bCs/>
          <w:sz w:val="21"/>
          <w:szCs w:val="21"/>
          <w:highlight w:val="none"/>
          <w:lang w:val="en-US" w:eastAsia="zh-CN"/>
        </w:rPr>
        <w:t>标书</w:t>
      </w:r>
      <w:r>
        <w:rPr>
          <w:rFonts w:hint="eastAsia" w:ascii="宋体" w:hAnsi="宋体" w:cs="宋体"/>
          <w:b/>
          <w:bCs/>
          <w:szCs w:val="21"/>
          <w:highlight w:val="none"/>
          <w:lang w:val="en-US" w:eastAsia="zh-CN"/>
        </w:rPr>
        <w:t>（1</w:t>
      </w:r>
      <w:r>
        <w:rPr>
          <w:rFonts w:hint="eastAsia" w:ascii="宋体" w:hAnsi="宋体" w:cs="宋体"/>
          <w:b/>
          <w:bCs/>
          <w:szCs w:val="21"/>
          <w:highlight w:val="none"/>
        </w:rPr>
        <w:t>正</w:t>
      </w:r>
      <w:r>
        <w:rPr>
          <w:rFonts w:hint="eastAsia" w:ascii="宋体" w:hAnsi="宋体" w:cs="宋体"/>
          <w:b/>
          <w:bCs/>
          <w:szCs w:val="21"/>
          <w:highlight w:val="none"/>
          <w:lang w:val="en-US" w:eastAsia="zh-CN"/>
        </w:rPr>
        <w:t>1</w:t>
      </w:r>
      <w:r>
        <w:rPr>
          <w:rFonts w:hint="eastAsia" w:ascii="宋体" w:hAnsi="宋体" w:cs="宋体"/>
          <w:b/>
          <w:bCs/>
          <w:szCs w:val="21"/>
          <w:highlight w:val="none"/>
        </w:rPr>
        <w:t>副</w:t>
      </w:r>
      <w:r>
        <w:rPr>
          <w:rFonts w:hint="eastAsia" w:ascii="宋体" w:hAnsi="宋体" w:cs="宋体"/>
          <w:b/>
          <w:bCs/>
          <w:szCs w:val="21"/>
          <w:highlight w:val="none"/>
          <w:lang w:val="en-US" w:eastAsia="zh-CN"/>
        </w:rPr>
        <w:t>）</w:t>
      </w:r>
      <w:r>
        <w:rPr>
          <w:rFonts w:hint="eastAsia" w:ascii="宋体" w:hAnsi="宋体"/>
          <w:b/>
          <w:bCs/>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.1投标函；</w:t>
      </w:r>
    </w:p>
    <w:p>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2</w:t>
      </w:r>
      <w:r>
        <w:rPr>
          <w:rFonts w:hint="eastAsia" w:ascii="宋体" w:hAnsi="宋体" w:eastAsia="宋体" w:cs="Times New Roman"/>
          <w:sz w:val="21"/>
          <w:szCs w:val="21"/>
          <w:highlight w:val="none"/>
        </w:rPr>
        <w:t>投标清单报价表；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3</w:t>
      </w:r>
      <w:r>
        <w:rPr>
          <w:rFonts w:hint="eastAsia" w:ascii="宋体" w:hAnsi="宋体"/>
          <w:sz w:val="21"/>
          <w:szCs w:val="21"/>
          <w:highlight w:val="none"/>
        </w:rPr>
        <w:t>.</w:t>
      </w:r>
      <w:r>
        <w:rPr>
          <w:rFonts w:hint="eastAsia" w:ascii="宋体" w:hAnsi="宋体"/>
          <w:sz w:val="21"/>
          <w:szCs w:val="21"/>
          <w:highlight w:val="none"/>
          <w:lang w:val="en-US" w:eastAsia="zh-CN"/>
        </w:rPr>
        <w:t>3</w:t>
      </w:r>
      <w:r>
        <w:rPr>
          <w:rFonts w:hint="eastAsia" w:ascii="宋体" w:hAnsi="宋体"/>
          <w:sz w:val="21"/>
          <w:szCs w:val="21"/>
          <w:highlight w:val="none"/>
        </w:rPr>
        <w:t>投标人承诺函</w:t>
      </w:r>
      <w:r>
        <w:rPr>
          <w:rFonts w:hint="eastAsia" w:ascii="宋体" w:hAnsi="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w:t>
      </w:r>
      <w:r>
        <w:rPr>
          <w:rFonts w:hint="eastAsia" w:ascii="宋体" w:hAnsi="宋体" w:eastAsia="宋体" w:cs="Times New Roman"/>
          <w:sz w:val="21"/>
          <w:szCs w:val="21"/>
          <w:highlight w:val="none"/>
          <w:lang w:val="en-US" w:eastAsia="zh-CN"/>
        </w:rPr>
        <w:t>.</w:t>
      </w:r>
      <w:r>
        <w:rPr>
          <w:rFonts w:hint="eastAsia" w:ascii="宋体" w:hAnsi="宋体" w:cs="Times New Roman"/>
          <w:sz w:val="21"/>
          <w:szCs w:val="21"/>
          <w:highlight w:val="none"/>
          <w:lang w:val="en-US" w:eastAsia="zh-CN"/>
        </w:rPr>
        <w:t>4</w:t>
      </w:r>
      <w:r>
        <w:rPr>
          <w:rFonts w:hint="eastAsia" w:ascii="宋体" w:hAnsi="宋体" w:eastAsia="宋体" w:cs="Times New Roman"/>
          <w:sz w:val="21"/>
          <w:szCs w:val="21"/>
          <w:highlight w:val="none"/>
          <w:lang w:val="en-US" w:eastAsia="zh-CN"/>
        </w:rPr>
        <w:t>商务偏离表</w:t>
      </w:r>
      <w:r>
        <w:rPr>
          <w:rFonts w:hint="eastAsia" w:ascii="宋体" w:hAnsi="宋体" w:cs="Times New Roman"/>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3.5</w:t>
      </w:r>
      <w:r>
        <w:rPr>
          <w:rFonts w:hint="eastAsia" w:ascii="宋体" w:hAnsi="宋体"/>
          <w:szCs w:val="21"/>
          <w:highlight w:val="none"/>
          <w:lang w:val="en-US" w:eastAsia="zh-CN"/>
        </w:rPr>
        <w:t>投标人认为需要投递的其他材料</w:t>
      </w:r>
    </w:p>
    <w:p>
      <w:pPr>
        <w:pStyle w:val="3"/>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highlight w:val="none"/>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pPr>
        <w:pStyle w:val="10"/>
        <w:rPr>
          <w:rFonts w:hint="eastAsia" w:ascii="黑体" w:hAnsi="黑体" w:eastAsia="黑体"/>
          <w:b/>
          <w:bCs/>
          <w:sz w:val="28"/>
          <w:szCs w:val="28"/>
          <w:highlight w:val="none"/>
        </w:rPr>
      </w:pPr>
      <w:bookmarkStart w:id="14" w:name="_Toc212369518"/>
      <w:r>
        <w:rPr>
          <w:rFonts w:hint="eastAsia" w:ascii="黑体" w:hAnsi="黑体" w:eastAsia="黑体"/>
          <w:b/>
          <w:bCs/>
          <w:sz w:val="28"/>
          <w:szCs w:val="28"/>
          <w:highlight w:val="none"/>
        </w:rPr>
        <w:t>三、投标内容填写说明</w:t>
      </w:r>
      <w:bookmarkEnd w:id="14"/>
    </w:p>
    <w:p>
      <w:pPr>
        <w:ind w:firstLine="420" w:firstLineChars="200"/>
        <w:rPr>
          <w:rFonts w:hint="eastAsia"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开标一览表为在开标仪式上唱标的内容，要求按格式填写、统一规范，不得自行增减内容。</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所有投标文件要求</w:t>
      </w:r>
      <w:r>
        <w:rPr>
          <w:rFonts w:hint="eastAsia" w:ascii="宋体" w:hAnsi="宋体"/>
          <w:b w:val="0"/>
          <w:bCs/>
          <w:szCs w:val="21"/>
          <w:highlight w:val="none"/>
        </w:rPr>
        <w:t>字迹清晰</w:t>
      </w:r>
      <w:r>
        <w:rPr>
          <w:rFonts w:hint="eastAsia" w:ascii="宋体" w:hAnsi="宋体"/>
          <w:szCs w:val="21"/>
          <w:highlight w:val="none"/>
        </w:rPr>
        <w:t>，加盖公章页</w:t>
      </w:r>
      <w:r>
        <w:rPr>
          <w:rFonts w:hint="eastAsia" w:ascii="宋体" w:hAnsi="宋体"/>
          <w:b/>
          <w:bCs/>
          <w:szCs w:val="21"/>
          <w:highlight w:val="none"/>
        </w:rPr>
        <w:t>公章为彩色</w:t>
      </w:r>
      <w:r>
        <w:rPr>
          <w:rFonts w:hint="eastAsia" w:ascii="宋体" w:hAnsi="宋体"/>
          <w:szCs w:val="21"/>
          <w:highlight w:val="none"/>
        </w:rPr>
        <w:t>；不满足上述要求对评标专家造成评标干扰的按无效投标处理。</w:t>
      </w:r>
    </w:p>
    <w:p>
      <w:pPr>
        <w:pStyle w:val="10"/>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highlight w:val="none"/>
        </w:rPr>
      </w:pPr>
      <w:r>
        <w:rPr>
          <w:rFonts w:hint="eastAsia" w:ascii="黑体" w:hAnsi="黑体" w:eastAsia="黑体"/>
          <w:b/>
          <w:bCs/>
          <w:sz w:val="28"/>
          <w:szCs w:val="28"/>
          <w:highlight w:val="none"/>
        </w:rPr>
        <w:t>四、投标文件的密封和标记</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rPr>
        <w:t>1.投标人应将投标文件正、副</w:t>
      </w:r>
      <w:r>
        <w:rPr>
          <w:rFonts w:hint="eastAsia" w:hAnsi="宋体" w:eastAsia="宋体" w:cs="Times New Roman"/>
          <w:highlight w:val="none"/>
        </w:rPr>
        <w:t>本一同</w:t>
      </w:r>
      <w:r>
        <w:rPr>
          <w:rFonts w:hint="eastAsia" w:hAnsi="宋体"/>
          <w:highlight w:val="none"/>
        </w:rPr>
        <w:t>密封送达，并在封面明显处注明以下内容：</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highlight w:val="none"/>
          <w:lang w:eastAsia="zh-CN"/>
        </w:rPr>
      </w:pPr>
      <w:r>
        <w:rPr>
          <w:rFonts w:hint="eastAsia" w:hAnsi="宋体"/>
          <w:highlight w:val="none"/>
          <w:lang w:val="en-US" w:eastAsia="zh-CN"/>
        </w:rPr>
        <w:t>1.1</w:t>
      </w:r>
      <w:r>
        <w:rPr>
          <w:rFonts w:hint="eastAsia" w:hAnsi="宋体"/>
          <w:highlight w:val="none"/>
        </w:rPr>
        <w:t>项目名称</w:t>
      </w:r>
      <w:r>
        <w:rPr>
          <w:rFonts w:hint="eastAsia" w:hAnsi="宋体"/>
          <w:highlight w:val="none"/>
          <w:lang w:eastAsia="zh-CN"/>
        </w:rPr>
        <w:t>：</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1.2</w:t>
      </w:r>
      <w:r>
        <w:rPr>
          <w:rFonts w:hint="eastAsia" w:hAnsi="宋体"/>
          <w:highlight w:val="none"/>
        </w:rPr>
        <w:t>投标人名称（加盖公章）、地址、邮编、电话、传真</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2</w:t>
      </w:r>
      <w:r>
        <w:rPr>
          <w:rFonts w:hint="eastAsia" w:hAnsi="宋体"/>
          <w:highlight w:val="none"/>
        </w:rPr>
        <w:t>.每一密封文件在封口处加盖投</w:t>
      </w:r>
      <w:r>
        <w:rPr>
          <w:rFonts w:hint="eastAsia" w:hAnsi="宋体"/>
          <w:b w:val="0"/>
          <w:bCs w:val="0"/>
          <w:highlight w:val="none"/>
        </w:rPr>
        <w:t>标人公章并注明</w:t>
      </w:r>
      <w:r>
        <w:rPr>
          <w:rFonts w:hint="eastAsia" w:hAnsi="宋体"/>
          <w:b w:val="0"/>
          <w:bCs w:val="0"/>
          <w:highlight w:val="none"/>
          <w:lang w:eastAsia="zh-CN"/>
        </w:rPr>
        <w:t>“</w:t>
      </w:r>
      <w:r>
        <w:rPr>
          <w:rFonts w:hint="eastAsia" w:hAnsi="宋体"/>
          <w:b w:val="0"/>
          <w:bCs w:val="0"/>
          <w:highlight w:val="none"/>
        </w:rPr>
        <w:t>于</w:t>
      </w:r>
      <w:r>
        <w:rPr>
          <w:rFonts w:hint="eastAsia"/>
          <w:highlight w:val="none"/>
        </w:rPr>
        <w:t>20</w:t>
      </w:r>
      <w:r>
        <w:rPr>
          <w:rFonts w:hint="eastAsia"/>
          <w:highlight w:val="none"/>
          <w:lang w:val="en-US" w:eastAsia="zh-CN"/>
        </w:rPr>
        <w:t>2</w:t>
      </w:r>
      <w:r>
        <w:rPr>
          <w:rFonts w:hint="eastAsia"/>
          <w:highlight w:val="none"/>
        </w:rPr>
        <w:t>X年X月X日上午X</w:t>
      </w:r>
      <w:r>
        <w:rPr>
          <w:rFonts w:hint="eastAsia" w:hAnsi="宋体"/>
          <w:highlight w:val="none"/>
        </w:rPr>
        <w:t>时之前不准启封”字样。</w:t>
      </w:r>
    </w:p>
    <w:p>
      <w:pPr>
        <w:pStyle w:val="10"/>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highlight w:val="none"/>
        </w:rPr>
      </w:pPr>
      <w:r>
        <w:rPr>
          <w:rFonts w:hint="eastAsia" w:hAnsi="宋体"/>
          <w:highlight w:val="none"/>
          <w:lang w:val="en-US" w:eastAsia="zh-CN"/>
        </w:rPr>
        <w:t>3</w:t>
      </w:r>
      <w:r>
        <w:rPr>
          <w:rFonts w:hint="eastAsia" w:hAnsi="宋体"/>
          <w:highlight w:val="none"/>
        </w:rPr>
        <w:t>.如果投标人未按上述要求对投标文件密封及加写标记，招标人对投标人提前启封概不负责。对由此造成提前开封的投标文件，招标人有权予以拒绝，并退回投标人。</w:t>
      </w:r>
    </w:p>
    <w:p>
      <w:pPr>
        <w:pStyle w:val="10"/>
        <w:ind w:firstLine="420" w:firstLineChars="200"/>
        <w:rPr>
          <w:rFonts w:hAnsi="宋体"/>
          <w:highlight w:val="none"/>
        </w:rPr>
      </w:pPr>
      <w:r>
        <w:rPr>
          <w:rFonts w:hint="eastAsia" w:hAnsi="宋体"/>
          <w:highlight w:val="none"/>
        </w:rPr>
        <w:br w:type="page"/>
      </w:r>
    </w:p>
    <w:p>
      <w:pPr>
        <w:pStyle w:val="10"/>
        <w:numPr>
          <w:ilvl w:val="0"/>
          <w:numId w:val="3"/>
        </w:numPr>
        <w:rPr>
          <w:rFonts w:hint="eastAsia" w:ascii="黑体" w:hAnsi="黑体" w:eastAsia="黑体"/>
          <w:b/>
          <w:bCs/>
          <w:sz w:val="28"/>
          <w:szCs w:val="28"/>
          <w:highlight w:val="none"/>
        </w:rPr>
      </w:pPr>
      <w:r>
        <w:rPr>
          <w:rFonts w:hint="eastAsia" w:ascii="黑体" w:hAnsi="黑体" w:eastAsia="黑体"/>
          <w:b/>
          <w:bCs/>
          <w:sz w:val="28"/>
          <w:szCs w:val="28"/>
          <w:highlight w:val="none"/>
        </w:rPr>
        <w:t>投标文件格式要求</w:t>
      </w:r>
    </w:p>
    <w:p>
      <w:pPr>
        <w:jc w:val="left"/>
        <w:rPr>
          <w:rFonts w:hint="eastAsia" w:ascii="黑体" w:eastAsia="黑体"/>
          <w:sz w:val="30"/>
          <w:highlight w:val="none"/>
        </w:rPr>
      </w:pPr>
      <w:r>
        <w:rPr>
          <w:rFonts w:hint="eastAsia" w:ascii="黑体" w:eastAsia="黑体"/>
          <w:sz w:val="30"/>
          <w:highlight w:val="none"/>
        </w:rPr>
        <w:t>附件一：            资格证明文件目录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5822"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1974"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1</w:t>
            </w:r>
          </w:p>
        </w:tc>
        <w:tc>
          <w:tcPr>
            <w:tcW w:w="5822" w:type="dxa"/>
            <w:noWrap w:val="0"/>
            <w:vAlign w:val="center"/>
          </w:tcPr>
          <w:p>
            <w:pPr>
              <w:jc w:val="center"/>
              <w:rPr>
                <w:rFonts w:hint="eastAsia" w:ascii="宋体" w:hAnsi="宋体"/>
                <w:szCs w:val="21"/>
                <w:highlight w:val="none"/>
              </w:rPr>
            </w:pPr>
            <w:r>
              <w:rPr>
                <w:rFonts w:hint="eastAsia" w:ascii="宋体" w:hAnsi="宋体"/>
                <w:szCs w:val="21"/>
                <w:highlight w:val="none"/>
              </w:rPr>
              <w:t>投标人基本情况表（格式见附件二）</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2</w:t>
            </w:r>
          </w:p>
        </w:tc>
        <w:tc>
          <w:tcPr>
            <w:tcW w:w="5822"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rPr>
              <w:t>营业执照</w:t>
            </w:r>
            <w:r>
              <w:rPr>
                <w:rFonts w:hint="eastAsia" w:ascii="宋体" w:hAnsi="宋体"/>
                <w:szCs w:val="21"/>
                <w:highlight w:val="none"/>
                <w:lang w:val="en-US" w:eastAsia="zh-CN"/>
              </w:rPr>
              <w:t>复印件</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3</w:t>
            </w:r>
          </w:p>
        </w:tc>
        <w:tc>
          <w:tcPr>
            <w:tcW w:w="5822"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rPr>
              <w:t>法人授权委托书（格式见附件三）</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4</w:t>
            </w:r>
          </w:p>
        </w:tc>
        <w:tc>
          <w:tcPr>
            <w:tcW w:w="5822" w:type="dxa"/>
            <w:noWrap w:val="0"/>
            <w:vAlign w:val="center"/>
          </w:tcPr>
          <w:p>
            <w:pPr>
              <w:pStyle w:val="10"/>
              <w:numPr>
                <w:ilvl w:val="0"/>
                <w:numId w:val="0"/>
              </w:numPr>
              <w:spacing w:line="360" w:lineRule="auto"/>
              <w:ind w:left="0" w:leftChars="0" w:firstLine="0" w:firstLineChars="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投标保证金缴纳证明：银行回执单</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5</w:t>
            </w:r>
          </w:p>
        </w:tc>
        <w:tc>
          <w:tcPr>
            <w:tcW w:w="5822" w:type="dxa"/>
            <w:noWrap w:val="0"/>
            <w:vAlign w:val="center"/>
          </w:tcPr>
          <w:p>
            <w:pPr>
              <w:jc w:val="center"/>
              <w:rPr>
                <w:rFonts w:hint="eastAsia" w:ascii="宋体" w:hAnsi="宋体" w:eastAsia="宋体" w:cs="Times New Roman"/>
                <w:kern w:val="2"/>
                <w:sz w:val="21"/>
                <w:szCs w:val="21"/>
                <w:highlight w:val="none"/>
                <w:lang w:val="en-US" w:eastAsia="zh-CN" w:bidi="ar-SA"/>
              </w:rPr>
            </w:pPr>
            <w:r>
              <w:rPr>
                <w:rFonts w:hint="eastAsia" w:ascii="宋体" w:hAnsi="宋体"/>
                <w:szCs w:val="21"/>
                <w:highlight w:val="none"/>
                <w:lang w:val="en-US" w:eastAsia="zh-CN"/>
              </w:rPr>
              <w:t>企业实力（</w:t>
            </w:r>
            <w:r>
              <w:rPr>
                <w:rFonts w:hint="eastAsia" w:ascii="宋体" w:hAnsi="宋体"/>
                <w:szCs w:val="21"/>
                <w:highlight w:val="none"/>
              </w:rPr>
              <w:t>格式见附件</w:t>
            </w:r>
            <w:r>
              <w:rPr>
                <w:rFonts w:hint="eastAsia" w:ascii="宋体" w:hAnsi="宋体"/>
                <w:szCs w:val="21"/>
                <w:highlight w:val="none"/>
                <w:lang w:val="en-US" w:eastAsia="zh-CN"/>
              </w:rPr>
              <w:t>四）</w:t>
            </w: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6</w:t>
            </w:r>
          </w:p>
        </w:tc>
        <w:tc>
          <w:tcPr>
            <w:tcW w:w="5822" w:type="dxa"/>
            <w:noWrap w:val="0"/>
            <w:vAlign w:val="center"/>
          </w:tcPr>
          <w:p>
            <w:pPr>
              <w:pStyle w:val="10"/>
              <w:numPr>
                <w:ilvl w:val="0"/>
                <w:numId w:val="0"/>
              </w:numPr>
              <w:spacing w:line="360" w:lineRule="auto"/>
              <w:ind w:leftChars="0"/>
              <w:jc w:val="center"/>
              <w:rPr>
                <w:rFonts w:hint="default" w:ascii="宋体" w:hAnsi="宋体" w:eastAsia="宋体"/>
                <w:szCs w:val="21"/>
                <w:highlight w:val="none"/>
                <w:lang w:val="en-US" w:eastAsia="zh-CN"/>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7</w:t>
            </w:r>
          </w:p>
        </w:tc>
        <w:tc>
          <w:tcPr>
            <w:tcW w:w="5822" w:type="dxa"/>
            <w:noWrap w:val="0"/>
            <w:vAlign w:val="center"/>
          </w:tcPr>
          <w:p>
            <w:pPr>
              <w:jc w:val="center"/>
              <w:rPr>
                <w:rFonts w:hint="eastAsia" w:ascii="宋体" w:hAnsi="宋体" w:eastAsia="宋体"/>
                <w:szCs w:val="21"/>
                <w:highlight w:val="none"/>
                <w:lang w:val="en-US" w:eastAsia="zh-CN"/>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szCs w:val="21"/>
                <w:highlight w:val="none"/>
                <w:lang w:val="en-US" w:eastAsia="zh-CN"/>
              </w:rPr>
            </w:pPr>
          </w:p>
        </w:tc>
        <w:tc>
          <w:tcPr>
            <w:tcW w:w="5822" w:type="dxa"/>
            <w:noWrap w:val="0"/>
            <w:vAlign w:val="center"/>
          </w:tcPr>
          <w:p>
            <w:pPr>
              <w:jc w:val="center"/>
              <w:rPr>
                <w:rFonts w:hint="eastAsia" w:ascii="宋体" w:hAnsi="宋体" w:eastAsia="宋体"/>
                <w:szCs w:val="21"/>
                <w:highlight w:val="none"/>
                <w:lang w:val="en-US" w:eastAsia="zh-CN"/>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szCs w:val="21"/>
                <w:highlight w:val="none"/>
                <w:lang w:val="en-US" w:eastAsia="zh-CN"/>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default" w:ascii="宋体" w:hAnsi="宋体" w:eastAsia="宋体"/>
                <w:szCs w:val="21"/>
                <w:highlight w:val="none"/>
                <w:lang w:val="en-US" w:eastAsia="zh-CN"/>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822" w:type="dxa"/>
            <w:noWrap w:val="0"/>
            <w:vAlign w:val="center"/>
          </w:tcPr>
          <w:p>
            <w:pPr>
              <w:jc w:val="center"/>
              <w:rPr>
                <w:rFonts w:hint="eastAsia" w:ascii="宋体" w:hAnsi="宋体"/>
                <w:szCs w:val="21"/>
                <w:highlight w:val="none"/>
              </w:rPr>
            </w:pPr>
          </w:p>
        </w:tc>
        <w:tc>
          <w:tcPr>
            <w:tcW w:w="1974" w:type="dxa"/>
            <w:noWrap w:val="0"/>
            <w:vAlign w:val="center"/>
          </w:tcPr>
          <w:p>
            <w:pPr>
              <w:jc w:val="center"/>
              <w:rPr>
                <w:rFonts w:hint="eastAsia" w:ascii="宋体" w:hAnsi="宋体"/>
                <w:szCs w:val="21"/>
                <w:highlight w:val="none"/>
              </w:rPr>
            </w:pPr>
          </w:p>
        </w:tc>
      </w:tr>
    </w:tbl>
    <w:p>
      <w:pPr>
        <w:pStyle w:val="10"/>
        <w:rPr>
          <w:rFonts w:hint="eastAsia" w:eastAsia="黑体"/>
          <w:b/>
          <w:bCs/>
          <w:sz w:val="28"/>
          <w:highlight w:val="none"/>
        </w:rPr>
      </w:pPr>
      <w:r>
        <w:rPr>
          <w:rFonts w:hAnsi="宋体"/>
          <w:sz w:val="24"/>
          <w:highlight w:val="none"/>
        </w:rPr>
        <w:br w:type="page"/>
      </w:r>
      <w:r>
        <w:rPr>
          <w:rFonts w:hint="eastAsia" w:ascii="黑体" w:hAnsi="Calibri" w:eastAsia="黑体"/>
          <w:sz w:val="30"/>
          <w:highlight w:val="none"/>
        </w:rPr>
        <w:t xml:space="preserve">附件二：             </w:t>
      </w:r>
      <w:r>
        <w:rPr>
          <w:rFonts w:hint="eastAsia" w:eastAsia="黑体"/>
          <w:b/>
          <w:bCs/>
          <w:sz w:val="28"/>
          <w:highlight w:val="none"/>
        </w:rPr>
        <w:t>投标人基本情况表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投标人名称</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注册地址</w:t>
            </w:r>
          </w:p>
        </w:tc>
        <w:tc>
          <w:tcPr>
            <w:tcW w:w="3389" w:type="dxa"/>
            <w:gridSpan w:val="5"/>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邮政编码</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联系方式</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联系人</w:t>
            </w:r>
          </w:p>
        </w:tc>
        <w:tc>
          <w:tcPr>
            <w:tcW w:w="2492" w:type="dxa"/>
            <w:gridSpan w:val="4"/>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电  话</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pPr>
              <w:jc w:val="center"/>
              <w:rPr>
                <w:rFonts w:hint="eastAsia" w:ascii="宋体" w:hAnsi="宋体"/>
                <w:szCs w:val="21"/>
                <w:highlight w:val="none"/>
              </w:rPr>
            </w:pP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传  真</w:t>
            </w:r>
          </w:p>
        </w:tc>
        <w:tc>
          <w:tcPr>
            <w:tcW w:w="2492" w:type="dxa"/>
            <w:gridSpan w:val="4"/>
            <w:noWrap w:val="0"/>
            <w:vAlign w:val="center"/>
          </w:tcPr>
          <w:p>
            <w:pPr>
              <w:jc w:val="center"/>
              <w:rPr>
                <w:rFonts w:hint="eastAsia" w:ascii="宋体" w:hAnsi="宋体"/>
                <w:szCs w:val="21"/>
                <w:highlight w:val="none"/>
              </w:rPr>
            </w:pPr>
          </w:p>
        </w:tc>
        <w:tc>
          <w:tcPr>
            <w:tcW w:w="1246" w:type="dxa"/>
            <w:noWrap w:val="0"/>
            <w:vAlign w:val="center"/>
          </w:tcPr>
          <w:p>
            <w:pPr>
              <w:jc w:val="center"/>
              <w:rPr>
                <w:rFonts w:hint="eastAsia" w:ascii="宋体" w:hAnsi="宋体"/>
                <w:szCs w:val="21"/>
                <w:highlight w:val="none"/>
              </w:rPr>
            </w:pPr>
            <w:r>
              <w:rPr>
                <w:rFonts w:hint="eastAsia" w:ascii="宋体" w:hAnsi="宋体"/>
                <w:szCs w:val="21"/>
                <w:highlight w:val="none"/>
              </w:rPr>
              <w:t>网  址</w:t>
            </w:r>
          </w:p>
        </w:tc>
        <w:tc>
          <w:tcPr>
            <w:tcW w:w="2385" w:type="dxa"/>
            <w:gridSpan w:val="3"/>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组织结构</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法定代表人</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pPr>
              <w:jc w:val="center"/>
              <w:rPr>
                <w:rFonts w:hint="eastAsia" w:ascii="宋体" w:hAnsi="宋体"/>
                <w:szCs w:val="21"/>
                <w:highlight w:val="none"/>
              </w:rPr>
            </w:pPr>
          </w:p>
        </w:tc>
        <w:tc>
          <w:tcPr>
            <w:tcW w:w="1276" w:type="dxa"/>
            <w:gridSpan w:val="2"/>
            <w:noWrap w:val="0"/>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技术负责人</w:t>
            </w:r>
          </w:p>
        </w:tc>
        <w:tc>
          <w:tcPr>
            <w:tcW w:w="897" w:type="dxa"/>
            <w:noWrap w:val="0"/>
            <w:vAlign w:val="center"/>
          </w:tcPr>
          <w:p>
            <w:pPr>
              <w:jc w:val="center"/>
              <w:rPr>
                <w:rFonts w:hint="eastAsia" w:ascii="宋体" w:hAnsi="宋体"/>
                <w:szCs w:val="21"/>
                <w:highlight w:val="none"/>
              </w:rPr>
            </w:pPr>
            <w:r>
              <w:rPr>
                <w:rFonts w:hint="eastAsia" w:ascii="宋体" w:hAnsi="宋体"/>
                <w:szCs w:val="21"/>
                <w:highlight w:val="none"/>
              </w:rPr>
              <w:t>姓名</w:t>
            </w:r>
          </w:p>
        </w:tc>
        <w:tc>
          <w:tcPr>
            <w:tcW w:w="1021" w:type="dxa"/>
            <w:noWrap w:val="0"/>
            <w:vAlign w:val="center"/>
          </w:tcPr>
          <w:p>
            <w:pPr>
              <w:jc w:val="center"/>
              <w:rPr>
                <w:rFonts w:hint="eastAsia" w:ascii="宋体" w:hAnsi="宋体"/>
                <w:szCs w:val="21"/>
                <w:highlight w:val="none"/>
              </w:rPr>
            </w:pPr>
          </w:p>
        </w:tc>
        <w:tc>
          <w:tcPr>
            <w:tcW w:w="1276" w:type="dxa"/>
            <w:gridSpan w:val="2"/>
            <w:noWrap w:val="0"/>
            <w:vAlign w:val="center"/>
          </w:tcPr>
          <w:p>
            <w:pPr>
              <w:jc w:val="center"/>
              <w:rPr>
                <w:rFonts w:hint="eastAsia" w:ascii="宋体" w:hAnsi="宋体"/>
                <w:szCs w:val="21"/>
                <w:highlight w:val="none"/>
              </w:rPr>
            </w:pPr>
            <w:r>
              <w:rPr>
                <w:rFonts w:hint="eastAsia" w:ascii="宋体" w:hAnsi="宋体"/>
                <w:szCs w:val="21"/>
                <w:highlight w:val="none"/>
              </w:rPr>
              <w:t>技术职称</w:t>
            </w:r>
          </w:p>
        </w:tc>
        <w:tc>
          <w:tcPr>
            <w:tcW w:w="1701" w:type="dxa"/>
            <w:gridSpan w:val="3"/>
            <w:noWrap w:val="0"/>
            <w:vAlign w:val="center"/>
          </w:tcPr>
          <w:p>
            <w:pPr>
              <w:jc w:val="center"/>
              <w:rPr>
                <w:rFonts w:hint="eastAsia" w:ascii="宋体" w:hAnsi="宋体"/>
                <w:szCs w:val="21"/>
                <w:highlight w:val="none"/>
              </w:rPr>
            </w:pPr>
          </w:p>
        </w:tc>
        <w:tc>
          <w:tcPr>
            <w:tcW w:w="709" w:type="dxa"/>
            <w:noWrap w:val="0"/>
            <w:vAlign w:val="center"/>
          </w:tcPr>
          <w:p>
            <w:pPr>
              <w:jc w:val="center"/>
              <w:rPr>
                <w:rFonts w:hint="eastAsia" w:ascii="宋体" w:hAnsi="宋体"/>
                <w:szCs w:val="21"/>
                <w:highlight w:val="none"/>
              </w:rPr>
            </w:pPr>
            <w:r>
              <w:rPr>
                <w:rFonts w:hint="eastAsia" w:ascii="宋体" w:hAnsi="宋体"/>
                <w:szCs w:val="21"/>
                <w:highlight w:val="none"/>
              </w:rPr>
              <w:t>电话</w:t>
            </w:r>
          </w:p>
        </w:tc>
        <w:tc>
          <w:tcPr>
            <w:tcW w:w="1416"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成立时间</w:t>
            </w:r>
          </w:p>
        </w:tc>
        <w:tc>
          <w:tcPr>
            <w:tcW w:w="1918" w:type="dxa"/>
            <w:gridSpan w:val="2"/>
            <w:noWrap w:val="0"/>
            <w:vAlign w:val="center"/>
          </w:tcPr>
          <w:p>
            <w:pPr>
              <w:jc w:val="center"/>
              <w:rPr>
                <w:rFonts w:hint="eastAsia" w:ascii="宋体" w:hAnsi="宋体"/>
                <w:szCs w:val="21"/>
                <w:highlight w:val="none"/>
              </w:rPr>
            </w:pPr>
          </w:p>
        </w:tc>
        <w:tc>
          <w:tcPr>
            <w:tcW w:w="5102" w:type="dxa"/>
            <w:gridSpan w:val="7"/>
            <w:noWrap w:val="0"/>
            <w:vAlign w:val="center"/>
          </w:tcPr>
          <w:p>
            <w:pPr>
              <w:jc w:val="center"/>
              <w:rPr>
                <w:rFonts w:hint="eastAsia" w:ascii="宋体" w:hAnsi="宋体"/>
                <w:szCs w:val="21"/>
                <w:highlight w:val="none"/>
              </w:rPr>
            </w:pPr>
            <w:r>
              <w:rPr>
                <w:rFonts w:hint="eastAsia" w:ascii="宋体" w:hAnsi="宋体"/>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企业资质等级</w:t>
            </w:r>
          </w:p>
        </w:tc>
        <w:tc>
          <w:tcPr>
            <w:tcW w:w="1918" w:type="dxa"/>
            <w:gridSpan w:val="2"/>
            <w:noWrap w:val="0"/>
            <w:vAlign w:val="center"/>
          </w:tcPr>
          <w:p>
            <w:pPr>
              <w:jc w:val="center"/>
              <w:rPr>
                <w:rFonts w:hint="eastAsia" w:ascii="宋体" w:hAnsi="宋体"/>
                <w:szCs w:val="21"/>
                <w:highlight w:val="none"/>
              </w:rPr>
            </w:pPr>
          </w:p>
        </w:tc>
        <w:tc>
          <w:tcPr>
            <w:tcW w:w="993" w:type="dxa"/>
            <w:vMerge w:val="restart"/>
            <w:noWrap w:val="0"/>
            <w:vAlign w:val="center"/>
          </w:tcPr>
          <w:p>
            <w:pPr>
              <w:jc w:val="center"/>
              <w:rPr>
                <w:rFonts w:hint="eastAsia" w:ascii="宋体" w:hAnsi="宋体"/>
                <w:szCs w:val="21"/>
                <w:highlight w:val="none"/>
              </w:rPr>
            </w:pPr>
            <w:r>
              <w:rPr>
                <w:rFonts w:hint="eastAsia" w:ascii="宋体" w:hAnsi="宋体"/>
                <w:szCs w:val="21"/>
                <w:highlight w:val="none"/>
              </w:rPr>
              <w:t>其中</w:t>
            </w: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项目经理</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营业执照号</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高级职称人员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注册资金</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中级职称人员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开户银行</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初级职称人员</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账号</w:t>
            </w:r>
          </w:p>
        </w:tc>
        <w:tc>
          <w:tcPr>
            <w:tcW w:w="1918" w:type="dxa"/>
            <w:gridSpan w:val="2"/>
            <w:noWrap w:val="0"/>
            <w:vAlign w:val="center"/>
          </w:tcPr>
          <w:p>
            <w:pPr>
              <w:jc w:val="center"/>
              <w:rPr>
                <w:rFonts w:hint="eastAsia" w:ascii="宋体" w:hAnsi="宋体"/>
                <w:szCs w:val="21"/>
                <w:highlight w:val="none"/>
              </w:rPr>
            </w:pPr>
          </w:p>
        </w:tc>
        <w:tc>
          <w:tcPr>
            <w:tcW w:w="993" w:type="dxa"/>
            <w:vMerge w:val="continue"/>
            <w:noWrap w:val="0"/>
            <w:vAlign w:val="center"/>
          </w:tcPr>
          <w:p>
            <w:pPr>
              <w:jc w:val="center"/>
              <w:rPr>
                <w:rFonts w:hint="eastAsia" w:ascii="宋体" w:hAnsi="宋体"/>
                <w:szCs w:val="21"/>
                <w:highlight w:val="none"/>
              </w:rPr>
            </w:pPr>
          </w:p>
        </w:tc>
        <w:tc>
          <w:tcPr>
            <w:tcW w:w="1984" w:type="dxa"/>
            <w:gridSpan w:val="4"/>
            <w:noWrap w:val="0"/>
            <w:vAlign w:val="center"/>
          </w:tcPr>
          <w:p>
            <w:pPr>
              <w:jc w:val="center"/>
              <w:rPr>
                <w:rFonts w:hint="eastAsia" w:ascii="宋体" w:hAnsi="宋体"/>
                <w:szCs w:val="21"/>
                <w:highlight w:val="none"/>
              </w:rPr>
            </w:pPr>
            <w:r>
              <w:rPr>
                <w:rFonts w:hint="eastAsia" w:ascii="宋体" w:hAnsi="宋体"/>
                <w:szCs w:val="21"/>
                <w:highlight w:val="none"/>
              </w:rPr>
              <w:t>技  工</w:t>
            </w:r>
          </w:p>
        </w:tc>
        <w:tc>
          <w:tcPr>
            <w:tcW w:w="2125" w:type="dxa"/>
            <w:gridSpan w:val="2"/>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经营范围</w:t>
            </w:r>
          </w:p>
        </w:tc>
        <w:tc>
          <w:tcPr>
            <w:tcW w:w="7020" w:type="dxa"/>
            <w:gridSpan w:val="9"/>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highlight w:val="none"/>
              </w:rPr>
            </w:pPr>
            <w:r>
              <w:rPr>
                <w:rFonts w:hint="eastAsia" w:ascii="宋体" w:hAnsi="宋体"/>
                <w:szCs w:val="21"/>
                <w:highlight w:val="none"/>
              </w:rPr>
              <w:t>备注</w:t>
            </w:r>
          </w:p>
        </w:tc>
        <w:tc>
          <w:tcPr>
            <w:tcW w:w="7020" w:type="dxa"/>
            <w:gridSpan w:val="9"/>
            <w:noWrap w:val="0"/>
            <w:vAlign w:val="center"/>
          </w:tcPr>
          <w:p>
            <w:pPr>
              <w:jc w:val="center"/>
              <w:rPr>
                <w:rFonts w:hint="eastAsia" w:ascii="宋体" w:hAnsi="宋体"/>
                <w:szCs w:val="21"/>
                <w:highlight w:val="none"/>
              </w:rPr>
            </w:pPr>
          </w:p>
        </w:tc>
      </w:tr>
    </w:tbl>
    <w:p>
      <w:pPr>
        <w:spacing w:line="440" w:lineRule="exact"/>
        <w:rPr>
          <w:rFonts w:hint="eastAsia" w:ascii="宋体" w:hAnsi="宋体"/>
          <w:szCs w:val="21"/>
          <w:highlight w:val="none"/>
        </w:rPr>
      </w:pPr>
      <w:r>
        <w:rPr>
          <w:rFonts w:hint="eastAsia" w:ascii="宋体" w:hAnsi="宋体"/>
          <w:szCs w:val="21"/>
          <w:highlight w:val="none"/>
        </w:rPr>
        <w:t>备注：本表后应附企业法人营业执照及其年检合格的证明材料等材料的复印件。</w:t>
      </w:r>
    </w:p>
    <w:p>
      <w:pPr>
        <w:pStyle w:val="10"/>
        <w:jc w:val="left"/>
        <w:rPr>
          <w:rFonts w:hint="eastAsia" w:ascii="黑体" w:hAnsi="Calibri" w:eastAsia="黑体"/>
          <w:sz w:val="30"/>
          <w:highlight w:val="none"/>
        </w:rPr>
      </w:pPr>
    </w:p>
    <w:p>
      <w:pPr>
        <w:pStyle w:val="10"/>
        <w:jc w:val="left"/>
        <w:rPr>
          <w:rFonts w:hint="eastAsia" w:ascii="黑体" w:hAnsi="Calibri" w:eastAsia="黑体"/>
          <w:sz w:val="30"/>
          <w:highlight w:val="none"/>
        </w:rPr>
      </w:pPr>
    </w:p>
    <w:p>
      <w:pPr>
        <w:rPr>
          <w:rFonts w:hint="eastAsia"/>
        </w:rPr>
      </w:pPr>
    </w:p>
    <w:p>
      <w:pPr>
        <w:pStyle w:val="10"/>
        <w:jc w:val="left"/>
        <w:rPr>
          <w:rFonts w:hint="eastAsia" w:ascii="黑体" w:hAnsi="Calibri" w:eastAsia="黑体"/>
          <w:sz w:val="30"/>
          <w:highlight w:val="none"/>
        </w:rPr>
      </w:pPr>
    </w:p>
    <w:p>
      <w:pPr>
        <w:rPr>
          <w:rFonts w:hint="eastAsia" w:eastAsia="黑体"/>
          <w:sz w:val="30"/>
          <w:szCs w:val="30"/>
          <w:highlight w:val="none"/>
        </w:rPr>
      </w:pPr>
      <w:r>
        <w:rPr>
          <w:rFonts w:hint="eastAsia" w:eastAsia="黑体"/>
          <w:sz w:val="30"/>
          <w:szCs w:val="30"/>
          <w:highlight w:val="none"/>
        </w:rPr>
        <w:t>附件三：               法人授权委托书</w:t>
      </w:r>
    </w:p>
    <w:p>
      <w:pPr>
        <w:rPr>
          <w:rFonts w:eastAsia="黑体"/>
          <w:b/>
          <w:bCs/>
          <w:sz w:val="30"/>
          <w:szCs w:val="30"/>
          <w:highlight w:val="none"/>
        </w:rPr>
      </w:pPr>
    </w:p>
    <w:p>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pPr>
        <w:pStyle w:val="10"/>
        <w:rPr>
          <w:rFonts w:hint="eastAsia" w:hAnsi="宋体"/>
          <w:szCs w:val="21"/>
          <w:highlight w:val="none"/>
        </w:rPr>
      </w:pPr>
      <w:r>
        <w:rPr>
          <w:rFonts w:hint="eastAsia" w:hAnsi="宋体"/>
          <w:szCs w:val="21"/>
          <w:highlight w:val="none"/>
        </w:rPr>
        <w:t>日期：  年   月   日</w:t>
      </w:r>
    </w:p>
    <w:p>
      <w:pPr>
        <w:pStyle w:val="10"/>
        <w:rPr>
          <w:rFonts w:hint="eastAsia" w:hAnsi="宋体"/>
          <w:szCs w:val="21"/>
          <w:highlight w:val="none"/>
        </w:rPr>
      </w:pP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kern w:val="0"/>
          <w:szCs w:val="21"/>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highlight w:val="none"/>
          <w:u w:val="single"/>
          <w:lang w:val="en-US" w:eastAsia="zh-CN"/>
        </w:rPr>
        <w:t xml:space="preserve">   </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kern w:val="0"/>
          <w:szCs w:val="21"/>
          <w:highlight w:val="none"/>
          <w:lang w:val="en-US" w:eastAsia="zh-CN"/>
        </w:rPr>
        <w:t xml:space="preserve"> </w:t>
      </w:r>
      <w:r>
        <w:rPr>
          <w:rFonts w:hint="eastAsia" w:ascii="宋体" w:hAnsi="宋体"/>
          <w:kern w:val="0"/>
          <w:szCs w:val="21"/>
          <w:highlight w:val="none"/>
          <w:u w:val="single"/>
          <w:lang w:val="en-US" w:eastAsia="zh-CN"/>
        </w:rPr>
        <w:t xml:space="preserve">    </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w:t>
      </w:r>
      <w:r>
        <w:rPr>
          <w:rFonts w:hint="eastAsia" w:ascii="宋体" w:hAnsi="宋体"/>
          <w:kern w:val="0"/>
          <w:szCs w:val="21"/>
          <w:highlight w:val="none"/>
          <w:u w:val="single"/>
          <w:lang w:val="en-US" w:eastAsia="zh-CN"/>
        </w:rPr>
        <w:t xml:space="preserve">  </w:t>
      </w:r>
      <w:r>
        <w:rPr>
          <w:rFonts w:hint="eastAsia" w:ascii="宋体" w:hAnsi="宋体"/>
          <w:kern w:val="0"/>
          <w:szCs w:val="21"/>
          <w:highlight w:val="none"/>
          <w:u w:val="single"/>
        </w:rPr>
        <w:t xml:space="preserve">（授权委托代理人姓名）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XX项目</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pPr>
        <w:ind w:firstLine="420" w:firstLineChars="200"/>
        <w:rPr>
          <w:rFonts w:ascii="宋体"/>
          <w:kern w:val="0"/>
          <w:szCs w:val="21"/>
          <w:highlight w:val="none"/>
        </w:rPr>
      </w:pPr>
    </w:p>
    <w:p>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p>
    <w:p>
      <w:pPr>
        <w:jc w:val="center"/>
        <w:rPr>
          <w:rFonts w:ascii="宋体"/>
          <w:kern w:val="0"/>
          <w:szCs w:val="21"/>
          <w:highlight w:val="none"/>
        </w:rPr>
      </w:pPr>
    </w:p>
    <w:p>
      <w:pPr>
        <w:jc w:val="center"/>
        <w:rPr>
          <w:rFonts w:ascii="宋体"/>
          <w:kern w:val="0"/>
          <w:szCs w:val="21"/>
          <w:highlight w:val="none"/>
        </w:rPr>
      </w:pPr>
    </w:p>
    <w:p>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26"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8ff2a2905b7e65744b2e130cdb1067"/>
                    <pic:cNvPicPr>
                      <a:picLocks noChangeAspect="1"/>
                    </pic:cNvPicPr>
                  </pic:nvPicPr>
                  <pic:blipFill>
                    <a:blip r:embed="rId24">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pPr>
        <w:pStyle w:val="10"/>
        <w:jc w:val="center"/>
        <w:rPr>
          <w:rFonts w:hAnsi="宋体"/>
          <w:b/>
          <w:sz w:val="24"/>
          <w:szCs w:val="24"/>
          <w:highlight w:val="none"/>
        </w:rPr>
      </w:pPr>
    </w:p>
    <w:p>
      <w:pPr>
        <w:pStyle w:val="10"/>
        <w:jc w:val="center"/>
        <w:rPr>
          <w:rFonts w:hAnsi="宋体"/>
          <w:b/>
          <w:sz w:val="24"/>
          <w:szCs w:val="24"/>
          <w:highlight w:val="none"/>
        </w:rPr>
      </w:pPr>
    </w:p>
    <w:p>
      <w:pPr>
        <w:adjustRightInd w:val="0"/>
        <w:ind w:firstLine="482" w:firstLineChars="200"/>
        <w:rPr>
          <w:rFonts w:hint="eastAsia" w:hAnsi="宋体"/>
          <w:b/>
          <w:sz w:val="24"/>
          <w:szCs w:val="24"/>
          <w:highlight w:val="none"/>
        </w:rPr>
      </w:pPr>
    </w:p>
    <w:p>
      <w:pPr>
        <w:rPr>
          <w:rFonts w:ascii="楷体_GB2312" w:hAnsi="楷体_GB2312" w:eastAsia="楷体_GB2312"/>
          <w:szCs w:val="21"/>
          <w:highlight w:val="none"/>
        </w:rPr>
        <w:sectPr>
          <w:footerReference r:id="rId12" w:type="default"/>
          <w:footerReference r:id="rId13" w:type="even"/>
          <w:pgSz w:w="11906" w:h="16838"/>
          <w:pgMar w:top="1440" w:right="1531" w:bottom="1361" w:left="1531" w:header="851" w:footer="992" w:gutter="0"/>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63360" behindDoc="1" locked="0" layoutInCell="1" allowOverlap="1">
            <wp:simplePos x="0" y="0"/>
            <wp:positionH relativeFrom="column">
              <wp:posOffset>2990215</wp:posOffset>
            </wp:positionH>
            <wp:positionV relativeFrom="paragraph">
              <wp:posOffset>163830</wp:posOffset>
            </wp:positionV>
            <wp:extent cx="2439035" cy="1562735"/>
            <wp:effectExtent l="0" t="0" r="18415" b="18415"/>
            <wp:wrapTight wrapText="bothSides">
              <wp:wrapPolygon>
                <wp:start x="0" y="0"/>
                <wp:lineTo x="0" y="21328"/>
                <wp:lineTo x="21426" y="21328"/>
                <wp:lineTo x="21426" y="0"/>
                <wp:lineTo x="0" y="0"/>
              </wp:wrapPolygon>
            </wp:wrapTight>
            <wp:docPr id="27"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f23e120dcdf8f70911d15c4ef647946"/>
                    <pic:cNvPicPr>
                      <a:picLocks noChangeAspect="1"/>
                    </pic:cNvPicPr>
                  </pic:nvPicPr>
                  <pic:blipFill>
                    <a:blip r:embed="rId23">
                      <a:grayscl/>
                    </a:blip>
                    <a:stretch>
                      <a:fillRect/>
                    </a:stretch>
                  </pic:blipFill>
                  <pic:spPr>
                    <a:xfrm>
                      <a:off x="0" y="0"/>
                      <a:ext cx="2439035" cy="1562735"/>
                    </a:xfrm>
                    <a:prstGeom prst="rect">
                      <a:avLst/>
                    </a:prstGeom>
                    <a:noFill/>
                    <a:ln>
                      <a:noFill/>
                    </a:ln>
                  </pic:spPr>
                </pic:pic>
              </a:graphicData>
            </a:graphic>
          </wp:anchor>
        </w:drawing>
      </w:r>
      <w:r>
        <w:rPr>
          <w:rFonts w:hint="eastAsia" w:ascii="宋体" w:hAnsi="宋体"/>
          <w:sz w:val="30"/>
          <w:highlight w:val="none"/>
        </w:rPr>
        <w:br w:type="page"/>
      </w:r>
    </w:p>
    <w:p>
      <w:pPr>
        <w:rPr>
          <w:rFonts w:hint="eastAsia" w:ascii="黑体" w:eastAsia="黑体"/>
          <w:sz w:val="30"/>
          <w:highlight w:val="none"/>
        </w:rPr>
      </w:pPr>
    </w:p>
    <w:p>
      <w:pPr>
        <w:jc w:val="left"/>
        <w:rPr>
          <w:rFonts w:ascii="黑体" w:eastAsia="黑体"/>
          <w:sz w:val="30"/>
          <w:highlight w:val="none"/>
        </w:rPr>
      </w:pPr>
      <w:r>
        <w:rPr>
          <w:rFonts w:hint="eastAsia" w:ascii="黑体" w:eastAsia="黑体"/>
          <w:sz w:val="30"/>
          <w:highlight w:val="none"/>
        </w:rPr>
        <w:t>附件</w:t>
      </w:r>
      <w:r>
        <w:rPr>
          <w:rFonts w:hint="eastAsia" w:ascii="黑体" w:eastAsia="黑体"/>
          <w:sz w:val="30"/>
          <w:highlight w:val="none"/>
          <w:lang w:val="en-US" w:eastAsia="zh-CN"/>
        </w:rPr>
        <w:t>四</w:t>
      </w:r>
      <w:r>
        <w:rPr>
          <w:rFonts w:hint="eastAsia" w:ascii="黑体" w:eastAsia="黑体"/>
          <w:sz w:val="30"/>
          <w:highlight w:val="none"/>
        </w:rPr>
        <w:t>：</w:t>
      </w:r>
    </w:p>
    <w:p>
      <w:pPr>
        <w:jc w:val="both"/>
        <w:rPr>
          <w:rFonts w:hint="eastAsia" w:eastAsia="黑体"/>
          <w:sz w:val="30"/>
          <w:szCs w:val="30"/>
          <w:highlight w:val="none"/>
          <w:lang w:val="en-US" w:eastAsia="zh-CN"/>
        </w:rPr>
      </w:pPr>
      <w:r>
        <w:rPr>
          <w:rFonts w:hint="eastAsia" w:eastAsia="黑体"/>
          <w:sz w:val="30"/>
          <w:szCs w:val="30"/>
          <w:highlight w:val="none"/>
        </w:rPr>
        <w:t>企业</w:t>
      </w:r>
      <w:r>
        <w:rPr>
          <w:rFonts w:hint="eastAsia" w:eastAsia="黑体"/>
          <w:sz w:val="30"/>
          <w:szCs w:val="30"/>
          <w:highlight w:val="none"/>
          <w:lang w:val="en-US" w:eastAsia="zh-CN"/>
        </w:rPr>
        <w:t>信誉及实力</w:t>
      </w:r>
    </w:p>
    <w:p>
      <w:pPr>
        <w:jc w:val="center"/>
        <w:rPr>
          <w:rFonts w:hint="eastAsia" w:ascii="宋体" w:hAnsi="宋体"/>
          <w:sz w:val="32"/>
          <w:szCs w:val="32"/>
          <w:highlight w:val="none"/>
        </w:rPr>
      </w:pPr>
      <w:r>
        <w:rPr>
          <w:rFonts w:hint="eastAsia" w:ascii="宋体" w:hAnsi="宋体"/>
          <w:sz w:val="32"/>
          <w:szCs w:val="32"/>
          <w:highlight w:val="none"/>
        </w:rPr>
        <w:t>近年承担的类似工程情况表</w:t>
      </w:r>
    </w:p>
    <w:tbl>
      <w:tblPr>
        <w:tblStyle w:val="18"/>
        <w:tblpPr w:leftFromText="180" w:rightFromText="180" w:vertAnchor="page" w:horzAnchor="page" w:tblpX="1301" w:tblpY="41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序号</w:t>
            </w:r>
          </w:p>
        </w:tc>
        <w:tc>
          <w:tcPr>
            <w:tcW w:w="1525"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项目名称</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项目规模</w:t>
            </w:r>
          </w:p>
        </w:tc>
        <w:tc>
          <w:tcPr>
            <w:tcW w:w="1252"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w:t>
            </w:r>
          </w:p>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名称</w:t>
            </w:r>
          </w:p>
        </w:tc>
        <w:tc>
          <w:tcPr>
            <w:tcW w:w="1379"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发包人联系人及电话</w:t>
            </w:r>
          </w:p>
        </w:tc>
        <w:tc>
          <w:tcPr>
            <w:tcW w:w="1124"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合同价格</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开、竣工</w:t>
            </w:r>
          </w:p>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日期</w:t>
            </w:r>
          </w:p>
        </w:tc>
        <w:tc>
          <w:tcPr>
            <w:tcW w:w="125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工程质量</w:t>
            </w:r>
          </w:p>
        </w:tc>
        <w:tc>
          <w:tcPr>
            <w:tcW w:w="1189"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项目经理</w:t>
            </w:r>
          </w:p>
        </w:tc>
        <w:tc>
          <w:tcPr>
            <w:tcW w:w="1301"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技术负责人</w:t>
            </w:r>
          </w:p>
        </w:tc>
        <w:tc>
          <w:tcPr>
            <w:tcW w:w="1365"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总监理工程师及电话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1</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2</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3</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highlight w:val="none"/>
                <w:lang w:eastAsia="zh-CN"/>
              </w:rPr>
            </w:pPr>
            <w:r>
              <w:rPr>
                <w:rFonts w:hint="eastAsia" w:asciiTheme="minorEastAsia" w:hAnsiTheme="minorEastAsia" w:eastAsiaTheme="minorEastAsia" w:cstheme="minorEastAsia"/>
                <w:szCs w:val="21"/>
                <w:highlight w:val="none"/>
                <w:lang w:val="en-US" w:eastAsia="zh-CN"/>
              </w:rPr>
              <w:t>4</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w:t>
            </w:r>
          </w:p>
        </w:tc>
        <w:tc>
          <w:tcPr>
            <w:tcW w:w="1525"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2" w:type="dxa"/>
            <w:noWrap w:val="0"/>
            <w:vAlign w:val="center"/>
          </w:tcPr>
          <w:p>
            <w:pPr>
              <w:jc w:val="center"/>
              <w:rPr>
                <w:rFonts w:hint="eastAsia" w:asciiTheme="minorEastAsia" w:hAnsiTheme="minorEastAsia" w:eastAsiaTheme="minorEastAsia" w:cstheme="minorEastAsia"/>
                <w:szCs w:val="21"/>
                <w:highlight w:val="none"/>
              </w:rPr>
            </w:pPr>
          </w:p>
        </w:tc>
        <w:tc>
          <w:tcPr>
            <w:tcW w:w="1379" w:type="dxa"/>
            <w:noWrap w:val="0"/>
            <w:vAlign w:val="center"/>
          </w:tcPr>
          <w:p>
            <w:pPr>
              <w:jc w:val="center"/>
              <w:rPr>
                <w:rFonts w:hint="eastAsia" w:asciiTheme="minorEastAsia" w:hAnsiTheme="minorEastAsia" w:eastAsiaTheme="minorEastAsia" w:cstheme="minorEastAsia"/>
                <w:szCs w:val="21"/>
                <w:highlight w:val="none"/>
              </w:rPr>
            </w:pPr>
          </w:p>
        </w:tc>
        <w:tc>
          <w:tcPr>
            <w:tcW w:w="1124"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251" w:type="dxa"/>
            <w:noWrap w:val="0"/>
            <w:vAlign w:val="center"/>
          </w:tcPr>
          <w:p>
            <w:pPr>
              <w:jc w:val="center"/>
              <w:rPr>
                <w:rFonts w:hint="eastAsia" w:asciiTheme="minorEastAsia" w:hAnsiTheme="minorEastAsia" w:eastAsiaTheme="minorEastAsia" w:cstheme="minorEastAsia"/>
                <w:szCs w:val="21"/>
                <w:highlight w:val="none"/>
              </w:rPr>
            </w:pPr>
          </w:p>
        </w:tc>
        <w:tc>
          <w:tcPr>
            <w:tcW w:w="1189" w:type="dxa"/>
            <w:noWrap w:val="0"/>
            <w:vAlign w:val="center"/>
          </w:tcPr>
          <w:p>
            <w:pPr>
              <w:jc w:val="center"/>
              <w:rPr>
                <w:rFonts w:hint="eastAsia" w:asciiTheme="minorEastAsia" w:hAnsiTheme="minorEastAsia" w:eastAsiaTheme="minorEastAsia" w:cstheme="minorEastAsia"/>
                <w:szCs w:val="21"/>
                <w:highlight w:val="none"/>
              </w:rPr>
            </w:pPr>
          </w:p>
        </w:tc>
        <w:tc>
          <w:tcPr>
            <w:tcW w:w="1301" w:type="dxa"/>
            <w:noWrap w:val="0"/>
            <w:vAlign w:val="center"/>
          </w:tcPr>
          <w:p>
            <w:pPr>
              <w:jc w:val="center"/>
              <w:rPr>
                <w:rFonts w:hint="eastAsia" w:asciiTheme="minorEastAsia" w:hAnsiTheme="minorEastAsia" w:eastAsiaTheme="minorEastAsia" w:cstheme="minorEastAsia"/>
                <w:szCs w:val="21"/>
                <w:highlight w:val="none"/>
              </w:rPr>
            </w:pPr>
          </w:p>
        </w:tc>
        <w:tc>
          <w:tcPr>
            <w:tcW w:w="1365" w:type="dxa"/>
            <w:noWrap w:val="0"/>
            <w:vAlign w:val="top"/>
          </w:tcPr>
          <w:p>
            <w:pPr>
              <w:jc w:val="center"/>
              <w:rPr>
                <w:rFonts w:hint="eastAsia" w:asciiTheme="minorEastAsia" w:hAnsiTheme="minorEastAsia" w:eastAsiaTheme="minorEastAsia" w:cstheme="minorEastAsia"/>
                <w:szCs w:val="21"/>
                <w:highlight w:val="none"/>
              </w:rPr>
            </w:pPr>
          </w:p>
        </w:tc>
      </w:tr>
    </w:tbl>
    <w:p>
      <w:pPr>
        <w:adjustRightInd w:val="0"/>
        <w:jc w:val="left"/>
        <w:rPr>
          <w:rFonts w:hint="eastAsia" w:eastAsia="黑体"/>
          <w:sz w:val="30"/>
          <w:szCs w:val="30"/>
          <w:highlight w:val="none"/>
          <w:lang w:val="en-US" w:eastAsia="zh-CN"/>
        </w:rPr>
      </w:pPr>
    </w:p>
    <w:p>
      <w:pPr>
        <w:adjustRightInd w:val="0"/>
        <w:jc w:val="left"/>
        <w:rPr>
          <w:rFonts w:hint="eastAsia" w:eastAsia="黑体"/>
          <w:sz w:val="30"/>
          <w:szCs w:val="30"/>
          <w:highlight w:val="none"/>
          <w:lang w:val="en-US" w:eastAsia="zh-CN"/>
        </w:rPr>
      </w:pPr>
    </w:p>
    <w:p>
      <w:pPr>
        <w:ind w:firstLine="420" w:firstLineChars="200"/>
        <w:rPr>
          <w:rFonts w:hint="eastAsia" w:ascii="宋体" w:hAnsi="宋体"/>
          <w:szCs w:val="21"/>
          <w:highlight w:val="none"/>
        </w:rPr>
      </w:pPr>
      <w:r>
        <w:rPr>
          <w:rFonts w:ascii="宋体" w:hAnsi="宋体"/>
          <w:szCs w:val="21"/>
          <w:highlight w:val="none"/>
        </w:rPr>
        <w:t xml:space="preserve"> </w:t>
      </w:r>
      <w:r>
        <w:rPr>
          <w:rFonts w:hint="eastAsia" w:ascii="宋体" w:hAnsi="宋体"/>
          <w:szCs w:val="21"/>
          <w:highlight w:val="none"/>
        </w:rPr>
        <w:t>要求体现企业信誉及实力：企业近三年类似项目业绩（</w:t>
      </w:r>
      <w:r>
        <w:rPr>
          <w:rFonts w:hint="eastAsia" w:ascii="宋体" w:hAnsi="宋体"/>
          <w:szCs w:val="21"/>
          <w:highlight w:val="none"/>
          <w:u w:val="single"/>
        </w:rPr>
        <w:t>指20</w:t>
      </w:r>
      <w:r>
        <w:rPr>
          <w:rFonts w:hint="eastAsia" w:ascii="宋体" w:hAnsi="宋体"/>
          <w:szCs w:val="21"/>
          <w:highlight w:val="none"/>
          <w:u w:val="single"/>
          <w:lang w:val="en-US" w:eastAsia="zh-CN"/>
        </w:rPr>
        <w:t>21</w:t>
      </w:r>
      <w:r>
        <w:rPr>
          <w:rFonts w:hint="eastAsia" w:ascii="宋体" w:hAnsi="宋体"/>
          <w:szCs w:val="21"/>
          <w:highlight w:val="none"/>
          <w:u w:val="single"/>
        </w:rPr>
        <w:t>年1月1日至今</w:t>
      </w:r>
      <w:r>
        <w:rPr>
          <w:rFonts w:hint="eastAsia" w:ascii="宋体" w:hAnsi="宋体"/>
          <w:szCs w:val="21"/>
          <w:highlight w:val="none"/>
        </w:rPr>
        <w:t>，以合同签订时间为准）。</w:t>
      </w:r>
    </w:p>
    <w:p>
      <w:pPr>
        <w:adjustRightInd w:val="0"/>
        <w:spacing w:line="500" w:lineRule="exact"/>
        <w:rPr>
          <w:rFonts w:hint="eastAsia" w:ascii="宋体" w:hAnsi="宋体"/>
          <w:b/>
          <w:bCs/>
          <w:sz w:val="24"/>
          <w:szCs w:val="24"/>
          <w:highlight w:val="none"/>
        </w:rPr>
      </w:pPr>
    </w:p>
    <w:p>
      <w:pPr>
        <w:spacing w:line="440" w:lineRule="exact"/>
        <w:rPr>
          <w:rFonts w:hint="eastAsia" w:ascii="宋体" w:hAnsi="宋体"/>
          <w:szCs w:val="21"/>
          <w:highlight w:val="none"/>
        </w:rPr>
      </w:pPr>
      <w:r>
        <w:rPr>
          <w:rFonts w:hint="eastAsia" w:ascii="宋体" w:hAnsi="宋体"/>
          <w:szCs w:val="21"/>
          <w:highlight w:val="none"/>
        </w:rPr>
        <w:t>备注：1.近三年</w:t>
      </w:r>
      <w:r>
        <w:rPr>
          <w:rFonts w:hint="eastAsia" w:ascii="宋体" w:hAnsi="宋体"/>
          <w:kern w:val="0"/>
          <w:highlight w:val="none"/>
        </w:rPr>
        <w:t>年份要求</w:t>
      </w:r>
      <w:r>
        <w:rPr>
          <w:rFonts w:hint="eastAsia" w:ascii="宋体" w:hAnsi="宋体"/>
          <w:kern w:val="0"/>
          <w:highlight w:val="none"/>
          <w:lang w:val="en-US" w:eastAsia="zh-CN"/>
        </w:rPr>
        <w:t>以</w:t>
      </w:r>
      <w:r>
        <w:rPr>
          <w:rFonts w:hint="eastAsia" w:ascii="宋体" w:hAnsi="宋体"/>
          <w:szCs w:val="21"/>
          <w:highlight w:val="none"/>
        </w:rPr>
        <w:t>合同签订时间为准。</w:t>
      </w:r>
    </w:p>
    <w:p>
      <w:pPr>
        <w:spacing w:line="440" w:lineRule="exact"/>
        <w:ind w:left="630" w:leftChars="300"/>
        <w:rPr>
          <w:rFonts w:hint="eastAsia" w:ascii="宋体" w:hAnsi="宋体"/>
          <w:b w:val="0"/>
          <w:bCs w:val="0"/>
          <w:szCs w:val="21"/>
          <w:highlight w:val="none"/>
        </w:rPr>
      </w:pPr>
      <w:r>
        <w:rPr>
          <w:rFonts w:hint="eastAsia" w:ascii="宋体" w:hAnsi="宋体"/>
          <w:szCs w:val="21"/>
          <w:highlight w:val="none"/>
        </w:rPr>
        <w:t>2.本表后</w:t>
      </w:r>
      <w:r>
        <w:rPr>
          <w:rFonts w:hint="eastAsia" w:ascii="宋体" w:hAnsi="宋体"/>
          <w:b w:val="0"/>
          <w:bCs w:val="0"/>
          <w:szCs w:val="21"/>
          <w:highlight w:val="none"/>
        </w:rPr>
        <w:t>附合同协议书的复印件。</w:t>
      </w:r>
    </w:p>
    <w:p>
      <w:pPr>
        <w:rPr>
          <w:rFonts w:hint="eastAsia" w:ascii="宋体" w:hAnsi="宋体"/>
          <w:b w:val="0"/>
          <w:bCs w:val="0"/>
          <w:sz w:val="24"/>
          <w:highlight w:val="none"/>
        </w:rPr>
      </w:pPr>
      <w:r>
        <w:rPr>
          <w:rFonts w:hint="eastAsia" w:ascii="宋体" w:hAnsi="宋体"/>
          <w:b w:val="0"/>
          <w:bCs w:val="0"/>
          <w:sz w:val="24"/>
          <w:highlight w:val="none"/>
        </w:rPr>
        <w:br w:type="page"/>
      </w:r>
    </w:p>
    <w:p>
      <w:pPr>
        <w:tabs>
          <w:tab w:val="left" w:pos="8640"/>
        </w:tabs>
        <w:spacing w:before="156" w:beforeLines="50" w:after="156" w:afterLines="50" w:line="440" w:lineRule="exact"/>
        <w:rPr>
          <w:rFonts w:hint="eastAsia" w:ascii="宋体" w:hAnsi="宋体"/>
          <w:b w:val="0"/>
          <w:bCs w:val="0"/>
          <w:sz w:val="24"/>
          <w:highlight w:val="none"/>
        </w:rPr>
        <w:sectPr>
          <w:footerReference r:id="rId14" w:type="default"/>
          <w:pgSz w:w="16838" w:h="11906" w:orient="landscape"/>
          <w:pgMar w:top="1531" w:right="1440" w:bottom="1531" w:left="1361" w:header="851" w:footer="992" w:gutter="0"/>
          <w:cols w:space="720" w:num="1"/>
          <w:docGrid w:type="linesAndChars" w:linePitch="312" w:charSpace="0"/>
        </w:sectPr>
      </w:pPr>
    </w:p>
    <w:p>
      <w:pPr>
        <w:rPr>
          <w:rFonts w:eastAsia="黑体"/>
          <w:sz w:val="30"/>
          <w:szCs w:val="30"/>
          <w:highlight w:val="none"/>
        </w:rPr>
      </w:pPr>
      <w:r>
        <w:rPr>
          <w:rFonts w:hint="eastAsia" w:eastAsia="黑体"/>
          <w:sz w:val="30"/>
          <w:szCs w:val="30"/>
          <w:highlight w:val="none"/>
        </w:rPr>
        <w:t>附件</w:t>
      </w:r>
      <w:r>
        <w:rPr>
          <w:rFonts w:hint="eastAsia" w:eastAsia="黑体"/>
          <w:sz w:val="30"/>
          <w:szCs w:val="30"/>
          <w:highlight w:val="none"/>
          <w:lang w:val="en-US" w:eastAsia="zh-CN"/>
        </w:rPr>
        <w:t>五</w:t>
      </w:r>
      <w:r>
        <w:rPr>
          <w:rFonts w:hint="eastAsia" w:eastAsia="黑体"/>
          <w:sz w:val="30"/>
          <w:szCs w:val="30"/>
          <w:highlight w:val="none"/>
        </w:rPr>
        <w:t>：</w:t>
      </w:r>
    </w:p>
    <w:p>
      <w:pPr>
        <w:jc w:val="center"/>
        <w:rPr>
          <w:rFonts w:hint="eastAsia" w:ascii="宋体" w:hAnsi="宋体"/>
          <w:sz w:val="30"/>
          <w:highlight w:val="none"/>
        </w:rPr>
      </w:pPr>
      <w:r>
        <w:rPr>
          <w:rFonts w:hint="eastAsia" w:ascii="宋体" w:hAnsi="宋体"/>
          <w:sz w:val="30"/>
          <w:highlight w:val="none"/>
        </w:rPr>
        <w:t>投标文件</w:t>
      </w:r>
      <w:r>
        <w:rPr>
          <w:rFonts w:hint="eastAsia" w:ascii="宋体" w:hAnsi="宋体"/>
          <w:b w:val="0"/>
          <w:bCs w:val="0"/>
          <w:sz w:val="30"/>
          <w:highlight w:val="none"/>
        </w:rPr>
        <w:t>商务</w:t>
      </w:r>
      <w:r>
        <w:rPr>
          <w:rFonts w:hint="eastAsia" w:ascii="宋体" w:hAnsi="宋体"/>
          <w:sz w:val="30"/>
          <w:highlight w:val="none"/>
        </w:rPr>
        <w:t>部分目录</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序号</w:t>
            </w:r>
          </w:p>
        </w:tc>
        <w:tc>
          <w:tcPr>
            <w:tcW w:w="5612" w:type="dxa"/>
            <w:noWrap w:val="0"/>
            <w:vAlign w:val="center"/>
          </w:tcPr>
          <w:p>
            <w:pPr>
              <w:jc w:val="center"/>
              <w:rPr>
                <w:rFonts w:hint="eastAsia" w:ascii="宋体" w:hAnsi="宋体"/>
                <w:szCs w:val="21"/>
                <w:highlight w:val="none"/>
              </w:rPr>
            </w:pPr>
            <w:r>
              <w:rPr>
                <w:rFonts w:hint="eastAsia" w:ascii="宋体" w:hAnsi="宋体"/>
                <w:szCs w:val="21"/>
                <w:highlight w:val="none"/>
              </w:rPr>
              <w:t>主要内容</w:t>
            </w:r>
          </w:p>
        </w:tc>
        <w:tc>
          <w:tcPr>
            <w:tcW w:w="2184"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rPr>
              <w:t>索引</w:t>
            </w:r>
            <w:r>
              <w:rPr>
                <w:rFonts w:hint="eastAsia" w:ascii="宋体" w:hAnsi="宋体"/>
                <w:szCs w:val="21"/>
                <w:highlight w:val="none"/>
                <w:lang w:eastAsia="zh-CN"/>
              </w:rPr>
              <w:t>（</w:t>
            </w:r>
            <w:r>
              <w:rPr>
                <w:rFonts w:hint="eastAsia" w:ascii="宋体" w:hAnsi="宋体"/>
                <w:szCs w:val="21"/>
                <w:highlight w:val="none"/>
                <w:lang w:val="en-US" w:eastAsia="zh-CN"/>
              </w:rPr>
              <w:t>页码</w:t>
            </w:r>
            <w:r>
              <w:rPr>
                <w:rFonts w:hint="eastAsia" w:ascii="宋体" w:hAnsi="宋体"/>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1</w:t>
            </w:r>
          </w:p>
        </w:tc>
        <w:tc>
          <w:tcPr>
            <w:tcW w:w="5612" w:type="dxa"/>
            <w:noWrap w:val="0"/>
            <w:vAlign w:val="center"/>
          </w:tcPr>
          <w:p>
            <w:pPr>
              <w:jc w:val="center"/>
              <w:rPr>
                <w:rFonts w:hint="eastAsia" w:ascii="宋体" w:hAnsi="宋体" w:eastAsia="宋体"/>
                <w:sz w:val="21"/>
                <w:szCs w:val="21"/>
                <w:highlight w:val="none"/>
                <w:lang w:eastAsia="zh-CN"/>
              </w:rPr>
            </w:pPr>
            <w:r>
              <w:rPr>
                <w:rFonts w:hint="eastAsia" w:ascii="宋体" w:hAnsi="宋体"/>
                <w:sz w:val="21"/>
                <w:szCs w:val="21"/>
                <w:highlight w:val="none"/>
              </w:rPr>
              <w:t>投标函</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2</w:t>
            </w:r>
          </w:p>
        </w:tc>
        <w:tc>
          <w:tcPr>
            <w:tcW w:w="5612" w:type="dxa"/>
            <w:noWrap w:val="0"/>
            <w:vAlign w:val="center"/>
          </w:tcPr>
          <w:p>
            <w:pPr>
              <w:jc w:val="center"/>
              <w:rPr>
                <w:rFonts w:hint="eastAsia" w:ascii="宋体" w:hAnsi="宋体"/>
                <w:sz w:val="21"/>
                <w:szCs w:val="21"/>
                <w:highlight w:val="none"/>
              </w:rPr>
            </w:pPr>
            <w:r>
              <w:rPr>
                <w:rFonts w:hint="eastAsia" w:ascii="宋体" w:hAnsi="宋体" w:eastAsia="宋体" w:cs="Times New Roman"/>
                <w:sz w:val="21"/>
                <w:szCs w:val="21"/>
                <w:highlight w:val="none"/>
              </w:rPr>
              <w:t>投标清单报价表</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eastAsia="zh-CN"/>
              </w:rPr>
            </w:pPr>
            <w:r>
              <w:rPr>
                <w:rFonts w:hint="eastAsia" w:ascii="宋体" w:hAnsi="宋体"/>
                <w:szCs w:val="21"/>
                <w:highlight w:val="none"/>
                <w:lang w:val="en-US" w:eastAsia="zh-CN"/>
              </w:rPr>
              <w:t>3</w:t>
            </w:r>
          </w:p>
        </w:tc>
        <w:tc>
          <w:tcPr>
            <w:tcW w:w="5612" w:type="dxa"/>
            <w:noWrap w:val="0"/>
            <w:vAlign w:val="center"/>
          </w:tcPr>
          <w:p>
            <w:pPr>
              <w:jc w:val="center"/>
              <w:rPr>
                <w:rFonts w:hint="eastAsia" w:ascii="宋体" w:hAnsi="宋体"/>
                <w:sz w:val="21"/>
                <w:szCs w:val="21"/>
                <w:highlight w:val="none"/>
              </w:rPr>
            </w:pPr>
            <w:r>
              <w:rPr>
                <w:rFonts w:hint="eastAsia" w:ascii="宋体" w:hAnsi="宋体"/>
                <w:sz w:val="21"/>
                <w:szCs w:val="21"/>
                <w:highlight w:val="none"/>
              </w:rPr>
              <w:t>投标人承诺函</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4</w:t>
            </w:r>
          </w:p>
        </w:tc>
        <w:tc>
          <w:tcPr>
            <w:tcW w:w="56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szCs w:val="21"/>
                <w:highlight w:val="none"/>
              </w:rPr>
            </w:pPr>
            <w:r>
              <w:rPr>
                <w:rFonts w:hint="eastAsia" w:ascii="宋体" w:hAnsi="宋体" w:eastAsia="宋体" w:cs="Times New Roman"/>
                <w:sz w:val="21"/>
                <w:szCs w:val="21"/>
                <w:highlight w:val="none"/>
                <w:lang w:val="en-US" w:eastAsia="zh-CN"/>
              </w:rPr>
              <w:t>商务偏离表</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highlight w:val="none"/>
                <w:lang w:val="en-US" w:eastAsia="zh-CN"/>
              </w:rPr>
            </w:pPr>
            <w:r>
              <w:rPr>
                <w:rFonts w:hint="eastAsia" w:ascii="宋体" w:hAnsi="宋体"/>
                <w:szCs w:val="21"/>
                <w:highlight w:val="none"/>
                <w:lang w:val="en-US" w:eastAsia="zh-CN"/>
              </w:rPr>
              <w:t>5</w:t>
            </w:r>
          </w:p>
        </w:tc>
        <w:tc>
          <w:tcPr>
            <w:tcW w:w="5612" w:type="dxa"/>
            <w:noWrap w:val="0"/>
            <w:vAlign w:val="center"/>
          </w:tcPr>
          <w:p>
            <w:pPr>
              <w:jc w:val="center"/>
              <w:rPr>
                <w:rFonts w:hint="eastAsia" w:ascii="宋体" w:hAnsi="宋体"/>
                <w:szCs w:val="21"/>
                <w:highlight w:val="none"/>
              </w:rPr>
            </w:pPr>
            <w:r>
              <w:rPr>
                <w:rFonts w:hint="eastAsia" w:ascii="宋体" w:hAnsi="宋体"/>
                <w:szCs w:val="21"/>
                <w:highlight w:val="none"/>
                <w:lang w:val="en-US" w:eastAsia="zh-CN"/>
              </w:rPr>
              <w:t>投标人认为需投递的其他材料</w:t>
            </w: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p>
        </w:tc>
        <w:tc>
          <w:tcPr>
            <w:tcW w:w="5612" w:type="dxa"/>
            <w:noWrap w:val="0"/>
            <w:vAlign w:val="center"/>
          </w:tcPr>
          <w:p>
            <w:pPr>
              <w:jc w:val="center"/>
              <w:rPr>
                <w:rFonts w:hint="eastAsia" w:ascii="宋体" w:hAnsi="宋体"/>
                <w:szCs w:val="21"/>
                <w:highlight w:val="none"/>
              </w:rPr>
            </w:pPr>
          </w:p>
        </w:tc>
        <w:tc>
          <w:tcPr>
            <w:tcW w:w="2184" w:type="dxa"/>
            <w:noWrap w:val="0"/>
            <w:vAlign w:val="center"/>
          </w:tcPr>
          <w:p>
            <w:pPr>
              <w:jc w:val="center"/>
              <w:rPr>
                <w:rFonts w:hint="eastAsia" w:ascii="宋体" w:hAnsi="宋体"/>
                <w:szCs w:val="21"/>
                <w:highlight w:val="none"/>
              </w:rPr>
            </w:pPr>
          </w:p>
        </w:tc>
      </w:tr>
    </w:tbl>
    <w:p>
      <w:pPr>
        <w:adjustRightInd w:val="0"/>
        <w:ind w:firstLine="420" w:firstLineChars="200"/>
        <w:rPr>
          <w:rFonts w:hint="eastAsia" w:ascii="宋体" w:hAnsi="宋体"/>
          <w:szCs w:val="21"/>
          <w:highlight w:val="none"/>
        </w:rPr>
      </w:pPr>
    </w:p>
    <w:p>
      <w:pPr>
        <w:pStyle w:val="2"/>
        <w:rPr>
          <w:rFonts w:hint="eastAsia"/>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adjustRightInd w:val="0"/>
        <w:ind w:firstLine="420" w:firstLineChars="200"/>
        <w:rPr>
          <w:rFonts w:hint="eastAsia" w:ascii="宋体" w:hAnsi="宋体"/>
          <w:szCs w:val="21"/>
          <w:highlight w:val="none"/>
        </w:rPr>
      </w:pPr>
    </w:p>
    <w:p>
      <w:pPr>
        <w:rPr>
          <w:rFonts w:hint="eastAsia" w:ascii="宋体" w:hAnsi="宋体" w:cs="宋体"/>
          <w:b/>
          <w:bCs/>
          <w:sz w:val="32"/>
          <w:szCs w:val="21"/>
          <w:highlight w:val="none"/>
        </w:rPr>
      </w:pPr>
      <w:r>
        <w:rPr>
          <w:rFonts w:hint="eastAsia" w:ascii="宋体" w:hAnsi="宋体" w:cs="宋体"/>
          <w:b/>
          <w:bCs/>
          <w:sz w:val="32"/>
          <w:szCs w:val="21"/>
          <w:highlight w:val="none"/>
        </w:rPr>
        <w:br w:type="page"/>
      </w:r>
    </w:p>
    <w:p>
      <w:pPr>
        <w:jc w:val="center"/>
        <w:rPr>
          <w:rFonts w:hint="eastAsia" w:ascii="宋体" w:hAnsi="宋体" w:cs="宋体"/>
          <w:b/>
          <w:bCs/>
          <w:sz w:val="32"/>
          <w:szCs w:val="21"/>
          <w:highlight w:val="none"/>
        </w:rPr>
      </w:pPr>
      <w:r>
        <w:rPr>
          <w:rFonts w:hint="eastAsia" w:ascii="宋体" w:hAnsi="宋体" w:cs="宋体"/>
          <w:b/>
          <w:bCs/>
          <w:sz w:val="32"/>
          <w:szCs w:val="21"/>
          <w:highlight w:val="none"/>
        </w:rPr>
        <w:t>投标函</w:t>
      </w:r>
    </w:p>
    <w:p>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cs="Times New Roman"/>
          <w:kern w:val="0"/>
          <w:szCs w:val="21"/>
          <w:highlight w:val="none"/>
          <w:u w:val="single"/>
          <w:lang w:val="en-US" w:eastAsia="zh-CN"/>
        </w:rPr>
        <w:t>中国重汽集团济南动力有限公司</w:t>
      </w:r>
    </w:p>
    <w:p>
      <w:pPr>
        <w:ind w:firstLine="645"/>
        <w:rPr>
          <w:rFonts w:hint="eastAsia" w:ascii="宋体" w:hAnsi="宋体"/>
          <w:highlight w:val="none"/>
        </w:rPr>
      </w:pPr>
      <w:r>
        <w:rPr>
          <w:rFonts w:hint="eastAsia" w:ascii="宋体" w:hAnsi="宋体"/>
          <w:highlight w:val="none"/>
        </w:rPr>
        <w:t>根据贵方为</w:t>
      </w:r>
      <w:r>
        <w:rPr>
          <w:rFonts w:hint="eastAsia" w:ascii="宋体" w:hAnsi="宋体"/>
          <w:highlight w:val="none"/>
          <w:lang w:val="en-US" w:eastAsia="zh-CN"/>
        </w:rPr>
        <w:t xml:space="preserve"> </w:t>
      </w:r>
      <w:r>
        <w:rPr>
          <w:rFonts w:hint="eastAsia" w:ascii="宋体" w:hAnsi="宋体"/>
          <w:highlight w:val="none"/>
          <w:u w:val="single"/>
          <w:lang w:val="en-US" w:eastAsia="zh-CN"/>
        </w:rPr>
        <w:t xml:space="preserve">                         </w:t>
      </w:r>
      <w:r>
        <w:rPr>
          <w:rFonts w:hint="eastAsia" w:ascii="宋体" w:hAnsi="宋体"/>
          <w:szCs w:val="21"/>
          <w:highlight w:val="none"/>
          <w:u w:val="single"/>
        </w:rPr>
        <w:t>(XX项目)</w:t>
      </w:r>
      <w:r>
        <w:rPr>
          <w:rFonts w:hint="eastAsia" w:ascii="宋体" w:hAnsi="宋体"/>
          <w:highlight w:val="none"/>
          <w:u w:val="single"/>
        </w:rPr>
        <w:t xml:space="preserve">  </w:t>
      </w:r>
      <w:r>
        <w:rPr>
          <w:rFonts w:hint="eastAsia" w:ascii="宋体" w:hAnsi="宋体"/>
          <w:highlight w:val="none"/>
        </w:rPr>
        <w:t>招标书，签字代表</w:t>
      </w:r>
      <w:r>
        <w:rPr>
          <w:rFonts w:hint="eastAsia" w:ascii="宋体" w:hAnsi="宋体"/>
          <w:highlight w:val="none"/>
          <w:u w:val="single"/>
        </w:rPr>
        <w:t xml:space="preserve">（全名、职务）           </w:t>
      </w:r>
      <w:r>
        <w:rPr>
          <w:rFonts w:hint="eastAsia" w:ascii="宋体" w:hAnsi="宋体"/>
          <w:highlight w:val="none"/>
        </w:rPr>
        <w:t>经正式授权并代表投标人</w:t>
      </w:r>
      <w:r>
        <w:rPr>
          <w:rFonts w:hint="eastAsia" w:ascii="宋体" w:hAnsi="宋体"/>
          <w:highlight w:val="none"/>
          <w:u w:val="single"/>
        </w:rPr>
        <w:t xml:space="preserve">（投标人名称、地址）              </w:t>
      </w:r>
      <w:r>
        <w:rPr>
          <w:rFonts w:hint="eastAsia" w:ascii="宋体" w:hAnsi="宋体"/>
          <w:highlight w:val="none"/>
        </w:rPr>
        <w:t>提交下述文件：</w:t>
      </w:r>
    </w:p>
    <w:p>
      <w:pPr>
        <w:ind w:firstLine="420" w:firstLineChars="200"/>
        <w:rPr>
          <w:rFonts w:hint="eastAsia" w:ascii="宋体" w:hAnsi="宋体"/>
          <w:highlight w:val="none"/>
        </w:rPr>
      </w:pPr>
      <w:r>
        <w:rPr>
          <w:rFonts w:hint="eastAsia" w:ascii="宋体" w:hAnsi="宋体"/>
          <w:highlight w:val="none"/>
        </w:rPr>
        <w:t>资格证明文件（正本1份）</w:t>
      </w:r>
    </w:p>
    <w:p>
      <w:pPr>
        <w:ind w:firstLine="420" w:firstLineChars="200"/>
        <w:rPr>
          <w:rFonts w:hint="eastAsia" w:ascii="宋体" w:hAnsi="宋体" w:eastAsia="宋体"/>
          <w:highlight w:val="none"/>
          <w:lang w:val="en-US" w:eastAsia="zh-CN"/>
        </w:rPr>
      </w:pPr>
      <w:r>
        <w:rPr>
          <w:rFonts w:hint="eastAsia" w:ascii="宋体" w:hAnsi="宋体"/>
          <w:highlight w:val="none"/>
          <w:lang w:val="en-US" w:eastAsia="zh-CN"/>
        </w:rPr>
        <w:t>开标一览表（正本1份）</w:t>
      </w:r>
    </w:p>
    <w:p>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1</w:t>
      </w:r>
      <w:r>
        <w:rPr>
          <w:rFonts w:hint="eastAsia" w:ascii="宋体" w:hAnsi="宋体"/>
          <w:highlight w:val="none"/>
        </w:rPr>
        <w:t>副）</w:t>
      </w:r>
    </w:p>
    <w:p>
      <w:pPr>
        <w:rPr>
          <w:rFonts w:hint="eastAsia" w:ascii="宋体" w:hAnsi="宋体"/>
          <w:highlight w:val="none"/>
        </w:rPr>
      </w:pPr>
      <w:r>
        <w:rPr>
          <w:rFonts w:hint="eastAsia" w:ascii="宋体" w:hAnsi="宋体"/>
          <w:highlight w:val="none"/>
        </w:rPr>
        <w:t>据此，签字代表宣布同意如下：</w:t>
      </w:r>
    </w:p>
    <w:p>
      <w:pPr>
        <w:ind w:firstLine="840" w:firstLineChars="400"/>
        <w:rPr>
          <w:rFonts w:hint="eastAsia" w:ascii="宋体" w:hAnsi="宋体"/>
          <w:highlight w:val="none"/>
        </w:rPr>
      </w:pPr>
    </w:p>
    <w:p>
      <w:pPr>
        <w:numPr>
          <w:ilvl w:val="0"/>
          <w:numId w:val="4"/>
        </w:numPr>
        <w:rPr>
          <w:rFonts w:hint="eastAsia" w:ascii="宋体" w:hAnsi="宋体"/>
          <w:highlight w:val="none"/>
        </w:rPr>
      </w:pPr>
      <w:r>
        <w:rPr>
          <w:rFonts w:hint="eastAsia" w:ascii="宋体" w:hAnsi="宋体"/>
          <w:highlight w:val="none"/>
        </w:rPr>
        <w:t>投标人将按招标文件的规定履行合同责任和义务。</w:t>
      </w:r>
    </w:p>
    <w:p>
      <w:pPr>
        <w:numPr>
          <w:ilvl w:val="0"/>
          <w:numId w:val="4"/>
        </w:numPr>
        <w:rPr>
          <w:rFonts w:hint="eastAsia" w:ascii="宋体" w:hAnsi="宋体"/>
          <w:highlight w:val="none"/>
        </w:rPr>
      </w:pPr>
      <w:r>
        <w:rPr>
          <w:rFonts w:hint="eastAsia" w:ascii="宋体" w:hAnsi="宋体"/>
          <w:highlight w:val="none"/>
        </w:rPr>
        <w:t>投标人已详细审查全部招标文件，包括修改文件（如有的话）以及全部参考资料和有关附件，我们完全理解并同意放弃对这方面有不明及误解的权利。</w:t>
      </w:r>
    </w:p>
    <w:p>
      <w:pPr>
        <w:numPr>
          <w:ilvl w:val="0"/>
          <w:numId w:val="4"/>
        </w:numPr>
        <w:rPr>
          <w:rFonts w:hint="eastAsia" w:ascii="宋体" w:hAnsi="宋体"/>
          <w:highlight w:val="none"/>
        </w:rPr>
      </w:pPr>
      <w:r>
        <w:rPr>
          <w:rFonts w:hint="eastAsia"/>
          <w:szCs w:val="21"/>
          <w:highlight w:val="none"/>
        </w:rPr>
        <w:t>投标有效期：自投标截止之日起至合同签署日一直有效</w:t>
      </w:r>
      <w:r>
        <w:rPr>
          <w:rFonts w:hint="eastAsia" w:ascii="宋体" w:hAnsi="宋体"/>
          <w:szCs w:val="21"/>
          <w:highlight w:val="none"/>
        </w:rPr>
        <w:t>。</w:t>
      </w:r>
    </w:p>
    <w:p>
      <w:pPr>
        <w:numPr>
          <w:ilvl w:val="0"/>
          <w:numId w:val="4"/>
        </w:numPr>
        <w:rPr>
          <w:rFonts w:hint="eastAsia" w:ascii="宋体" w:hAnsi="宋体"/>
          <w:highlight w:val="none"/>
        </w:rPr>
      </w:pPr>
      <w:r>
        <w:rPr>
          <w:rFonts w:hint="eastAsia" w:ascii="宋体" w:hAnsi="宋体"/>
          <w:highlight w:val="none"/>
        </w:rPr>
        <w:t>投标人同意提供贵方要求的可能与投标有关的一切数据和资料，完全理解贵方不一定要接受最低价的投标或收到的任何投标。</w:t>
      </w:r>
    </w:p>
    <w:p>
      <w:pPr>
        <w:numPr>
          <w:ilvl w:val="0"/>
          <w:numId w:val="4"/>
        </w:numPr>
        <w:rPr>
          <w:rFonts w:hint="eastAsia" w:ascii="宋体" w:hAnsi="宋体"/>
          <w:highlight w:val="none"/>
        </w:rPr>
      </w:pPr>
      <w:r>
        <w:rPr>
          <w:rFonts w:hint="eastAsia" w:ascii="宋体" w:hAnsi="宋体"/>
          <w:highlight w:val="none"/>
        </w:rPr>
        <w:t>投标人承诺所提供的所有数据和资料均真实有效，如存在虚报情况，投标人愿为此承担一切法律责任，并主动退出本项目竞标。</w:t>
      </w:r>
    </w:p>
    <w:p>
      <w:pPr>
        <w:numPr>
          <w:ilvl w:val="0"/>
          <w:numId w:val="4"/>
        </w:numPr>
        <w:rPr>
          <w:rFonts w:hint="eastAsia" w:ascii="宋体" w:hAnsi="宋体"/>
          <w:highlight w:val="none"/>
        </w:rPr>
      </w:pPr>
      <w:r>
        <w:rPr>
          <w:rFonts w:hint="eastAsia" w:ascii="宋体" w:hAnsi="宋体"/>
          <w:highlight w:val="none"/>
        </w:rPr>
        <w:t>与本投标有关的一切正式往来通讯请寄：</w:t>
      </w:r>
    </w:p>
    <w:p>
      <w:pPr>
        <w:ind w:left="795"/>
        <w:rPr>
          <w:rFonts w:hint="eastAsia" w:ascii="宋体" w:hAnsi="宋体"/>
          <w:highlight w:val="none"/>
        </w:rPr>
      </w:pPr>
      <w:r>
        <w:rPr>
          <w:rFonts w:hint="eastAsia" w:ascii="宋体" w:hAnsi="宋体"/>
          <w:highlight w:val="none"/>
        </w:rPr>
        <w:t>地址：                                   邮编：</w:t>
      </w:r>
    </w:p>
    <w:p>
      <w:pPr>
        <w:ind w:left="795"/>
        <w:rPr>
          <w:rFonts w:hint="eastAsia" w:ascii="宋体" w:hAnsi="宋体"/>
          <w:highlight w:val="none"/>
        </w:rPr>
      </w:pPr>
      <w:r>
        <w:rPr>
          <w:rFonts w:hint="eastAsia" w:ascii="宋体" w:hAnsi="宋体"/>
          <w:highlight w:val="none"/>
        </w:rPr>
        <w:t>电话：                                   传真：</w:t>
      </w:r>
    </w:p>
    <w:p>
      <w:pPr>
        <w:ind w:left="795"/>
        <w:rPr>
          <w:rFonts w:hint="eastAsia"/>
          <w:highlight w:val="none"/>
        </w:rPr>
      </w:pPr>
    </w:p>
    <w:p>
      <w:pPr>
        <w:ind w:left="795"/>
        <w:rPr>
          <w:rFonts w:hint="eastAsia"/>
          <w:highlight w:val="none"/>
        </w:rPr>
      </w:pPr>
    </w:p>
    <w:p>
      <w:pPr>
        <w:ind w:left="795"/>
        <w:rPr>
          <w:rFonts w:hint="eastAsia"/>
          <w:highlight w:val="none"/>
        </w:rPr>
      </w:pPr>
      <w:r>
        <w:rPr>
          <w:rFonts w:hint="eastAsia"/>
          <w:highlight w:val="none"/>
        </w:rPr>
        <w:t>投标人授权代表签字：                 职务：                 日期：</w:t>
      </w:r>
    </w:p>
    <w:p>
      <w:pPr>
        <w:ind w:left="795"/>
        <w:rPr>
          <w:rFonts w:hint="eastAsia"/>
          <w:highlight w:val="none"/>
        </w:rPr>
      </w:pPr>
      <w:r>
        <w:rPr>
          <w:rFonts w:hint="eastAsia"/>
          <w:highlight w:val="none"/>
        </w:rPr>
        <w:t>投标人授权代表姓名、职务：</w:t>
      </w:r>
    </w:p>
    <w:p>
      <w:pPr>
        <w:ind w:left="795"/>
        <w:rPr>
          <w:rFonts w:hint="eastAsia"/>
          <w:highlight w:val="none"/>
        </w:rPr>
      </w:pPr>
      <w:r>
        <w:rPr>
          <w:rFonts w:hint="eastAsia"/>
          <w:highlight w:val="none"/>
        </w:rPr>
        <w:t>投标人名称（及公章）：</w:t>
      </w:r>
    </w:p>
    <w:p>
      <w:pPr>
        <w:ind w:left="795"/>
        <w:rPr>
          <w:rFonts w:hint="eastAsia"/>
          <w:highlight w:val="none"/>
        </w:rPr>
      </w:pPr>
      <w:r>
        <w:rPr>
          <w:rFonts w:hint="eastAsia"/>
          <w:highlight w:val="none"/>
        </w:rPr>
        <w:t>日期：        年       月       日</w:t>
      </w:r>
    </w:p>
    <w:p>
      <w:pPr>
        <w:rPr>
          <w:rFonts w:hint="eastAsia" w:ascii="黑体" w:eastAsia="黑体"/>
          <w:sz w:val="30"/>
          <w:highlight w:val="none"/>
        </w:rPr>
      </w:pPr>
    </w:p>
    <w:p>
      <w:pPr>
        <w:rPr>
          <w:rFonts w:hint="eastAsia" w:ascii="黑体" w:eastAsia="黑体"/>
          <w:sz w:val="30"/>
          <w:highlight w:val="none"/>
        </w:rPr>
      </w:pPr>
    </w:p>
    <w:p>
      <w:pPr>
        <w:rPr>
          <w:rFonts w:hint="eastAsia" w:ascii="黑体" w:eastAsia="黑体"/>
          <w:sz w:val="30"/>
          <w:highlight w:val="none"/>
        </w:rPr>
      </w:pPr>
    </w:p>
    <w:p>
      <w:pPr>
        <w:rPr>
          <w:rFonts w:ascii="黑体" w:eastAsia="黑体"/>
          <w:sz w:val="30"/>
          <w:highlight w:val="none"/>
        </w:rPr>
      </w:pPr>
    </w:p>
    <w:p>
      <w:pPr>
        <w:rPr>
          <w:rFonts w:hint="eastAsia" w:ascii="黑体" w:eastAsia="黑体"/>
          <w:sz w:val="30"/>
          <w:highlight w:val="none"/>
        </w:rPr>
      </w:pPr>
    </w:p>
    <w:p>
      <w:pPr>
        <w:adjustRightInd w:val="0"/>
        <w:ind w:firstLine="420" w:firstLineChars="200"/>
        <w:rPr>
          <w:rFonts w:hint="eastAsia" w:ascii="宋体" w:hAnsi="宋体"/>
          <w:szCs w:val="21"/>
          <w:highlight w:val="none"/>
        </w:rPr>
        <w:sectPr>
          <w:pgSz w:w="11906" w:h="16838"/>
          <w:pgMar w:top="1440" w:right="1531" w:bottom="1361" w:left="1531" w:header="851" w:footer="992" w:gutter="0"/>
          <w:cols w:space="720" w:num="1"/>
          <w:docGrid w:linePitch="312" w:charSpace="0"/>
        </w:sectPr>
      </w:pPr>
    </w:p>
    <w:p>
      <w:pPr>
        <w:pStyle w:val="10"/>
        <w:ind w:firstLine="3534" w:firstLineChars="1100"/>
        <w:jc w:val="both"/>
        <w:rPr>
          <w:rFonts w:hAnsi="宋体"/>
          <w:b/>
          <w:sz w:val="32"/>
          <w:szCs w:val="32"/>
          <w:highlight w:val="none"/>
        </w:rPr>
      </w:pPr>
      <w:r>
        <w:rPr>
          <w:rFonts w:hint="eastAsia" w:hAnsi="宋体"/>
          <w:b/>
          <w:sz w:val="32"/>
          <w:szCs w:val="32"/>
          <w:highlight w:val="none"/>
        </w:rPr>
        <w:t>开标一览表</w:t>
      </w:r>
    </w:p>
    <w:tbl>
      <w:tblPr>
        <w:tblStyle w:val="1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noWrap w:val="0"/>
            <w:vAlign w:val="center"/>
          </w:tcPr>
          <w:p>
            <w:pPr>
              <w:pStyle w:val="10"/>
              <w:jc w:val="center"/>
              <w:rPr>
                <w:rFonts w:hint="eastAsia" w:hAnsi="宋体"/>
                <w:bCs/>
                <w:szCs w:val="21"/>
                <w:highlight w:val="none"/>
              </w:rPr>
            </w:pPr>
            <w:r>
              <w:rPr>
                <w:rFonts w:hint="eastAsia" w:hAnsi="宋体"/>
                <w:bCs/>
                <w:szCs w:val="21"/>
                <w:highlight w:val="none"/>
              </w:rPr>
              <w:t>项目名称</w:t>
            </w:r>
          </w:p>
        </w:tc>
        <w:tc>
          <w:tcPr>
            <w:tcW w:w="5100" w:type="dxa"/>
            <w:gridSpan w:val="4"/>
            <w:noWrap w:val="0"/>
            <w:vAlign w:val="center"/>
          </w:tcPr>
          <w:p>
            <w:pPr>
              <w:pStyle w:val="10"/>
              <w:jc w:val="center"/>
              <w:rPr>
                <w:rFonts w:hint="default" w:hAnsi="宋体" w:eastAsia="宋体"/>
                <w:bCs/>
                <w:szCs w:val="21"/>
                <w:highlight w:val="none"/>
                <w:lang w:val="en-US" w:eastAsia="zh-CN"/>
              </w:rPr>
            </w:pPr>
            <w:r>
              <w:rPr>
                <w:rFonts w:hint="eastAsia" w:hAnsi="宋体"/>
                <w:bCs/>
                <w:szCs w:val="21"/>
                <w:highlight w:val="none"/>
                <w:lang w:val="en-US" w:eastAsia="zh-CN"/>
              </w:rPr>
              <w:t>科技中心园区二层平台建设塑胶跑道项目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noWrap w:val="0"/>
            <w:vAlign w:val="center"/>
          </w:tcPr>
          <w:p>
            <w:pPr>
              <w:pStyle w:val="10"/>
              <w:jc w:val="center"/>
              <w:rPr>
                <w:rFonts w:hint="eastAsia" w:hAnsi="宋体"/>
                <w:bCs/>
                <w:szCs w:val="21"/>
                <w:highlight w:val="none"/>
              </w:rPr>
            </w:pPr>
            <w:r>
              <w:rPr>
                <w:rFonts w:hint="eastAsia" w:hAnsi="宋体"/>
                <w:bCs/>
                <w:szCs w:val="21"/>
                <w:highlight w:val="none"/>
              </w:rPr>
              <w:t>投标单位名称</w:t>
            </w:r>
          </w:p>
        </w:tc>
        <w:tc>
          <w:tcPr>
            <w:tcW w:w="5100" w:type="dxa"/>
            <w:gridSpan w:val="4"/>
            <w:noWrap w:val="0"/>
            <w:vAlign w:val="center"/>
          </w:tcPr>
          <w:p>
            <w:pPr>
              <w:pStyle w:val="10"/>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noWrap w:val="0"/>
            <w:vAlign w:val="center"/>
          </w:tcPr>
          <w:p>
            <w:pPr>
              <w:pStyle w:val="10"/>
              <w:jc w:val="center"/>
              <w:rPr>
                <w:rFonts w:hint="eastAsia" w:hAnsi="宋体" w:eastAsia="宋体"/>
                <w:bCs/>
                <w:szCs w:val="21"/>
                <w:highlight w:val="none"/>
                <w:lang w:eastAsia="zh-CN"/>
              </w:rPr>
            </w:pPr>
            <w:r>
              <w:rPr>
                <w:rFonts w:hint="eastAsia" w:hAnsi="宋体"/>
                <w:bCs/>
                <w:szCs w:val="21"/>
                <w:highlight w:val="none"/>
                <w:lang w:val="en-US" w:eastAsia="zh-CN"/>
              </w:rPr>
              <w:t>总</w:t>
            </w:r>
            <w:r>
              <w:rPr>
                <w:rFonts w:hint="eastAsia" w:hAnsi="宋体"/>
                <w:bCs/>
                <w:szCs w:val="21"/>
                <w:highlight w:val="none"/>
              </w:rPr>
              <w:t>报价</w:t>
            </w:r>
            <w:r>
              <w:rPr>
                <w:rFonts w:hint="eastAsia" w:hAnsi="宋体"/>
                <w:bCs/>
                <w:szCs w:val="21"/>
                <w:highlight w:val="none"/>
                <w:lang w:eastAsia="zh-CN"/>
              </w:rPr>
              <w:t>（</w:t>
            </w:r>
            <w:r>
              <w:rPr>
                <w:rFonts w:hint="eastAsia" w:hAnsi="宋体"/>
                <w:bCs/>
                <w:szCs w:val="21"/>
                <w:highlight w:val="none"/>
                <w:lang w:val="en-US" w:eastAsia="zh-CN"/>
              </w:rPr>
              <w:t>单位：万元，含税价</w:t>
            </w:r>
            <w:r>
              <w:rPr>
                <w:rFonts w:hint="eastAsia" w:hAnsi="宋体"/>
                <w:bCs/>
                <w:szCs w:val="21"/>
                <w:highlight w:val="none"/>
                <w:lang w:eastAsia="zh-CN"/>
              </w:rPr>
              <w:t>）</w:t>
            </w:r>
          </w:p>
        </w:tc>
        <w:tc>
          <w:tcPr>
            <w:tcW w:w="5100" w:type="dxa"/>
            <w:gridSpan w:val="4"/>
            <w:noWrap w:val="0"/>
            <w:vAlign w:val="center"/>
          </w:tcPr>
          <w:p>
            <w:pPr>
              <w:pStyle w:val="10"/>
              <w:jc w:val="both"/>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0"/>
              <w:jc w:val="center"/>
              <w:rPr>
                <w:rFonts w:hint="default" w:hAnsi="宋体" w:eastAsia="宋体"/>
                <w:bCs/>
                <w:szCs w:val="21"/>
                <w:highlight w:val="none"/>
                <w:lang w:val="en-US" w:eastAsia="zh-CN"/>
              </w:rPr>
            </w:pPr>
            <w:r>
              <w:rPr>
                <w:rFonts w:hint="eastAsia" w:hAnsi="宋体"/>
                <w:bCs/>
                <w:szCs w:val="21"/>
                <w:highlight w:val="none"/>
                <w:lang w:val="en-US" w:eastAsia="zh-CN"/>
              </w:rPr>
              <w:t>税率</w:t>
            </w:r>
          </w:p>
        </w:tc>
        <w:tc>
          <w:tcPr>
            <w:tcW w:w="5100" w:type="dxa"/>
            <w:gridSpan w:val="4"/>
            <w:noWrap w:val="0"/>
            <w:vAlign w:val="center"/>
          </w:tcPr>
          <w:p>
            <w:pPr>
              <w:pStyle w:val="10"/>
              <w:jc w:val="center"/>
              <w:rPr>
                <w:rFonts w:hint="default" w:hAnsi="宋体"/>
                <w:bCs/>
                <w:szCs w:val="21"/>
                <w:highlight w:val="none"/>
                <w:lang w:val="en-US" w:eastAsia="zh-CN"/>
              </w:rPr>
            </w:pPr>
            <w:r>
              <w:rPr>
                <w:rFonts w:hint="eastAsia" w:hAnsi="宋体"/>
                <w:bCs/>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0"/>
              <w:jc w:val="center"/>
              <w:rPr>
                <w:rFonts w:hint="eastAsia" w:hAnsi="宋体"/>
                <w:bCs/>
                <w:szCs w:val="21"/>
                <w:highlight w:val="none"/>
              </w:rPr>
            </w:pPr>
            <w:r>
              <w:rPr>
                <w:rFonts w:hint="eastAsia" w:hAnsi="宋体"/>
                <w:bCs/>
                <w:szCs w:val="21"/>
                <w:highlight w:val="none"/>
              </w:rPr>
              <w:t>质量目标</w:t>
            </w:r>
          </w:p>
        </w:tc>
        <w:tc>
          <w:tcPr>
            <w:tcW w:w="5100" w:type="dxa"/>
            <w:gridSpan w:val="4"/>
            <w:noWrap w:val="0"/>
            <w:vAlign w:val="center"/>
          </w:tcPr>
          <w:p>
            <w:pPr>
              <w:pStyle w:val="10"/>
              <w:rPr>
                <w:rFonts w:hint="default" w:hAnsi="宋体" w:eastAsia="宋体"/>
                <w:bCs/>
                <w:szCs w:val="21"/>
                <w:highlight w:val="none"/>
                <w:lang w:val="en-US" w:eastAsia="zh-CN"/>
              </w:rPr>
            </w:pPr>
            <w:r>
              <w:rPr>
                <w:rFonts w:hint="eastAsia" w:hAnsi="宋体"/>
                <w:bCs/>
                <w:szCs w:val="21"/>
                <w:highlight w:val="none"/>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0"/>
              <w:jc w:val="center"/>
              <w:rPr>
                <w:rFonts w:hint="eastAsia" w:hAnsi="宋体" w:eastAsia="宋体"/>
                <w:bCs/>
                <w:szCs w:val="21"/>
                <w:highlight w:val="none"/>
                <w:lang w:val="en-US" w:eastAsia="zh-CN"/>
              </w:rPr>
            </w:pPr>
            <w:r>
              <w:rPr>
                <w:rFonts w:hint="eastAsia" w:hAnsi="宋体"/>
                <w:bCs/>
                <w:szCs w:val="21"/>
                <w:highlight w:val="none"/>
                <w:lang w:val="en-US" w:eastAsia="zh-CN"/>
              </w:rPr>
              <w:t>工期</w:t>
            </w:r>
          </w:p>
        </w:tc>
        <w:tc>
          <w:tcPr>
            <w:tcW w:w="5100" w:type="dxa"/>
            <w:gridSpan w:val="4"/>
            <w:noWrap w:val="0"/>
            <w:vAlign w:val="center"/>
          </w:tcPr>
          <w:p>
            <w:pPr>
              <w:pStyle w:val="10"/>
              <w:jc w:val="center"/>
              <w:rPr>
                <w:rFonts w:hint="default" w:hAnsi="宋体" w:eastAsia="宋体"/>
                <w:bCs/>
                <w:szCs w:val="21"/>
                <w:highlight w:val="none"/>
                <w:lang w:val="en-US" w:eastAsia="zh-CN"/>
              </w:rPr>
            </w:pPr>
            <w:r>
              <w:rPr>
                <w:rFonts w:hint="eastAsia" w:hAnsi="宋体"/>
                <w:bCs/>
                <w:szCs w:val="21"/>
                <w:highlight w:val="none"/>
                <w:lang w:val="en-US" w:eastAsia="zh-CN"/>
              </w:rPr>
              <w:t>30个日历日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10"/>
              <w:jc w:val="center"/>
              <w:rPr>
                <w:rFonts w:hint="eastAsia" w:hAnsi="宋体" w:eastAsia="宋体"/>
                <w:bCs/>
                <w:szCs w:val="21"/>
                <w:highlight w:val="none"/>
                <w:lang w:val="en-US" w:eastAsia="zh-CN"/>
              </w:rPr>
            </w:pPr>
            <w:r>
              <w:rPr>
                <w:rFonts w:hint="eastAsia" w:hAnsi="宋体"/>
                <w:bCs/>
                <w:szCs w:val="21"/>
                <w:highlight w:val="none"/>
                <w:lang w:val="en-US" w:eastAsia="zh-CN"/>
              </w:rPr>
              <w:t>质量保修期</w:t>
            </w:r>
          </w:p>
        </w:tc>
        <w:tc>
          <w:tcPr>
            <w:tcW w:w="5100" w:type="dxa"/>
            <w:gridSpan w:val="4"/>
            <w:noWrap w:val="0"/>
            <w:vAlign w:val="center"/>
          </w:tcPr>
          <w:p>
            <w:pPr>
              <w:pStyle w:val="10"/>
              <w:jc w:val="center"/>
              <w:rPr>
                <w:rFonts w:hint="default" w:hAnsi="宋体" w:eastAsia="宋体"/>
                <w:bCs/>
                <w:szCs w:val="21"/>
                <w:highlight w:val="none"/>
                <w:lang w:val="en-US" w:eastAsia="zh-CN"/>
              </w:rPr>
            </w:pPr>
            <w:r>
              <w:rPr>
                <w:rFonts w:hint="eastAsia" w:hAnsi="宋体"/>
                <w:bCs/>
                <w:color w:val="auto"/>
                <w:szCs w:val="21"/>
                <w:highlight w:val="none"/>
                <w:lang w:val="en-US" w:eastAsia="zh-CN"/>
              </w:rPr>
              <w:t>贰年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noWrap w:val="0"/>
            <w:vAlign w:val="center"/>
          </w:tcPr>
          <w:p>
            <w:pPr>
              <w:pStyle w:val="10"/>
              <w:jc w:val="center"/>
              <w:rPr>
                <w:rFonts w:hint="eastAsia" w:hAnsi="宋体"/>
                <w:bCs/>
                <w:szCs w:val="21"/>
                <w:highlight w:val="none"/>
              </w:rPr>
            </w:pPr>
            <w:r>
              <w:rPr>
                <w:rFonts w:hint="eastAsia" w:hAnsi="宋体"/>
                <w:bCs/>
                <w:szCs w:val="21"/>
                <w:highlight w:val="none"/>
              </w:rPr>
              <w:t>项目经理</w:t>
            </w:r>
          </w:p>
        </w:tc>
        <w:tc>
          <w:tcPr>
            <w:tcW w:w="1008" w:type="dxa"/>
            <w:noWrap w:val="0"/>
            <w:vAlign w:val="center"/>
          </w:tcPr>
          <w:p>
            <w:pPr>
              <w:pStyle w:val="10"/>
              <w:jc w:val="center"/>
              <w:rPr>
                <w:rFonts w:hint="eastAsia" w:hAnsi="宋体"/>
                <w:bCs/>
                <w:szCs w:val="21"/>
                <w:highlight w:val="none"/>
              </w:rPr>
            </w:pPr>
            <w:r>
              <w:rPr>
                <w:rFonts w:hint="eastAsia" w:hAnsi="宋体"/>
                <w:bCs/>
                <w:szCs w:val="21"/>
                <w:highlight w:val="none"/>
              </w:rPr>
              <w:t>级别</w:t>
            </w:r>
          </w:p>
        </w:tc>
        <w:tc>
          <w:tcPr>
            <w:tcW w:w="1278" w:type="dxa"/>
            <w:noWrap w:val="0"/>
            <w:vAlign w:val="top"/>
          </w:tcPr>
          <w:p>
            <w:pPr>
              <w:pStyle w:val="10"/>
              <w:jc w:val="center"/>
              <w:rPr>
                <w:rFonts w:hint="eastAsia" w:hAnsi="宋体"/>
                <w:bCs/>
                <w:szCs w:val="21"/>
                <w:highlight w:val="none"/>
              </w:rPr>
            </w:pPr>
          </w:p>
        </w:tc>
        <w:tc>
          <w:tcPr>
            <w:tcW w:w="1098" w:type="dxa"/>
            <w:noWrap w:val="0"/>
            <w:vAlign w:val="center"/>
          </w:tcPr>
          <w:p>
            <w:pPr>
              <w:pStyle w:val="10"/>
              <w:jc w:val="center"/>
              <w:rPr>
                <w:rFonts w:hint="eastAsia" w:hAnsi="宋体"/>
                <w:bCs/>
                <w:szCs w:val="21"/>
                <w:highlight w:val="none"/>
              </w:rPr>
            </w:pPr>
            <w:r>
              <w:rPr>
                <w:rFonts w:hint="eastAsia" w:hAnsi="宋体"/>
                <w:bCs/>
                <w:szCs w:val="21"/>
                <w:highlight w:val="none"/>
              </w:rPr>
              <w:t>编号</w:t>
            </w:r>
          </w:p>
        </w:tc>
        <w:tc>
          <w:tcPr>
            <w:tcW w:w="1716" w:type="dxa"/>
            <w:noWrap w:val="0"/>
            <w:vAlign w:val="top"/>
          </w:tcPr>
          <w:p>
            <w:pPr>
              <w:pStyle w:val="10"/>
              <w:rPr>
                <w:rFonts w:hint="eastAsia"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noWrap w:val="0"/>
            <w:vAlign w:val="top"/>
          </w:tcPr>
          <w:p>
            <w:pPr>
              <w:pStyle w:val="10"/>
              <w:rPr>
                <w:rFonts w:hint="eastAsia" w:hAnsi="宋体"/>
                <w:bCs/>
                <w:szCs w:val="21"/>
                <w:highlight w:val="none"/>
              </w:rPr>
            </w:pPr>
            <w:r>
              <w:rPr>
                <w:rFonts w:hint="eastAsia" w:hAnsi="宋体"/>
                <w:bCs/>
                <w:szCs w:val="21"/>
                <w:highlight w:val="none"/>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noWrap w:val="0"/>
            <w:vAlign w:val="top"/>
          </w:tcPr>
          <w:p>
            <w:pPr>
              <w:pStyle w:val="10"/>
              <w:rPr>
                <w:rFonts w:hint="eastAsia"/>
                <w:highlight w:val="none"/>
                <w:lang w:val="en-US" w:eastAsia="zh-CN"/>
              </w:rPr>
            </w:pPr>
            <w:r>
              <w:rPr>
                <w:rFonts w:hint="eastAsia"/>
                <w:highlight w:val="none"/>
              </w:rPr>
              <w:t>本投标人完全认同招标文件的各项条款要求</w:t>
            </w:r>
            <w:r>
              <w:rPr>
                <w:rFonts w:hint="eastAsia"/>
                <w:highlight w:val="none"/>
                <w:lang w:eastAsia="zh-CN"/>
              </w:rPr>
              <w:t>：</w:t>
            </w:r>
          </w:p>
          <w:p>
            <w:pPr>
              <w:rPr>
                <w:rFonts w:hint="eastAsia"/>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noWrap w:val="0"/>
            <w:vAlign w:val="top"/>
          </w:tcPr>
          <w:p>
            <w:pPr>
              <w:pStyle w:val="10"/>
              <w:rPr>
                <w:rFonts w:hint="eastAsia" w:hAnsi="宋体"/>
                <w:bCs/>
                <w:szCs w:val="21"/>
                <w:highlight w:val="none"/>
              </w:rPr>
            </w:pPr>
            <w:r>
              <w:rPr>
                <w:rFonts w:hint="eastAsia" w:hAnsi="宋体"/>
                <w:bCs/>
                <w:szCs w:val="21"/>
                <w:highlight w:val="none"/>
              </w:rPr>
              <w:t>投标人确认（签字）：</w:t>
            </w:r>
          </w:p>
          <w:p>
            <w:pPr>
              <w:pStyle w:val="10"/>
              <w:rPr>
                <w:rFonts w:hint="eastAsia" w:hAnsi="宋体"/>
                <w:bCs/>
                <w:szCs w:val="21"/>
                <w:highlight w:val="none"/>
              </w:rPr>
            </w:pPr>
          </w:p>
        </w:tc>
      </w:tr>
    </w:tbl>
    <w:p>
      <w:pPr>
        <w:pStyle w:val="10"/>
        <w:rPr>
          <w:rFonts w:hint="eastAsia" w:hAnsi="宋体"/>
          <w:bCs/>
          <w:szCs w:val="21"/>
          <w:highlight w:val="none"/>
        </w:rPr>
      </w:pPr>
    </w:p>
    <w:p>
      <w:pPr>
        <w:pStyle w:val="10"/>
        <w:rPr>
          <w:rFonts w:hint="eastAsia" w:hAnsi="宋体"/>
          <w:bCs/>
          <w:szCs w:val="21"/>
          <w:highlight w:val="none"/>
        </w:rPr>
      </w:pPr>
      <w:r>
        <w:rPr>
          <w:rFonts w:hint="eastAsia" w:hAnsi="宋体"/>
          <w:bCs/>
          <w:szCs w:val="21"/>
          <w:highlight w:val="none"/>
        </w:rPr>
        <w:t>投标人：（盖章）                            法定代表人：（签字盖章）</w:t>
      </w:r>
    </w:p>
    <w:p>
      <w:pPr>
        <w:pStyle w:val="10"/>
        <w:rPr>
          <w:rFonts w:hint="eastAsia" w:hAnsi="宋体"/>
          <w:bCs/>
          <w:szCs w:val="21"/>
          <w:highlight w:val="none"/>
        </w:rPr>
      </w:pPr>
    </w:p>
    <w:p>
      <w:pPr>
        <w:pStyle w:val="10"/>
        <w:rPr>
          <w:rFonts w:hint="eastAsia" w:hAnsi="宋体"/>
          <w:bCs/>
          <w:szCs w:val="21"/>
          <w:highlight w:val="none"/>
        </w:rPr>
      </w:pPr>
      <w:r>
        <w:rPr>
          <w:rFonts w:hint="eastAsia" w:hAnsi="宋体"/>
          <w:bCs/>
          <w:szCs w:val="21"/>
          <w:highlight w:val="none"/>
        </w:rPr>
        <w:t xml:space="preserve">                                               年          月          日</w:t>
      </w:r>
    </w:p>
    <w:p>
      <w:pPr>
        <w:adjustRightInd w:val="0"/>
        <w:spacing w:line="500" w:lineRule="exact"/>
        <w:ind w:firstLine="482" w:firstLineChars="200"/>
        <w:rPr>
          <w:rFonts w:ascii="宋体" w:hAnsi="宋体"/>
          <w:b/>
          <w:bCs/>
          <w:sz w:val="24"/>
          <w:szCs w:val="24"/>
          <w:highlight w:val="none"/>
        </w:rPr>
      </w:pPr>
    </w:p>
    <w:p>
      <w:pPr>
        <w:adjustRightInd w:val="0"/>
        <w:spacing w:line="500" w:lineRule="exact"/>
        <w:ind w:firstLine="482" w:firstLineChars="200"/>
        <w:rPr>
          <w:rFonts w:ascii="宋体" w:hAnsi="宋体"/>
          <w:b/>
          <w:bCs/>
          <w:sz w:val="24"/>
          <w:szCs w:val="24"/>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b/>
          <w:szCs w:val="21"/>
          <w:highlight w:val="none"/>
        </w:rPr>
        <w:t>注：</w:t>
      </w:r>
      <w:r>
        <w:rPr>
          <w:rFonts w:hint="eastAsia" w:ascii="宋体" w:hAnsi="宋体"/>
          <w:szCs w:val="21"/>
          <w:highlight w:val="none"/>
        </w:rPr>
        <w:t>1.本表填写投标文件主要内容，以用于开标宣读。</w:t>
      </w:r>
    </w:p>
    <w:p>
      <w:pPr>
        <w:ind w:firstLine="480"/>
        <w:rPr>
          <w:rFonts w:hint="eastAsia" w:ascii="宋体" w:hAnsi="宋体"/>
          <w:szCs w:val="21"/>
          <w:highlight w:val="none"/>
        </w:rPr>
      </w:pPr>
      <w:r>
        <w:rPr>
          <w:rFonts w:hint="eastAsia" w:ascii="宋体" w:hAnsi="宋体"/>
          <w:szCs w:val="21"/>
          <w:highlight w:val="none"/>
        </w:rPr>
        <w:t>2．“索引”一栏填写该主要内容对应于投标文件的“条款号/页号”。</w:t>
      </w:r>
    </w:p>
    <w:p>
      <w:pPr>
        <w:jc w:val="center"/>
        <w:rPr>
          <w:rFonts w:hint="eastAsia" w:eastAsia="黑体"/>
          <w:sz w:val="30"/>
          <w:szCs w:val="30"/>
          <w:highlight w:val="none"/>
        </w:rPr>
      </w:pPr>
      <w:r>
        <w:rPr>
          <w:rFonts w:ascii="宋体" w:hAnsi="宋体"/>
          <w:sz w:val="24"/>
          <w:highlight w:val="none"/>
        </w:rPr>
        <w:br w:type="page"/>
      </w:r>
      <w:r>
        <w:rPr>
          <w:rFonts w:hint="eastAsia" w:eastAsia="黑体"/>
          <w:sz w:val="30"/>
          <w:szCs w:val="30"/>
          <w:highlight w:val="none"/>
        </w:rPr>
        <w:t>投标清单报价表</w:t>
      </w:r>
    </w:p>
    <w:tbl>
      <w:tblPr>
        <w:tblStyle w:val="18"/>
        <w:tblpPr w:leftFromText="180" w:rightFromText="180" w:vertAnchor="text" w:horzAnchor="page" w:tblpX="1290" w:tblpY="154"/>
        <w:tblOverlap w:val="never"/>
        <w:tblW w:w="95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1"/>
        <w:gridCol w:w="1751"/>
        <w:gridCol w:w="2843"/>
        <w:gridCol w:w="779"/>
        <w:gridCol w:w="794"/>
        <w:gridCol w:w="1088"/>
        <w:gridCol w:w="927"/>
        <w:gridCol w:w="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序号</w:t>
            </w:r>
          </w:p>
        </w:tc>
        <w:tc>
          <w:tcPr>
            <w:tcW w:w="17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名称</w:t>
            </w:r>
          </w:p>
        </w:tc>
        <w:tc>
          <w:tcPr>
            <w:tcW w:w="28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rPr>
            </w:pPr>
            <w:r>
              <w:rPr>
                <w:rFonts w:hint="eastAsia" w:ascii="宋体" w:hAnsi="宋体" w:eastAsia="宋体" w:cs="宋体"/>
                <w:i w:val="0"/>
                <w:iCs w:val="0"/>
                <w:color w:val="000000"/>
                <w:kern w:val="0"/>
                <w:sz w:val="21"/>
                <w:szCs w:val="21"/>
                <w:highlight w:val="none"/>
                <w:u w:val="none"/>
                <w:lang w:val="en-US" w:eastAsia="zh-CN" w:bidi="ar"/>
              </w:rPr>
              <w:t>项目描述</w:t>
            </w:r>
          </w:p>
        </w:tc>
        <w:tc>
          <w:tcPr>
            <w:tcW w:w="7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单位</w:t>
            </w:r>
          </w:p>
        </w:tc>
        <w:tc>
          <w:tcPr>
            <w:tcW w:w="7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数量</w:t>
            </w:r>
          </w:p>
        </w:tc>
        <w:tc>
          <w:tcPr>
            <w:tcW w:w="10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综合单价</w:t>
            </w:r>
          </w:p>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（元）</w:t>
            </w:r>
          </w:p>
        </w:tc>
        <w:tc>
          <w:tcPr>
            <w:tcW w:w="92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highlight w:val="none"/>
                <w:lang w:val="en-US" w:eastAsia="zh-CN"/>
              </w:rPr>
            </w:pPr>
            <w:r>
              <w:rPr>
                <w:rFonts w:hint="eastAsia"/>
                <w:highlight w:val="none"/>
                <w:lang w:val="en-US" w:eastAsia="zh-CN"/>
              </w:rPr>
              <w:t>合计</w:t>
            </w:r>
          </w:p>
          <w:p>
            <w:pPr>
              <w:keepNext w:val="0"/>
              <w:keepLines w:val="0"/>
              <w:widowControl/>
              <w:suppressLineNumbers w:val="0"/>
              <w:jc w:val="center"/>
              <w:textAlignment w:val="center"/>
              <w:rPr>
                <w:rFonts w:hint="eastAsia"/>
                <w:highlight w:val="none"/>
              </w:rPr>
            </w:pPr>
            <w:r>
              <w:rPr>
                <w:rFonts w:hint="eastAsia" w:ascii="宋体" w:hAnsi="宋体" w:eastAsia="宋体" w:cs="宋体"/>
                <w:i w:val="0"/>
                <w:iCs w:val="0"/>
                <w:color w:val="000000"/>
                <w:kern w:val="0"/>
                <w:sz w:val="21"/>
                <w:szCs w:val="21"/>
                <w:highlight w:val="none"/>
                <w:u w:val="none"/>
                <w:lang w:val="en-US" w:eastAsia="zh-CN" w:bidi="ar"/>
              </w:rPr>
              <w:t>（元）</w:t>
            </w:r>
          </w:p>
        </w:tc>
        <w:tc>
          <w:tcPr>
            <w:tcW w:w="84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trPr>
        <w:tc>
          <w:tcPr>
            <w:tcW w:w="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1</w:t>
            </w:r>
          </w:p>
        </w:tc>
        <w:tc>
          <w:tcPr>
            <w:tcW w:w="17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花</w:t>
            </w:r>
            <w:r>
              <w:rPr>
                <w:rFonts w:hint="eastAsia" w:ascii="宋体" w:hAnsi="宋体" w:cs="宋体"/>
                <w:i w:val="0"/>
                <w:iCs w:val="0"/>
                <w:color w:val="000000"/>
                <w:kern w:val="0"/>
                <w:sz w:val="22"/>
                <w:szCs w:val="22"/>
                <w:highlight w:val="none"/>
                <w:u w:val="none"/>
                <w:lang w:val="en-US" w:eastAsia="zh-CN" w:bidi="ar"/>
              </w:rPr>
              <w:t>砖</w:t>
            </w:r>
            <w:r>
              <w:rPr>
                <w:rFonts w:hint="eastAsia" w:ascii="宋体" w:hAnsi="宋体" w:eastAsia="宋体" w:cs="宋体"/>
                <w:i w:val="0"/>
                <w:iCs w:val="0"/>
                <w:color w:val="000000"/>
                <w:kern w:val="0"/>
                <w:sz w:val="22"/>
                <w:szCs w:val="22"/>
                <w:highlight w:val="none"/>
                <w:u w:val="none"/>
                <w:lang w:val="en-US" w:eastAsia="zh-CN" w:bidi="ar"/>
              </w:rPr>
              <w:t>拆卸清理</w:t>
            </w:r>
          </w:p>
        </w:tc>
        <w:tc>
          <w:tcPr>
            <w:tcW w:w="2843" w:type="dxa"/>
            <w:tcBorders>
              <w:top w:val="single" w:color="000000" w:sz="4" w:space="0"/>
              <w:left w:val="single" w:color="000000" w:sz="4" w:space="0"/>
              <w:bottom w:val="single" w:color="000000" w:sz="4" w:space="0"/>
              <w:right w:val="single" w:color="000000" w:sz="4" w:space="0"/>
            </w:tcBorders>
            <w:noWrap w:val="0"/>
            <w:vAlign w:val="center"/>
          </w:tcPr>
          <w:p>
            <w:pPr>
              <w:pStyle w:val="2"/>
              <w:ind w:left="0" w:leftChars="0" w:firstLine="0" w:firstLineChars="0"/>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1、沿2.5m宽度花砖人工拆除，总长度约430m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2、花砖外运</w:t>
            </w:r>
          </w:p>
        </w:tc>
        <w:tc>
          <w:tcPr>
            <w:tcW w:w="7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w:t>
            </w:r>
          </w:p>
        </w:tc>
        <w:tc>
          <w:tcPr>
            <w:tcW w:w="7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1075</w:t>
            </w:r>
          </w:p>
        </w:tc>
        <w:tc>
          <w:tcPr>
            <w:tcW w:w="10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92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c>
          <w:tcPr>
            <w:tcW w:w="84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wordWrap w:val="0"/>
              <w:jc w:val="both"/>
              <w:textAlignment w:val="center"/>
              <w:rPr>
                <w:rFonts w:hint="eastAsia" w:ascii="宋体" w:hAnsi="宋体" w:eastAsia="宋体" w:cs="宋体"/>
                <w:i w:val="0"/>
                <w:iCs w:val="0"/>
                <w:color w:val="000000"/>
                <w:sz w:val="21"/>
                <w:szCs w:val="21"/>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trPr>
        <w:tc>
          <w:tcPr>
            <w:tcW w:w="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sz w:val="21"/>
                <w:szCs w:val="21"/>
                <w:highlight w:val="none"/>
                <w:u w:val="none"/>
                <w:lang w:val="en-US" w:eastAsia="zh-CN"/>
              </w:rPr>
              <w:t>2</w:t>
            </w:r>
          </w:p>
        </w:tc>
        <w:tc>
          <w:tcPr>
            <w:tcW w:w="17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基础处理</w:t>
            </w:r>
          </w:p>
        </w:tc>
        <w:tc>
          <w:tcPr>
            <w:tcW w:w="2843" w:type="dxa"/>
            <w:tcBorders>
              <w:top w:val="single" w:color="000000" w:sz="4" w:space="0"/>
              <w:left w:val="single" w:color="000000" w:sz="4" w:space="0"/>
              <w:bottom w:val="single" w:color="000000" w:sz="4" w:space="0"/>
              <w:right w:val="single" w:color="000000" w:sz="4" w:space="0"/>
            </w:tcBorders>
            <w:noWrap/>
            <w:vAlign w:val="center"/>
          </w:tcPr>
          <w:p>
            <w:pPr>
              <w:pStyle w:val="2"/>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1、地基清理淤泥</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2、打磨不平整处</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3、冲洗干净</w:t>
            </w:r>
          </w:p>
        </w:tc>
        <w:tc>
          <w:tcPr>
            <w:tcW w:w="7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w:t>
            </w:r>
          </w:p>
        </w:tc>
        <w:tc>
          <w:tcPr>
            <w:tcW w:w="7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1075</w:t>
            </w:r>
          </w:p>
        </w:tc>
        <w:tc>
          <w:tcPr>
            <w:tcW w:w="10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92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c>
          <w:tcPr>
            <w:tcW w:w="84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3</w:t>
            </w:r>
          </w:p>
        </w:tc>
        <w:tc>
          <w:tcPr>
            <w:tcW w:w="17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摊铺4公分中细式沥青砼</w:t>
            </w:r>
          </w:p>
        </w:tc>
        <w:tc>
          <w:tcPr>
            <w:tcW w:w="2843" w:type="dxa"/>
            <w:tcBorders>
              <w:top w:val="single" w:color="000000" w:sz="4" w:space="0"/>
              <w:left w:val="single" w:color="000000" w:sz="4" w:space="0"/>
              <w:bottom w:val="single" w:color="000000" w:sz="4" w:space="0"/>
              <w:right w:val="single" w:color="000000" w:sz="4" w:space="0"/>
            </w:tcBorders>
            <w:noWrap/>
            <w:vAlign w:val="center"/>
          </w:tcPr>
          <w:p>
            <w:pPr>
              <w:pStyle w:val="2"/>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1、撒布透层油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2、普通热拌沥青，粒径5-15mm，厚度40mm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3、沥青内高外低，3‰找坡</w:t>
            </w:r>
          </w:p>
        </w:tc>
        <w:tc>
          <w:tcPr>
            <w:tcW w:w="7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w:t>
            </w:r>
          </w:p>
        </w:tc>
        <w:tc>
          <w:tcPr>
            <w:tcW w:w="7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1075</w:t>
            </w:r>
          </w:p>
        </w:tc>
        <w:tc>
          <w:tcPr>
            <w:tcW w:w="10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92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c>
          <w:tcPr>
            <w:tcW w:w="84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4</w:t>
            </w:r>
          </w:p>
        </w:tc>
        <w:tc>
          <w:tcPr>
            <w:tcW w:w="17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kern w:val="0"/>
                <w:sz w:val="22"/>
                <w:szCs w:val="22"/>
                <w:highlight w:val="none"/>
                <w:u w:val="none"/>
                <w:lang w:val="en-US" w:eastAsia="zh-CN" w:bidi="ar"/>
              </w:rPr>
              <w:t>红色</w:t>
            </w:r>
            <w:r>
              <w:rPr>
                <w:rFonts w:hint="eastAsia" w:ascii="宋体" w:hAnsi="宋体" w:eastAsia="宋体" w:cs="宋体"/>
                <w:i w:val="0"/>
                <w:iCs w:val="0"/>
                <w:color w:val="000000"/>
                <w:kern w:val="0"/>
                <w:sz w:val="22"/>
                <w:szCs w:val="22"/>
                <w:highlight w:val="none"/>
                <w:u w:val="none"/>
                <w:lang w:val="en-US" w:eastAsia="zh-CN" w:bidi="ar"/>
              </w:rPr>
              <w:t>聚氮酯塑胶面层13mm</w:t>
            </w:r>
          </w:p>
        </w:tc>
        <w:tc>
          <w:tcPr>
            <w:tcW w:w="2843" w:type="dxa"/>
            <w:tcBorders>
              <w:top w:val="single" w:color="000000" w:sz="4" w:space="0"/>
              <w:left w:val="single" w:color="000000" w:sz="4" w:space="0"/>
              <w:bottom w:val="single" w:color="000000" w:sz="4" w:space="0"/>
              <w:right w:val="single" w:color="000000" w:sz="4" w:space="0"/>
            </w:tcBorders>
            <w:noWrap/>
            <w:vAlign w:val="center"/>
          </w:tcPr>
          <w:p>
            <w:pPr>
              <w:pStyle w:val="2"/>
              <w:ind w:left="0" w:leftChars="0" w:firstLine="0" w:firstLineChars="0"/>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1、8毫米环保PU花颗粒打底：PU花颗粒按照1公斤胶水 ：7.5公斤花颗粒搅拌摊铺，用量5.3公斤/平方米</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2、5毫米epdm颗粒面层：</w:t>
            </w:r>
          </w:p>
          <w:p>
            <w:pPr>
              <w:pStyle w:val="2"/>
              <w:ind w:left="0" w:leftChars="0" w:firstLine="0" w:firstLineChars="0"/>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聚氨酯胶水1：5.5EPDM橡胶颗粒，搅拌均匀并摊铺，用量6公斤/平方</w:t>
            </w:r>
          </w:p>
          <w:p>
            <w:pPr>
              <w:pStyle w:val="2"/>
              <w:ind w:left="0" w:leftChars="0" w:firstLine="0" w:firstLineChars="0"/>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r>
              <w:rPr>
                <w:rFonts w:hint="default" w:ascii="宋体" w:hAnsi="宋体" w:eastAsia="宋体" w:cs="宋体"/>
                <w:i w:val="0"/>
                <w:iCs w:val="0"/>
                <w:color w:val="000000"/>
                <w:kern w:val="0"/>
                <w:sz w:val="22"/>
                <w:szCs w:val="22"/>
                <w:highlight w:val="none"/>
                <w:u w:val="none"/>
                <w:lang w:val="en-US" w:eastAsia="zh-CN" w:bidi="ar"/>
              </w:rPr>
              <w:t>胶水品牌:湖南优冠.淄博一诺威，美国陶氏</w:t>
            </w:r>
            <w:r>
              <w:rPr>
                <w:rFonts w:hint="eastAsia" w:ascii="宋体" w:hAnsi="宋体" w:eastAsia="宋体" w:cs="宋体"/>
                <w:i w:val="0"/>
                <w:iCs w:val="0"/>
                <w:color w:val="000000"/>
                <w:kern w:val="0"/>
                <w:sz w:val="22"/>
                <w:szCs w:val="22"/>
                <w:highlight w:val="none"/>
                <w:u w:val="none"/>
                <w:lang w:val="en-US" w:eastAsia="zh-CN" w:bidi="ar"/>
              </w:rPr>
              <w:t>、河北鑫亿康，德州万晟、淄博世纪联合等</w:t>
            </w:r>
          </w:p>
          <w:p>
            <w:pPr>
              <w:pStyle w:val="2"/>
              <w:ind w:left="0" w:leftChars="0" w:firstLine="0" w:firstLineChars="0"/>
              <w:rPr>
                <w:rFonts w:hint="default"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4、颗粒品牌:鑫旺，奥祥，川奥、河北鑫亿康，德州万晟、江苏飞鸿，创特等</w:t>
            </w:r>
          </w:p>
        </w:tc>
        <w:tc>
          <w:tcPr>
            <w:tcW w:w="7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w:t>
            </w:r>
          </w:p>
        </w:tc>
        <w:tc>
          <w:tcPr>
            <w:tcW w:w="7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1075</w:t>
            </w:r>
          </w:p>
        </w:tc>
        <w:tc>
          <w:tcPr>
            <w:tcW w:w="10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92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c>
          <w:tcPr>
            <w:tcW w:w="84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5</w:t>
            </w:r>
          </w:p>
        </w:tc>
        <w:tc>
          <w:tcPr>
            <w:tcW w:w="17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跑道外侧安装不锈钢隔离带</w:t>
            </w:r>
          </w:p>
        </w:tc>
        <w:tc>
          <w:tcPr>
            <w:tcW w:w="284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1、不锈钢草石隔离带</w:t>
            </w:r>
          </w:p>
          <w:p>
            <w:pPr>
              <w:pStyle w:val="2"/>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2"/>
                <w:szCs w:val="22"/>
                <w:u w:val="none"/>
                <w:lang w:val="en-US" w:eastAsia="zh-CN" w:bidi="ar"/>
              </w:rPr>
              <w:t>2、304不锈钢，厚度1mm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3、L型，高度50mm</w:t>
            </w:r>
          </w:p>
        </w:tc>
        <w:tc>
          <w:tcPr>
            <w:tcW w:w="7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米</w:t>
            </w:r>
          </w:p>
        </w:tc>
        <w:tc>
          <w:tcPr>
            <w:tcW w:w="7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430</w:t>
            </w:r>
          </w:p>
        </w:tc>
        <w:tc>
          <w:tcPr>
            <w:tcW w:w="10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92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c>
          <w:tcPr>
            <w:tcW w:w="84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53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1"/>
                <w:szCs w:val="21"/>
                <w:highlight w:val="none"/>
                <w:u w:val="none"/>
                <w:lang w:val="en-US" w:eastAsia="zh-CN"/>
              </w:rPr>
            </w:pPr>
            <w:r>
              <w:rPr>
                <w:rFonts w:hint="eastAsia" w:ascii="宋体" w:hAnsi="宋体" w:cs="宋体"/>
                <w:i w:val="0"/>
                <w:iCs w:val="0"/>
                <w:color w:val="000000"/>
                <w:sz w:val="21"/>
                <w:szCs w:val="21"/>
                <w:highlight w:val="none"/>
                <w:u w:val="none"/>
                <w:lang w:val="en-US" w:eastAsia="zh-CN"/>
              </w:rPr>
              <w:t>6</w:t>
            </w:r>
          </w:p>
        </w:tc>
        <w:tc>
          <w:tcPr>
            <w:tcW w:w="175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两侧施划白线</w:t>
            </w:r>
            <w:r>
              <w:rPr>
                <w:rFonts w:hint="eastAsia" w:ascii="宋体" w:hAnsi="宋体" w:eastAsia="宋体" w:cs="宋体"/>
                <w:i w:val="0"/>
                <w:iCs w:val="0"/>
                <w:color w:val="000000"/>
                <w:kern w:val="0"/>
                <w:sz w:val="22"/>
                <w:szCs w:val="22"/>
                <w:highlight w:val="none"/>
                <w:u w:val="none"/>
                <w:lang w:val="en-US" w:eastAsia="zh-CN" w:bidi="ar"/>
              </w:rPr>
              <w:br w:type="textWrapping"/>
            </w:r>
          </w:p>
        </w:tc>
        <w:tc>
          <w:tcPr>
            <w:tcW w:w="2843" w:type="dxa"/>
            <w:tcBorders>
              <w:top w:val="single" w:color="000000" w:sz="4" w:space="0"/>
              <w:left w:val="single" w:color="000000" w:sz="4" w:space="0"/>
              <w:bottom w:val="single" w:color="000000" w:sz="4" w:space="0"/>
              <w:right w:val="single" w:color="000000" w:sz="4" w:space="0"/>
            </w:tcBorders>
            <w:noWrap/>
            <w:vAlign w:val="center"/>
          </w:tcPr>
          <w:p>
            <w:pPr>
              <w:pStyle w:val="2"/>
              <w:ind w:left="0" w:leftChars="0" w:firstLine="0" w:firstLineChars="0"/>
              <w:rPr>
                <w:rFonts w:hint="eastAsia" w:ascii="宋体" w:hAnsi="宋体" w:eastAsia="宋体" w:cs="宋体"/>
                <w:sz w:val="21"/>
                <w:szCs w:val="21"/>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1、油漆材质：聚氨酯漆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2、白线宽度：50mm</w:t>
            </w:r>
          </w:p>
        </w:tc>
        <w:tc>
          <w:tcPr>
            <w:tcW w:w="77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米</w:t>
            </w:r>
          </w:p>
        </w:tc>
        <w:tc>
          <w:tcPr>
            <w:tcW w:w="79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1"/>
                <w:szCs w:val="21"/>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860</w:t>
            </w:r>
          </w:p>
        </w:tc>
        <w:tc>
          <w:tcPr>
            <w:tcW w:w="108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927" w:type="dxa"/>
            <w:tcBorders>
              <w:top w:val="single" w:color="000000" w:sz="4" w:space="0"/>
              <w:left w:val="single" w:color="000000" w:sz="4" w:space="0"/>
              <w:bottom w:val="single" w:color="000000" w:sz="4" w:space="0"/>
              <w:right w:val="single" w:color="auto"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c>
          <w:tcPr>
            <w:tcW w:w="842" w:type="dxa"/>
            <w:tcBorders>
              <w:top w:val="single" w:color="000000" w:sz="4" w:space="0"/>
              <w:left w:val="single" w:color="auto" w:sz="4" w:space="0"/>
              <w:bottom w:val="single" w:color="000000" w:sz="4" w:space="0"/>
              <w:right w:val="single" w:color="000000" w:sz="4" w:space="0"/>
            </w:tcBorders>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6698" w:type="dxa"/>
            <w:gridSpan w:val="5"/>
            <w:tcBorders>
              <w:top w:val="single" w:color="000000" w:sz="4" w:space="0"/>
              <w:left w:val="single" w:color="000000" w:sz="4" w:space="0"/>
              <w:bottom w:val="single" w:color="000000" w:sz="4" w:space="0"/>
              <w:right w:val="nil"/>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项目合计（不含税，元）</w:t>
            </w:r>
          </w:p>
        </w:tc>
        <w:tc>
          <w:tcPr>
            <w:tcW w:w="108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769"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atLeast"/>
        </w:trPr>
        <w:tc>
          <w:tcPr>
            <w:tcW w:w="6698" w:type="dxa"/>
            <w:gridSpan w:val="5"/>
            <w:tcBorders>
              <w:top w:val="single" w:color="000000" w:sz="4" w:space="0"/>
              <w:left w:val="single" w:color="000000" w:sz="4" w:space="0"/>
              <w:bottom w:val="single" w:color="000000" w:sz="4" w:space="0"/>
              <w:right w:val="nil"/>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税额（元，9%）</w:t>
            </w:r>
          </w:p>
        </w:tc>
        <w:tc>
          <w:tcPr>
            <w:tcW w:w="108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769"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698" w:type="dxa"/>
            <w:gridSpan w:val="5"/>
            <w:tcBorders>
              <w:top w:val="single" w:color="000000" w:sz="4" w:space="0"/>
              <w:left w:val="single" w:color="000000" w:sz="4" w:space="0"/>
              <w:bottom w:val="single" w:color="000000" w:sz="4" w:space="0"/>
              <w:right w:val="nil"/>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总计（元）</w:t>
            </w:r>
          </w:p>
        </w:tc>
        <w:tc>
          <w:tcPr>
            <w:tcW w:w="108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highlight w:val="none"/>
                <w:u w:val="none"/>
                <w:lang w:val="en-US" w:eastAsia="zh-CN" w:bidi="ar"/>
              </w:rPr>
            </w:pPr>
          </w:p>
        </w:tc>
        <w:tc>
          <w:tcPr>
            <w:tcW w:w="1769" w:type="dxa"/>
            <w:gridSpan w:val="2"/>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jc w:val="center"/>
              <w:textAlignment w:val="center"/>
              <w:rPr>
                <w:rFonts w:hint="eastAsia" w:ascii="宋体" w:hAnsi="宋体" w:eastAsia="宋体" w:cs="宋体"/>
                <w:i w:val="0"/>
                <w:iCs w:val="0"/>
                <w:color w:val="000000"/>
                <w:sz w:val="21"/>
                <w:szCs w:val="21"/>
                <w:highlight w:val="none"/>
                <w:u w:val="none"/>
              </w:rPr>
            </w:pPr>
          </w:p>
        </w:tc>
      </w:tr>
    </w:tbl>
    <w:p>
      <w:pPr>
        <w:pStyle w:val="10"/>
        <w:keepNext w:val="0"/>
        <w:keepLines w:val="0"/>
        <w:pageBreakBefore w:val="0"/>
        <w:widowControl w:val="0"/>
        <w:kinsoku/>
        <w:wordWrap/>
        <w:overflowPunct/>
        <w:topLinePunct w:val="0"/>
        <w:autoSpaceDE/>
        <w:autoSpaceDN/>
        <w:bidi w:val="0"/>
        <w:adjustRightInd/>
        <w:snapToGrid w:val="0"/>
        <w:spacing w:line="360" w:lineRule="exact"/>
        <w:ind w:firstLine="241" w:firstLineChars="100"/>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p>
    <w:p>
      <w:pPr>
        <w:pStyle w:val="10"/>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rPr>
      </w:pP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投标人不得修改清单中内容，不得增、删清单项，如有偏离可填写偏离表格。</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eastAsia="宋体" w:cs="Times New Roman"/>
          <w:b/>
          <w:bCs/>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综合单价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w:t>
      </w:r>
      <w:r>
        <w:rPr>
          <w:rFonts w:hint="eastAsia" w:ascii="宋体" w:hAnsi="宋体" w:eastAsia="宋体" w:cs="Times New Roman"/>
          <w:b/>
          <w:bCs/>
          <w:sz w:val="24"/>
          <w:szCs w:val="24"/>
          <w:highlight w:val="none"/>
        </w:rPr>
        <w:t>固定综合单价</w:t>
      </w:r>
      <w:r>
        <w:rPr>
          <w:rFonts w:hint="eastAsia" w:ascii="宋体" w:hAnsi="宋体" w:eastAsia="宋体" w:cs="Times New Roman"/>
          <w:sz w:val="24"/>
          <w:szCs w:val="24"/>
          <w:highlight w:val="none"/>
          <w:lang w:val="en-US" w:eastAsia="zh-CN"/>
        </w:rPr>
        <w:t>的</w:t>
      </w:r>
      <w:r>
        <w:rPr>
          <w:rFonts w:hint="eastAsia" w:ascii="宋体" w:hAnsi="宋体" w:eastAsia="宋体" w:cs="Times New Roman"/>
          <w:sz w:val="24"/>
          <w:szCs w:val="24"/>
          <w:highlight w:val="none"/>
        </w:rPr>
        <w:t>合同价格形式</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单价不变，据实工程量结算。</w:t>
      </w:r>
      <w:r>
        <w:rPr>
          <w:rFonts w:hint="eastAsia" w:ascii="宋体" w:hAnsi="宋体" w:eastAsia="宋体" w:cs="Times New Roman"/>
          <w:b/>
          <w:bCs/>
          <w:sz w:val="24"/>
          <w:szCs w:val="24"/>
          <w:highlight w:val="none"/>
          <w:lang w:val="en-US" w:eastAsia="zh-CN"/>
        </w:rPr>
        <w:t>所有清单价格按照总价下浮比例等比例下浮</w:t>
      </w:r>
      <w:r>
        <w:rPr>
          <w:rFonts w:hint="eastAsia" w:ascii="宋体" w:hAnsi="宋体" w:cs="Times New Roman"/>
          <w:b/>
          <w:bCs/>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宋体" w:hAnsi="宋体"/>
          <w:b w:val="0"/>
          <w:bCs/>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清单以外新增</w:t>
      </w:r>
      <w:r>
        <w:rPr>
          <w:rFonts w:hint="eastAsia" w:ascii="宋体" w:hAnsi="宋体"/>
          <w:b w:val="0"/>
          <w:bCs/>
          <w:sz w:val="24"/>
          <w:szCs w:val="24"/>
          <w:highlight w:val="none"/>
        </w:rPr>
        <w:t>项目净报费率见合同文本。</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5、工程量清单报价格式中所有需要填报的单价和合价，投标人均应填报，每一项目只允许有一个报价，未填报的单价和合价视为此项费用已包含在工程量清单的其他单价或合价中。</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6、</w:t>
      </w:r>
      <w:r>
        <w:rPr>
          <w:rFonts w:hint="eastAsia" w:ascii="宋体" w:hAnsi="宋体"/>
          <w:b/>
          <w:bCs w:val="0"/>
          <w:sz w:val="24"/>
          <w:szCs w:val="24"/>
          <w:highlight w:val="none"/>
        </w:rPr>
        <w:t>投标人在投标报价时应综合考虑以下费用</w:t>
      </w:r>
      <w:r>
        <w:rPr>
          <w:rFonts w:hint="eastAsia" w:ascii="宋体" w:hAnsi="宋体"/>
          <w:b w:val="0"/>
          <w:bCs/>
          <w:sz w:val="24"/>
          <w:szCs w:val="24"/>
          <w:highlight w:val="none"/>
        </w:rPr>
        <w:t>：</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1）因招标文件及合同特殊要求而发生的费用；</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2）工程量清单没有体现而施工中又必然发生的费用；</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rPr>
        <w:t>3）投标人投标报价时应充分考虑招标文件\第四章 合同主要条款中相关约定；</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eastAsia" w:ascii="宋体" w:hAnsi="宋体"/>
          <w:b w:val="0"/>
          <w:bCs/>
          <w:sz w:val="24"/>
          <w:szCs w:val="24"/>
          <w:highlight w:val="none"/>
        </w:rPr>
      </w:pPr>
      <w:r>
        <w:rPr>
          <w:rFonts w:hint="eastAsia" w:ascii="宋体" w:hAnsi="宋体"/>
          <w:b w:val="0"/>
          <w:bCs/>
          <w:sz w:val="24"/>
          <w:szCs w:val="24"/>
          <w:highlight w:val="none"/>
          <w:lang w:val="en-US" w:eastAsia="zh-CN"/>
        </w:rPr>
        <w:t>4</w:t>
      </w:r>
      <w:r>
        <w:rPr>
          <w:rFonts w:hint="eastAsia" w:ascii="宋体" w:hAnsi="宋体"/>
          <w:b w:val="0"/>
          <w:bCs/>
          <w:sz w:val="24"/>
          <w:szCs w:val="24"/>
          <w:highlight w:val="none"/>
        </w:rPr>
        <w:t>）考虑合同明示和暗示的所有责任、义务及不可抗力以外的一切风险因素等所发生的所有费用；</w:t>
      </w:r>
    </w:p>
    <w:p>
      <w:pPr>
        <w:pStyle w:val="17"/>
        <w:keepNext w:val="0"/>
        <w:keepLines w:val="0"/>
        <w:pageBreakBefore w:val="0"/>
        <w:widowControl w:val="0"/>
        <w:kinsoku/>
        <w:wordWrap/>
        <w:overflowPunct/>
        <w:topLinePunct w:val="0"/>
        <w:autoSpaceDE/>
        <w:autoSpaceDN/>
        <w:bidi w:val="0"/>
        <w:adjustRightInd/>
        <w:snapToGrid w:val="0"/>
        <w:spacing w:line="360" w:lineRule="exact"/>
        <w:ind w:left="0" w:leftChars="0" w:firstLine="480" w:firstLineChars="200"/>
        <w:textAlignment w:val="auto"/>
        <w:rPr>
          <w:rFonts w:hint="default"/>
          <w:highlight w:val="none"/>
          <w:lang w:val="en-US" w:eastAsia="zh-CN"/>
        </w:rPr>
      </w:pPr>
      <w:r>
        <w:rPr>
          <w:rFonts w:hint="eastAsia" w:ascii="宋体" w:hAnsi="宋体"/>
          <w:b w:val="0"/>
          <w:bCs/>
          <w:sz w:val="24"/>
          <w:szCs w:val="24"/>
          <w:highlight w:val="none"/>
          <w:lang w:val="en-US" w:eastAsia="zh-CN"/>
        </w:rPr>
        <w:t>5</w:t>
      </w:r>
      <w:r>
        <w:rPr>
          <w:rFonts w:hint="eastAsia" w:ascii="宋体" w:hAnsi="宋体"/>
          <w:b w:val="0"/>
          <w:bCs/>
          <w:sz w:val="24"/>
          <w:szCs w:val="24"/>
          <w:highlight w:val="none"/>
        </w:rPr>
        <w:t>）不允许投标单位采用不平衡报价，如发现非客观因素不平衡报价，招标人有权对中标清单的高报价部分予以调低价格，并同步调低中标总价。</w:t>
      </w:r>
    </w:p>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eastAsia="黑体"/>
          <w:sz w:val="28"/>
          <w:highlight w:val="none"/>
        </w:rPr>
      </w:pPr>
      <w:r>
        <w:rPr>
          <w:rFonts w:hint="eastAsia" w:eastAsia="黑体"/>
          <w:sz w:val="28"/>
          <w:highlight w:val="none"/>
        </w:rPr>
        <w:br w:type="page"/>
      </w:r>
    </w:p>
    <w:p>
      <w:pPr>
        <w:pStyle w:val="10"/>
        <w:ind w:firstLine="3640" w:firstLineChars="1300"/>
        <w:jc w:val="both"/>
        <w:rPr>
          <w:rFonts w:eastAsia="黑体"/>
          <w:sz w:val="28"/>
          <w:highlight w:val="none"/>
        </w:rPr>
      </w:pPr>
      <w:r>
        <w:rPr>
          <w:rFonts w:hint="eastAsia" w:eastAsia="黑体"/>
          <w:sz w:val="28"/>
          <w:highlight w:val="none"/>
        </w:rPr>
        <w:t>投标人承诺函</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日期：  年   月   日</w:t>
      </w:r>
    </w:p>
    <w:p>
      <w:pPr>
        <w:jc w:val="center"/>
        <w:rPr>
          <w:rFonts w:hint="eastAsia" w:ascii="宋体" w:hAnsi="宋体"/>
          <w:szCs w:val="21"/>
          <w:highlight w:val="none"/>
        </w:rPr>
      </w:pPr>
      <w:r>
        <w:rPr>
          <w:rFonts w:hint="eastAsia" w:ascii="宋体" w:hAnsi="宋体"/>
          <w:szCs w:val="21"/>
          <w:highlight w:val="none"/>
        </w:rPr>
        <w:t>投标人承诺函</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szCs w:val="21"/>
                <w:highlight w:val="none"/>
              </w:rPr>
            </w:pPr>
            <w:r>
              <w:rPr>
                <w:rFonts w:hint="eastAsia" w:ascii="宋体" w:hAnsi="宋体"/>
                <w:szCs w:val="21"/>
                <w:highlight w:val="none"/>
              </w:rPr>
              <w:t>投标人承诺：</w:t>
            </w:r>
          </w:p>
          <w:p>
            <w:pPr>
              <w:pStyle w:val="10"/>
              <w:ind w:firstLine="420" w:firstLineChars="200"/>
              <w:rPr>
                <w:rFonts w:hint="eastAsia" w:hAnsi="宋体"/>
                <w:szCs w:val="21"/>
                <w:highlight w:val="none"/>
              </w:rPr>
            </w:pPr>
            <w:r>
              <w:rPr>
                <w:rFonts w:hint="eastAsia" w:hAnsi="宋体"/>
                <w:szCs w:val="21"/>
                <w:highlight w:val="none"/>
              </w:rPr>
              <w:t>我公司承诺遵守贵公司由于招标人公司政策变化引起的随时终止项目的要求并承担由此带来的一切损失。</w:t>
            </w:r>
          </w:p>
          <w:p>
            <w:pPr>
              <w:rPr>
                <w:rFonts w:hint="eastAsia" w:ascii="宋体" w:hAnsi="宋体"/>
                <w:szCs w:val="21"/>
                <w:highlight w:val="none"/>
              </w:rPr>
            </w:pPr>
          </w:p>
        </w:tc>
      </w:tr>
    </w:tbl>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rPr>
          <w:rFonts w:hint="eastAsia" w:ascii="宋体" w:hAnsi="宋体"/>
          <w:szCs w:val="21"/>
          <w:highlight w:val="none"/>
        </w:rPr>
      </w:pPr>
    </w:p>
    <w:p>
      <w:pPr>
        <w:rPr>
          <w:rFonts w:hint="eastAsia" w:eastAsia="黑体"/>
          <w:b/>
          <w:bCs/>
          <w:sz w:val="28"/>
          <w:highlight w:val="none"/>
        </w:rPr>
      </w:pPr>
    </w:p>
    <w:p>
      <w:pPr>
        <w:jc w:val="center"/>
        <w:rPr>
          <w:rFonts w:hint="eastAsia" w:eastAsia="黑体"/>
          <w:sz w:val="28"/>
          <w:highlight w:val="none"/>
          <w:lang w:val="en-US" w:eastAsia="zh-CN"/>
        </w:rPr>
      </w:pPr>
      <w:r>
        <w:rPr>
          <w:rFonts w:eastAsia="黑体"/>
          <w:b/>
          <w:bCs/>
          <w:sz w:val="28"/>
          <w:highlight w:val="none"/>
        </w:rPr>
        <w:br w:type="page"/>
      </w:r>
      <w:r>
        <w:rPr>
          <w:rFonts w:hint="eastAsia" w:eastAsia="黑体"/>
          <w:sz w:val="28"/>
          <w:highlight w:val="none"/>
          <w:lang w:val="en-US" w:eastAsia="zh-CN"/>
        </w:rPr>
        <w:t>商务偏离表</w:t>
      </w: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项目名称：</w:t>
      </w:r>
      <w:r>
        <w:rPr>
          <w:rFonts w:hint="eastAsia" w:ascii="宋体" w:hAnsi="宋体"/>
          <w:szCs w:val="21"/>
          <w:highlight w:val="none"/>
          <w:u w:val="single"/>
        </w:rPr>
        <w:t xml:space="preserve">             </w:t>
      </w:r>
      <w:r>
        <w:rPr>
          <w:rFonts w:hint="eastAsia" w:ascii="宋体" w:hAnsi="宋体"/>
          <w:szCs w:val="21"/>
          <w:highlight w:val="none"/>
        </w:rPr>
        <w:t>(XX项目)</w:t>
      </w:r>
    </w:p>
    <w:p>
      <w:pPr>
        <w:rPr>
          <w:rFonts w:hint="eastAsia" w:ascii="宋体" w:hAnsi="宋体"/>
          <w:szCs w:val="21"/>
          <w:highlight w:val="none"/>
        </w:rPr>
      </w:pPr>
    </w:p>
    <w:tbl>
      <w:tblPr>
        <w:tblStyle w:val="19"/>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vertAlign w:val="baseline"/>
                <w:lang w:val="en-US" w:eastAsia="zh-CN"/>
              </w:rPr>
              <w:t>序号</w:t>
            </w:r>
          </w:p>
        </w:tc>
        <w:tc>
          <w:tcPr>
            <w:tcW w:w="2175"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招标文件条款号</w:t>
            </w:r>
          </w:p>
        </w:tc>
        <w:tc>
          <w:tcPr>
            <w:tcW w:w="2425" w:type="dxa"/>
            <w:noWrap w:val="0"/>
            <w:vAlign w:val="center"/>
          </w:tcPr>
          <w:p>
            <w:pPr>
              <w:jc w:val="center"/>
              <w:rPr>
                <w:rFonts w:hint="eastAsia"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招标文件条款内容</w:t>
            </w:r>
          </w:p>
        </w:tc>
        <w:tc>
          <w:tcPr>
            <w:tcW w:w="1774" w:type="dxa"/>
            <w:noWrap w:val="0"/>
            <w:vAlign w:val="center"/>
          </w:tcPr>
          <w:p>
            <w:pPr>
              <w:jc w:val="center"/>
              <w:rPr>
                <w:rFonts w:hint="eastAsia" w:ascii="宋体" w:hAnsi="宋体"/>
                <w:b w:val="0"/>
                <w:bCs w:val="0"/>
                <w:sz w:val="21"/>
                <w:szCs w:val="21"/>
                <w:highlight w:val="none"/>
                <w:vertAlign w:val="baseline"/>
                <w:lang w:val="en-US" w:eastAsia="zh-CN"/>
              </w:rPr>
            </w:pPr>
            <w:r>
              <w:rPr>
                <w:rFonts w:hint="eastAsia" w:ascii="宋体" w:hAnsi="宋体"/>
                <w:b w:val="0"/>
                <w:bCs w:val="0"/>
                <w:sz w:val="21"/>
                <w:szCs w:val="21"/>
                <w:highlight w:val="none"/>
              </w:rPr>
              <w:t>偏离</w:t>
            </w:r>
          </w:p>
        </w:tc>
        <w:tc>
          <w:tcPr>
            <w:tcW w:w="1846" w:type="dxa"/>
            <w:noWrap w:val="0"/>
            <w:vAlign w:val="center"/>
          </w:tcPr>
          <w:p>
            <w:pPr>
              <w:jc w:val="center"/>
              <w:rPr>
                <w:rFonts w:hint="default" w:ascii="宋体" w:hAnsi="宋体" w:eastAsia="宋体"/>
                <w:b w:val="0"/>
                <w:bCs w:val="0"/>
                <w:sz w:val="21"/>
                <w:szCs w:val="21"/>
                <w:highlight w:val="none"/>
                <w:vertAlign w:val="baseline"/>
                <w:lang w:val="en-US" w:eastAsia="zh-CN"/>
              </w:rPr>
            </w:pPr>
            <w:r>
              <w:rPr>
                <w:rFonts w:hint="eastAsia" w:ascii="宋体" w:hAnsi="宋体"/>
                <w:b w:val="0"/>
                <w:bCs w:val="0"/>
                <w:sz w:val="21"/>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val="en-US" w:eastAsia="zh-CN"/>
              </w:rPr>
            </w:pPr>
          </w:p>
        </w:tc>
        <w:tc>
          <w:tcPr>
            <w:tcW w:w="2425" w:type="dxa"/>
            <w:noWrap w:val="0"/>
            <w:vAlign w:val="center"/>
          </w:tcPr>
          <w:p>
            <w:pPr>
              <w:jc w:val="center"/>
              <w:rPr>
                <w:rFonts w:hint="default" w:ascii="宋体" w:hAnsi="宋体" w:eastAsia="宋体"/>
                <w:szCs w:val="21"/>
                <w:highlight w:val="none"/>
                <w:vertAlign w:val="baseline"/>
                <w:lang w:val="en-US" w:eastAsia="zh-CN"/>
              </w:rPr>
            </w:pPr>
          </w:p>
        </w:tc>
        <w:tc>
          <w:tcPr>
            <w:tcW w:w="1774" w:type="dxa"/>
            <w:noWrap w:val="0"/>
            <w:vAlign w:val="center"/>
          </w:tcPr>
          <w:p>
            <w:pPr>
              <w:jc w:val="center"/>
              <w:rPr>
                <w:rFonts w:hint="default" w:ascii="宋体" w:hAnsi="宋体"/>
                <w:szCs w:val="21"/>
                <w:highlight w:val="none"/>
                <w:vertAlign w:val="baseline"/>
                <w:lang w:val="en-US" w:eastAsia="zh-CN"/>
              </w:rPr>
            </w:pPr>
          </w:p>
        </w:tc>
        <w:tc>
          <w:tcPr>
            <w:tcW w:w="1846" w:type="dxa"/>
            <w:noWrap w:val="0"/>
            <w:vAlign w:val="center"/>
          </w:tcPr>
          <w:p>
            <w:pPr>
              <w:jc w:val="center"/>
              <w:rPr>
                <w:rFonts w:hint="eastAsia" w:ascii="宋体" w:hAnsi="宋体" w:eastAsia="宋体"/>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eastAsia="宋体"/>
                <w:szCs w:val="21"/>
                <w:highlight w:val="none"/>
                <w:vertAlign w:val="baseline"/>
                <w:lang w:val="en-US" w:eastAsia="zh-CN"/>
              </w:rPr>
            </w:pPr>
          </w:p>
        </w:tc>
        <w:tc>
          <w:tcPr>
            <w:tcW w:w="2175" w:type="dxa"/>
            <w:noWrap w:val="0"/>
            <w:vAlign w:val="center"/>
          </w:tcPr>
          <w:p>
            <w:pPr>
              <w:jc w:val="center"/>
              <w:rPr>
                <w:rFonts w:hint="eastAsia" w:ascii="宋体" w:hAnsi="宋体" w:eastAsia="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highlight w:val="none"/>
                <w:vertAlign w:val="baseline"/>
                <w:lang w:val="en-US" w:eastAsia="zh-CN"/>
              </w:rPr>
            </w:pPr>
          </w:p>
        </w:tc>
        <w:tc>
          <w:tcPr>
            <w:tcW w:w="2175" w:type="dxa"/>
            <w:noWrap w:val="0"/>
            <w:vAlign w:val="center"/>
          </w:tcPr>
          <w:p>
            <w:pPr>
              <w:jc w:val="center"/>
              <w:rPr>
                <w:rFonts w:hint="eastAsia" w:ascii="宋体" w:hAnsi="宋体"/>
                <w:szCs w:val="21"/>
                <w:highlight w:val="none"/>
                <w:vertAlign w:val="baseline"/>
                <w:lang w:eastAsia="zh-CN"/>
              </w:rPr>
            </w:pPr>
          </w:p>
        </w:tc>
        <w:tc>
          <w:tcPr>
            <w:tcW w:w="2425" w:type="dxa"/>
            <w:noWrap w:val="0"/>
            <w:vAlign w:val="center"/>
          </w:tcPr>
          <w:p>
            <w:pPr>
              <w:jc w:val="center"/>
              <w:rPr>
                <w:rFonts w:hint="eastAsia" w:ascii="宋体" w:hAnsi="宋体"/>
                <w:szCs w:val="21"/>
                <w:highlight w:val="none"/>
                <w:vertAlign w:val="baseline"/>
                <w:lang w:eastAsia="zh-CN"/>
              </w:rPr>
            </w:pPr>
          </w:p>
        </w:tc>
        <w:tc>
          <w:tcPr>
            <w:tcW w:w="1774" w:type="dxa"/>
            <w:noWrap w:val="0"/>
            <w:vAlign w:val="center"/>
          </w:tcPr>
          <w:p>
            <w:pPr>
              <w:jc w:val="center"/>
              <w:rPr>
                <w:rFonts w:hint="eastAsia" w:ascii="宋体" w:hAnsi="宋体"/>
                <w:szCs w:val="21"/>
                <w:highlight w:val="none"/>
                <w:vertAlign w:val="baseline"/>
                <w:lang w:eastAsia="zh-CN"/>
              </w:rPr>
            </w:pPr>
          </w:p>
        </w:tc>
        <w:tc>
          <w:tcPr>
            <w:tcW w:w="1846" w:type="dxa"/>
            <w:noWrap w:val="0"/>
            <w:vAlign w:val="center"/>
          </w:tcPr>
          <w:p>
            <w:pPr>
              <w:jc w:val="center"/>
              <w:rPr>
                <w:rFonts w:hint="eastAsia" w:ascii="宋体" w:hAnsi="宋体"/>
                <w:szCs w:val="21"/>
                <w:highlight w:val="none"/>
                <w:vertAlign w:val="baseline"/>
                <w:lang w:eastAsia="zh-CN"/>
              </w:rPr>
            </w:pPr>
          </w:p>
        </w:tc>
      </w:tr>
    </w:tbl>
    <w:p>
      <w:pPr>
        <w:rPr>
          <w:rFonts w:hint="eastAsia" w:ascii="宋体" w:hAnsi="宋体"/>
          <w:szCs w:val="21"/>
          <w:highlight w:val="none"/>
        </w:rPr>
      </w:pPr>
    </w:p>
    <w:p>
      <w:pPr>
        <w:rPr>
          <w:rFonts w:hint="default" w:ascii="宋体" w:hAnsi="宋体" w:eastAsia="宋体"/>
          <w:szCs w:val="21"/>
          <w:highlight w:val="none"/>
          <w:lang w:val="en-US" w:eastAsia="zh-CN"/>
        </w:rPr>
      </w:pPr>
    </w:p>
    <w:p>
      <w:pPr>
        <w:rPr>
          <w:rFonts w:hint="eastAsia" w:ascii="宋体" w:hAnsi="宋体"/>
          <w:szCs w:val="21"/>
          <w:highlight w:val="none"/>
        </w:rPr>
      </w:pPr>
    </w:p>
    <w:p>
      <w:pPr>
        <w:rPr>
          <w:rFonts w:hint="eastAsia" w:ascii="宋体" w:hAnsi="宋体"/>
          <w:szCs w:val="21"/>
          <w:highlight w:val="none"/>
        </w:rPr>
      </w:pPr>
    </w:p>
    <w:p>
      <w:pPr>
        <w:rPr>
          <w:rFonts w:hint="eastAsia" w:ascii="宋体" w:hAnsi="宋体"/>
          <w:szCs w:val="21"/>
          <w:highlight w:val="none"/>
        </w:rPr>
      </w:pPr>
      <w:r>
        <w:rPr>
          <w:rFonts w:hint="eastAsia" w:ascii="宋体" w:hAnsi="宋体"/>
          <w:szCs w:val="21"/>
          <w:highlight w:val="none"/>
        </w:rPr>
        <w:t>投标人名称（盖章）：              法定代表人或授权代表签字：</w:t>
      </w:r>
    </w:p>
    <w:p>
      <w:pPr>
        <w:rPr>
          <w:rFonts w:hint="eastAsia" w:ascii="宋体" w:hAnsi="宋体"/>
          <w:szCs w:val="21"/>
          <w:highlight w:val="none"/>
        </w:rPr>
      </w:pPr>
    </w:p>
    <w:p>
      <w:pPr>
        <w:bidi w:val="0"/>
        <w:rPr>
          <w:rFonts w:hint="default"/>
          <w:highlight w:val="none"/>
          <w:lang w:val="en-US" w:eastAsia="zh-CN"/>
        </w:rPr>
      </w:pPr>
    </w:p>
    <w:p>
      <w:pPr>
        <w:pStyle w:val="16"/>
        <w:rPr>
          <w:rFonts w:ascii="宋体" w:hAnsi="宋体"/>
          <w:sz w:val="44"/>
          <w:szCs w:val="44"/>
          <w:highlight w:val="none"/>
        </w:rPr>
      </w:pPr>
      <w:r>
        <w:rPr>
          <w:rFonts w:hint="eastAsia" w:ascii="黑体" w:eastAsia="黑体"/>
          <w:highlight w:val="none"/>
        </w:rPr>
        <w:br w:type="page"/>
      </w:r>
      <w:bookmarkStart w:id="15" w:name="_Toc54267471"/>
      <w:bookmarkStart w:id="16" w:name="_Toc7062"/>
      <w:r>
        <w:rPr>
          <w:rFonts w:hint="eastAsia" w:ascii="宋体" w:hAnsi="宋体"/>
          <w:sz w:val="44"/>
          <w:szCs w:val="44"/>
          <w:highlight w:val="none"/>
        </w:rPr>
        <w:t>第三章  施工内容及技术要求</w:t>
      </w:r>
      <w:bookmarkEnd w:id="15"/>
      <w:bookmarkEnd w:id="16"/>
    </w:p>
    <w:p>
      <w:pPr>
        <w:pStyle w:val="17"/>
        <w:numPr>
          <w:ilvl w:val="0"/>
          <w:numId w:val="0"/>
        </w:num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一、施工内容</w:t>
      </w:r>
    </w:p>
    <w:p>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施工内容见</w:t>
      </w:r>
      <w:r>
        <w:rPr>
          <w:rFonts w:hint="eastAsia" w:ascii="宋体" w:hAnsi="宋体" w:eastAsia="宋体" w:cs="宋体"/>
          <w:kern w:val="0"/>
          <w:sz w:val="24"/>
          <w:szCs w:val="24"/>
          <w:highlight w:val="none"/>
        </w:rPr>
        <w:fldChar w:fldCharType="begin"/>
      </w:r>
      <w:r>
        <w:rPr>
          <w:rFonts w:hint="eastAsia" w:ascii="宋体" w:hAnsi="宋体" w:eastAsia="宋体" w:cs="宋体"/>
          <w:kern w:val="0"/>
          <w:sz w:val="24"/>
          <w:szCs w:val="24"/>
          <w:highlight w:val="none"/>
        </w:rPr>
        <w:instrText xml:space="preserve"> HYPERLINK "2-附表：中国重汽2021年度维修项目清单.xls" </w:instrText>
      </w:r>
      <w:r>
        <w:rPr>
          <w:rFonts w:hint="eastAsia" w:ascii="宋体" w:hAnsi="宋体" w:eastAsia="宋体" w:cs="宋体"/>
          <w:kern w:val="0"/>
          <w:sz w:val="24"/>
          <w:szCs w:val="24"/>
          <w:highlight w:val="none"/>
        </w:rPr>
        <w:fldChar w:fldCharType="separate"/>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投标清单报价表</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p>
    <w:p>
      <w:pPr>
        <w:pStyle w:val="35"/>
        <w:pageBreakBefore w:val="0"/>
        <w:widowControl w:val="0"/>
        <w:numPr>
          <w:ilvl w:val="0"/>
          <w:numId w:val="0"/>
        </w:numPr>
        <w:kinsoku/>
        <w:wordWrap/>
        <w:overflowPunct/>
        <w:topLinePunct w:val="0"/>
        <w:autoSpaceDE/>
        <w:autoSpaceDN/>
        <w:bidi w:val="0"/>
        <w:adjustRightInd/>
        <w:snapToGrid w:val="0"/>
        <w:spacing w:line="360" w:lineRule="auto"/>
        <w:ind w:firstLine="482" w:firstLineChars="200"/>
        <w:textAlignment w:val="auto"/>
        <w:rPr>
          <w:rFonts w:hint="eastAsia" w:ascii="宋体" w:hAnsi="宋体" w:eastAsia="宋体" w:cs="宋体"/>
          <w:b/>
          <w:bCs w:val="0"/>
          <w:color w:val="auto"/>
          <w:sz w:val="24"/>
          <w:szCs w:val="28"/>
          <w:highlight w:val="none"/>
        </w:rPr>
      </w:pPr>
      <w:bookmarkStart w:id="17" w:name="_Toc10152"/>
      <w:bookmarkStart w:id="18" w:name="_Toc385411768"/>
      <w:bookmarkStart w:id="19" w:name="_Toc490750820"/>
      <w:bookmarkStart w:id="20" w:name="_Toc31558"/>
      <w:bookmarkStart w:id="21" w:name="_Toc26699"/>
      <w:bookmarkStart w:id="22" w:name="_Toc24049"/>
      <w:r>
        <w:rPr>
          <w:rFonts w:hint="eastAsia" w:ascii="宋体" w:hAnsi="宋体" w:eastAsia="宋体" w:cs="宋体"/>
          <w:b/>
          <w:bCs w:val="0"/>
          <w:color w:val="auto"/>
          <w:kern w:val="2"/>
          <w:sz w:val="24"/>
          <w:szCs w:val="28"/>
          <w:highlight w:val="none"/>
          <w:lang w:val="en-US" w:eastAsia="zh-CN" w:bidi="ar-SA"/>
        </w:rPr>
        <w:t>二、</w:t>
      </w:r>
      <w:r>
        <w:rPr>
          <w:rFonts w:hint="eastAsia" w:ascii="宋体" w:hAnsi="宋体" w:eastAsia="宋体" w:cs="宋体"/>
          <w:b/>
          <w:bCs w:val="0"/>
          <w:color w:val="auto"/>
          <w:sz w:val="24"/>
          <w:szCs w:val="28"/>
          <w:highlight w:val="none"/>
        </w:rPr>
        <w:t>技术要求</w:t>
      </w:r>
      <w:bookmarkEnd w:id="17"/>
      <w:bookmarkEnd w:id="18"/>
      <w:bookmarkEnd w:id="19"/>
      <w:bookmarkEnd w:id="20"/>
      <w:bookmarkEnd w:id="21"/>
      <w:bookmarkEnd w:id="22"/>
    </w:p>
    <w:p>
      <w:pPr>
        <w:pStyle w:val="2"/>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heme="minorEastAsia" w:hAnsiTheme="minorEastAsia" w:eastAsiaTheme="minorEastAsia" w:cstheme="minorEastAsia"/>
          <w:i w:val="0"/>
          <w:iCs w:val="0"/>
          <w:caps w:val="0"/>
          <w:color w:val="222222"/>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color w:val="222222"/>
          <w:spacing w:val="0"/>
          <w:sz w:val="24"/>
          <w:szCs w:val="24"/>
          <w:highlight w:val="none"/>
          <w:shd w:val="clear" w:fill="FFFFFF"/>
          <w:lang w:val="en-US" w:eastAsia="zh-CN"/>
        </w:rPr>
        <w:t>1、聚氨酯胶水及颗粒均采用绿色环保材料，杜绝“毒跑道”。承包方对进场材料进行报验，经发包人检查合格后方可使用。</w:t>
      </w:r>
    </w:p>
    <w:p>
      <w:pPr>
        <w:pStyle w:val="2"/>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i w:val="0"/>
          <w:iCs w:val="0"/>
          <w:caps w:val="0"/>
          <w:color w:val="222222"/>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color w:val="222222"/>
          <w:spacing w:val="0"/>
          <w:sz w:val="24"/>
          <w:szCs w:val="24"/>
          <w:highlight w:val="none"/>
          <w:shd w:val="clear" w:fill="FFFFFF"/>
          <w:lang w:val="en-US" w:eastAsia="zh-CN"/>
        </w:rPr>
        <w:t>2、打底层做法：均匀滚涂聚氨酯胶水，打底用pu花颗粒按照1公斤胶水 ：7.5公斤花颗粒搅拌摊铺，每平方用量不低于5.3公斤。</w:t>
      </w:r>
    </w:p>
    <w:p>
      <w:pPr>
        <w:pStyle w:val="2"/>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heme="minorEastAsia" w:hAnsiTheme="minorEastAsia" w:eastAsiaTheme="minorEastAsia" w:cstheme="minorEastAsia"/>
          <w:i w:val="0"/>
          <w:iCs w:val="0"/>
          <w:caps w:val="0"/>
          <w:color w:val="222222"/>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color w:val="222222"/>
          <w:spacing w:val="0"/>
          <w:sz w:val="24"/>
          <w:szCs w:val="24"/>
          <w:highlight w:val="none"/>
          <w:shd w:val="clear" w:fill="FFFFFF"/>
          <w:lang w:val="en-US" w:eastAsia="zh-CN"/>
        </w:rPr>
        <w:t>3、面层做法：聚氨酯胶水1公斤：5.5公斤EPDM颗粒，搅拌均匀，摊铺每平方不低于6公斤。</w:t>
      </w:r>
    </w:p>
    <w:p>
      <w:pPr>
        <w:pStyle w:val="2"/>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heme="minorEastAsia" w:hAnsiTheme="minorEastAsia" w:eastAsiaTheme="minorEastAsia" w:cstheme="minorEastAsia"/>
          <w:i w:val="0"/>
          <w:iCs w:val="0"/>
          <w:caps w:val="0"/>
          <w:color w:val="222222"/>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color w:val="222222"/>
          <w:spacing w:val="0"/>
          <w:sz w:val="24"/>
          <w:szCs w:val="24"/>
          <w:highlight w:val="none"/>
          <w:shd w:val="clear" w:fill="FFFFFF"/>
          <w:lang w:val="en-US" w:eastAsia="zh-CN"/>
        </w:rPr>
        <w:t>4、与不锈钢隔离带接触的花砖做加固处理，防止花砖晃动导致缝隙扩大；对剔除的花砖补缺。花砖与不锈钢隔离带应缝隙均匀，如果出现不均匀缝隙应采用填缝剂灌缝。</w:t>
      </w:r>
    </w:p>
    <w:p>
      <w:pPr>
        <w:pStyle w:val="2"/>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heme="minorEastAsia" w:hAnsiTheme="minorEastAsia" w:eastAsiaTheme="minorEastAsia" w:cstheme="minorEastAsia"/>
          <w:i w:val="0"/>
          <w:iCs w:val="0"/>
          <w:caps w:val="0"/>
          <w:color w:val="222222"/>
          <w:spacing w:val="0"/>
          <w:sz w:val="24"/>
          <w:szCs w:val="24"/>
          <w:highlight w:val="none"/>
          <w:shd w:val="clear" w:fill="FFFFFF"/>
          <w:lang w:val="en-US" w:eastAsia="zh-CN"/>
        </w:rPr>
      </w:pPr>
      <w:r>
        <w:rPr>
          <w:rFonts w:hint="eastAsia" w:asciiTheme="minorEastAsia" w:hAnsiTheme="minorEastAsia" w:eastAsiaTheme="minorEastAsia" w:cstheme="minorEastAsia"/>
          <w:i w:val="0"/>
          <w:iCs w:val="0"/>
          <w:caps w:val="0"/>
          <w:color w:val="222222"/>
          <w:spacing w:val="0"/>
          <w:sz w:val="24"/>
          <w:szCs w:val="24"/>
          <w:highlight w:val="none"/>
          <w:shd w:val="clear" w:fill="FFFFFF"/>
          <w:lang w:val="en-US" w:eastAsia="zh-CN"/>
        </w:rPr>
        <w:t>5、验收内容：沥青混凝土压实厚度、坡度及坡向；聚氨酯层厚度及平整度。</w:t>
      </w:r>
    </w:p>
    <w:p>
      <w:pPr>
        <w:pStyle w:val="2"/>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Theme="minorEastAsia" w:hAnsiTheme="minorEastAsia" w:eastAsiaTheme="minorEastAsia" w:cstheme="minorEastAsia"/>
          <w:i w:val="0"/>
          <w:iCs w:val="0"/>
          <w:caps w:val="0"/>
          <w:color w:val="222222"/>
          <w:spacing w:val="0"/>
          <w:sz w:val="24"/>
          <w:szCs w:val="24"/>
          <w:highlight w:val="none"/>
          <w:shd w:val="clear" w:fill="FFFFFF"/>
          <w:lang w:val="en-US" w:eastAsia="zh-CN"/>
        </w:rPr>
        <w:t>6、验收标准：GB 36246-2025《中小学合成材料面层运动场地》及GB/T 14833-2020《合成材料跑道面层》、GB50300-2013《建筑工程施工质量验收统一标准》、JGJ59-2011《建筑施工安全检查标准》、GB50720-2011《建设工程施工现场消防安全技术规范》</w:t>
      </w:r>
    </w:p>
    <w:p>
      <w:pPr>
        <w:ind w:firstLine="482" w:firstLineChars="200"/>
        <w:rPr>
          <w:rFonts w:hint="eastAsia" w:ascii="宋体" w:hAnsi="宋体" w:eastAsia="宋体" w:cs="宋体"/>
          <w:b/>
          <w:bCs/>
          <w:kern w:val="0"/>
          <w:sz w:val="24"/>
          <w:szCs w:val="24"/>
          <w:highlight w:val="none"/>
          <w:lang w:val="en-US" w:eastAsia="zh-CN"/>
        </w:rPr>
      </w:pPr>
      <w:bookmarkStart w:id="23" w:name="_Toc25694_WPSOffice_Level2"/>
      <w:r>
        <w:rPr>
          <w:rFonts w:hint="eastAsia" w:ascii="宋体" w:hAnsi="宋体" w:eastAsia="宋体" w:cs="宋体"/>
          <w:b/>
          <w:bCs/>
          <w:kern w:val="0"/>
          <w:sz w:val="24"/>
          <w:szCs w:val="24"/>
          <w:highlight w:val="none"/>
          <w:lang w:val="en-US" w:eastAsia="zh-CN"/>
        </w:rPr>
        <w:t>三、安全文明施工要求</w:t>
      </w:r>
    </w:p>
    <w:bookmarkEnd w:id="23"/>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bookmarkStart w:id="24" w:name="_Toc11939_WPSOffice_Level2"/>
      <w:r>
        <w:rPr>
          <w:rFonts w:hint="eastAsia" w:ascii="宋体" w:hAnsi="宋体" w:eastAsia="宋体" w:cs="宋体"/>
          <w:kern w:val="2"/>
          <w:sz w:val="24"/>
          <w:szCs w:val="24"/>
          <w:highlight w:val="none"/>
          <w:lang w:val="en-US" w:eastAsia="zh-CN" w:bidi="ar-SA"/>
        </w:rPr>
        <w:t>1.施工不得扰民，不得影响业主正常办公，施工方应提前与业主方沟通材料堆放场所，按照业主方要求的内容进行材料运输及堆放。</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2.施工现场周围设置封闭式围挡，并做到坚固、稳定、整洁美观，将施工区域和非施工区域封闭隔离，合理设置施工出入口。</w:t>
      </w:r>
    </w:p>
    <w:p>
      <w:pPr>
        <w:keepNext w:val="0"/>
        <w:keepLines w:val="0"/>
        <w:widowControl/>
        <w:numPr>
          <w:ilvl w:val="0"/>
          <w:numId w:val="0"/>
        </w:numPr>
        <w:suppressLineNumbers w:val="0"/>
        <w:ind w:left="0" w:leftChars="0"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四、其他施工要求</w:t>
      </w:r>
      <w:bookmarkEnd w:id="24"/>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施工方在施工中要严格按照国家、行业标准和企业规范，并随时接受甲方的检查。</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施工方在施工中必须严格按施工工艺要求操作，保证施工质量。</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业主方提供水源、电源便于施工方接入。</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a)材料型号规格应符合标书要求，如有偏离只能优于标书标准。</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b)材料质量应符合国家或部颁标准。每批材料应有合格证或质保书。</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5.施工方使用代用材料或更换外购设备，必须经过业主同意，要以修改通知单为依据。</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6.对施工中完成的阶段成果（隐蔽工程、分项工程、主要部位），由施工方提出申请，业主方组织检验和验收，签署阶段成果检验验收记录。</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7.如果在施工或调试过程中发生质量事故，施工方应及时查明原因，制订解决方案，并以书面形式报告业主，并按商定的处理方案实施。</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8.如果施工方不能满足质量要求而被业主责令停工超过三次，业主有权要求施工方停工并撤出施工现场。本合同终止，施工方承担违约责任。</w:t>
      </w:r>
    </w:p>
    <w:p>
      <w:pPr>
        <w:keepNext w:val="0"/>
        <w:keepLines w:val="0"/>
        <w:widowControl/>
        <w:numPr>
          <w:ilvl w:val="0"/>
          <w:numId w:val="0"/>
        </w:numPr>
        <w:suppressLineNumbers w:val="0"/>
        <w:ind w:leftChars="0" w:firstLine="482" w:firstLineChars="2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五、工程进度</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1、施工方必须听候甲方的施工安排。</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2、甲方将随时检查和监督施工方施工进度执行情况，并协调各方，使外部环境条件能满足施工要求。</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3、由于施工方原因而未能按甲方规定的时间按期交工验收，施工方要承担违约责任和经济处罚。</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4、施工方要尽可能的做好保障工期的各种预案，对于遇重污染天气，市政府要求的停产停工造成的工期延误情况，由施工方自行承担。</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5、对于甲方安排的突发性紧急抢修工作，施工方需在接到甲方通知后一小时内到场，全力配合，对于拒不执行的，甲方有权进行处罚或终止合同。</w:t>
      </w:r>
    </w:p>
    <w:p>
      <w:pPr>
        <w:ind w:firstLine="482" w:firstLineChars="200"/>
        <w:outlineLvl w:val="1"/>
        <w:rPr>
          <w:rFonts w:ascii="宋体" w:hAnsi="宋体"/>
          <w:szCs w:val="21"/>
          <w:highlight w:val="none"/>
        </w:rPr>
      </w:pPr>
      <w:r>
        <w:rPr>
          <w:rFonts w:hint="eastAsia" w:ascii="宋体" w:hAnsi="宋体" w:eastAsia="宋体" w:cs="宋体"/>
          <w:b/>
          <w:bCs/>
          <w:kern w:val="0"/>
          <w:sz w:val="24"/>
          <w:szCs w:val="24"/>
          <w:highlight w:val="none"/>
          <w:lang w:val="en-US" w:eastAsia="zh-CN"/>
        </w:rPr>
        <w:t>六、文明施工</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施工方应建立文明施工管理制度，保证施工现场井然有序。</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施工方在施工过程中应负责对现场的一切设施和施工工程的成品、半成品进行保护并承担费用。</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3、施工方应有统一着装（工作服），费用由施工方负担。</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2、施工方甲方存在交叉作业的情况下，应保证甲方工作的正常进行。</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3、施工方的施工设备、工具箱和材料等不允许堆放在通道上。施工方制作的半成品、部件等未安装前应码放整齐。</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4、施工方应保持本单位施工区域内的清洁卫生，每天下午下班后必须整理、清扫干净施工的设备和场地，废料集中放置，垃圾倒在指定地方。</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5、凡使用电焊机、切割机、砂轮机等设备作业时，应注意周围环境，避免焊渣、火星乱溅而影响他人作业或损坏设备及地面。</w:t>
      </w:r>
    </w:p>
    <w:p>
      <w:pPr>
        <w:pStyle w:val="2"/>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6、施工方应安排好其施工人员的食宿，保证施工人员的身体健康，费用施工方自理。</w:t>
      </w:r>
    </w:p>
    <w:p>
      <w:pPr>
        <w:ind w:firstLine="482" w:firstLineChars="200"/>
        <w:outlineLvl w:val="1"/>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七、安全要求</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施工方应对其施工人员进行安全教育，并对他们的安全负责，保证施工现场的各项作业均遵守相关的国家安全标准规范，严禁违章操作。</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施工方要遵守甲方单位内部的各项规章制度，按要求办理各种安全、出入等手续，接收安全监督和考核，手续费用由施工方负担。</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3、施工单位在施工前必须到甲方有关部门办理接电、动火手续，现场施工人员必须备有接电、动火手续复印件，以备有关部门检查。</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4、工程开工前, 施工方应为项目人员生命财产办理保险，支付保险费用。如果因施工方未办理保险而造成的任何损失全部由施工方负责。</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5、施工人员进入施工现场必须穿戴安全帽、工作服和工作鞋，特殊工种要配置相应的劳保服装和工具。</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6、施工方应在其施工区域内设置安全警示标志，特殊区域、特殊位置应专门设置有针对性的安全警示标志。</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7、施工方应由专业电工负责本单位施工所用设备的临时供电和线路的安全检查。在施工现场，非电工人员不得擅自插接电源。</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10、电焊机、切割机、砂轮机、气瓶等设备应按安全标准规范合理摆放、固定和使用。</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pPr>
        <w:pStyle w:val="2"/>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八、环保要求</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1、现场需作降尘处理，防止扬尘污染环境。</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2、严禁将污水排放至雨水管道。</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3、施工过程中产生的固废、危废由施工方按照国家法律法规的相关要求寻找具备资质的第三方规范处置。</w:t>
      </w:r>
    </w:p>
    <w:p>
      <w:pPr>
        <w:pStyle w:val="2"/>
        <w:numPr>
          <w:ilvl w:val="0"/>
          <w:numId w:val="0"/>
        </w:numPr>
        <w:ind w:leftChars="0" w:firstLine="480" w:firstLineChars="200"/>
        <w:rPr>
          <w:rFonts w:hint="eastAsia" w:ascii="宋体" w:hAnsi="宋体"/>
          <w:spacing w:val="4"/>
          <w:szCs w:val="21"/>
          <w:highlight w:val="none"/>
        </w:rPr>
      </w:pPr>
      <w:r>
        <w:rPr>
          <w:rFonts w:hint="eastAsia" w:ascii="宋体" w:hAnsi="宋体" w:eastAsia="宋体" w:cs="宋体"/>
          <w:kern w:val="2"/>
          <w:sz w:val="24"/>
          <w:szCs w:val="24"/>
          <w:highlight w:val="none"/>
          <w:lang w:val="en-US" w:eastAsia="zh-CN" w:bidi="ar-SA"/>
        </w:rPr>
        <w:t>4、对于重污染天气，施工方应遵循市政府的停产停工要求。</w:t>
      </w:r>
    </w:p>
    <w:p>
      <w:pPr>
        <w:pStyle w:val="2"/>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九、质保期</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所有施工工程的质保期均按照行业规定。</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1．地基基础工程、主体结构工程为国家规定的该工程合理使用年限。 </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2．土建工程为1年，屋面防水、有防水要求的卫生间、房间和外墙面的防渗漏为5年； </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3．装修工程为2年 </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4．电气管线、上下水管线、设备安装为2年； </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5．室外的上下水和小区道路等市政公用工程为2年。</w:t>
      </w:r>
    </w:p>
    <w:p>
      <w:pPr>
        <w:pStyle w:val="2"/>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u w:val="single"/>
          <w:lang w:val="en-US" w:eastAsia="zh-CN" w:bidi="ar-SA"/>
        </w:rPr>
        <w:t>本项目质保期5年</w:t>
      </w:r>
      <w:r>
        <w:rPr>
          <w:rFonts w:hint="eastAsia" w:ascii="宋体" w:hAnsi="宋体" w:eastAsia="宋体" w:cs="宋体"/>
          <w:kern w:val="2"/>
          <w:sz w:val="24"/>
          <w:szCs w:val="24"/>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pPr>
        <w:pStyle w:val="2"/>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十、其它</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1.投标人承诺对参与该项目所获得的与招标人产品相关的所有信息都予以保密，并承担与此相关的所有法律责任。</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2.其余未尽事宜，投标人应与招标人指派的答疑人员充分沟通，理解认可并接受相关技术规范及服务要求。</w:t>
      </w:r>
    </w:p>
    <w:p>
      <w:pPr>
        <w:pStyle w:val="2"/>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 xml:space="preserve">十一、工程量及报价说明 </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按照甲方明确的附件清单进行报价，其报价应包括所需人工费、材料费（部分明确不含材料的除外）、施工机械使用费、利润、管理费等所有费用，税金按百分比单独核算。</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投标清单报价应全面涵盖招标文件约定的投标人中标后施工、竣工、交付本工程并维修其任何缺陷所需要履行的责任和义务的全部费用。</w:t>
      </w:r>
    </w:p>
    <w:p>
      <w:pPr>
        <w:pStyle w:val="2"/>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 投标报价中应考虑招标文件中要求投标人承担的风险范围以及相关的费用。</w:t>
      </w:r>
    </w:p>
    <w:p>
      <w:pPr>
        <w:pStyle w:val="2"/>
        <w:numPr>
          <w:ilvl w:val="0"/>
          <w:numId w:val="0"/>
        </w:numPr>
        <w:ind w:leftChars="0" w:firstLine="480" w:firstLineChars="200"/>
        <w:rPr>
          <w:rFonts w:ascii="宋体" w:hAnsi="宋体"/>
          <w:szCs w:val="21"/>
          <w:highlight w:val="none"/>
        </w:rPr>
      </w:pPr>
      <w:r>
        <w:rPr>
          <w:rFonts w:hint="eastAsia" w:ascii="宋体" w:hAnsi="宋体" w:eastAsia="宋体" w:cs="宋体"/>
          <w:kern w:val="2"/>
          <w:sz w:val="24"/>
          <w:szCs w:val="24"/>
          <w:highlight w:val="none"/>
          <w:lang w:val="en-US" w:eastAsia="zh-CN" w:bidi="ar-SA"/>
        </w:rPr>
        <w:br w:type="page"/>
      </w:r>
    </w:p>
    <w:p>
      <w:pPr>
        <w:pStyle w:val="16"/>
        <w:numPr>
          <w:ilvl w:val="0"/>
          <w:numId w:val="5"/>
        </w:numPr>
        <w:rPr>
          <w:rFonts w:hint="eastAsia" w:ascii="宋体" w:hAnsi="宋体" w:cs="宋体"/>
          <w:sz w:val="44"/>
          <w:szCs w:val="44"/>
          <w:highlight w:val="none"/>
        </w:rPr>
      </w:pPr>
      <w:bookmarkStart w:id="25" w:name="_Toc54267472"/>
      <w:r>
        <w:rPr>
          <w:rFonts w:hint="eastAsia" w:ascii="宋体" w:hAnsi="宋体" w:cs="宋体"/>
          <w:sz w:val="44"/>
          <w:szCs w:val="44"/>
          <w:highlight w:val="none"/>
        </w:rPr>
        <w:t xml:space="preserve"> XX项目施工工程合同</w:t>
      </w:r>
      <w:bookmarkEnd w:id="25"/>
    </w:p>
    <w:p>
      <w:pPr>
        <w:rPr>
          <w:rFonts w:hint="eastAsia"/>
          <w:highlight w:val="none"/>
        </w:rPr>
      </w:pPr>
    </w:p>
    <w:p>
      <w:pPr>
        <w:rPr>
          <w:rFonts w:hint="eastAsia"/>
          <w:highlight w:val="none"/>
        </w:rPr>
      </w:pPr>
    </w:p>
    <w:p>
      <w:pPr>
        <w:jc w:val="center"/>
        <w:rPr>
          <w:rFonts w:hint="eastAsia" w:ascii="宋体" w:hAnsi="宋体"/>
          <w:b/>
          <w:sz w:val="24"/>
          <w:szCs w:val="24"/>
          <w:highlight w:val="none"/>
        </w:rPr>
      </w:pPr>
      <w:r>
        <w:rPr>
          <w:rFonts w:hint="eastAsia" w:ascii="黑体" w:hAnsi="Courier New" w:eastAsia="黑体"/>
          <w:sz w:val="36"/>
          <w:szCs w:val="36"/>
          <w:highlight w:val="none"/>
        </w:rPr>
        <w:t>（以最终签署版本为准）</w:t>
      </w:r>
    </w:p>
    <w:p>
      <w:pPr>
        <w:wordWrap w:val="0"/>
        <w:adjustRightInd w:val="0"/>
        <w:jc w:val="right"/>
        <w:rPr>
          <w:rFonts w:ascii="宋体" w:hAnsi="宋体"/>
          <w:b/>
          <w:sz w:val="28"/>
          <w:szCs w:val="28"/>
          <w:highlight w:val="none"/>
        </w:rPr>
      </w:pPr>
      <w:r>
        <w:rPr>
          <w:rFonts w:ascii="宋体" w:hAnsi="宋体"/>
          <w:b/>
          <w:sz w:val="28"/>
          <w:szCs w:val="28"/>
          <w:highlight w:val="none"/>
        </w:rPr>
        <w:t>编号：</w:t>
      </w:r>
      <w:r>
        <w:rPr>
          <w:rFonts w:ascii="宋体" w:hAnsi="宋体"/>
          <w:b/>
          <w:sz w:val="28"/>
          <w:szCs w:val="28"/>
          <w:highlight w:val="none"/>
          <w:u w:val="thick"/>
        </w:rPr>
        <w:t xml:space="preserve">                  </w:t>
      </w: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left"/>
        <w:rPr>
          <w:rFonts w:ascii="宋体" w:hAnsi="宋体"/>
          <w:sz w:val="20"/>
          <w:highlight w:val="none"/>
        </w:rPr>
      </w:pPr>
    </w:p>
    <w:p>
      <w:pPr>
        <w:adjustRightInd w:val="0"/>
        <w:jc w:val="center"/>
        <w:rPr>
          <w:rFonts w:ascii="宋体" w:hAnsi="宋体"/>
          <w:b/>
          <w:bCs/>
          <w:sz w:val="52"/>
          <w:szCs w:val="36"/>
          <w:highlight w:val="none"/>
        </w:rPr>
      </w:pPr>
      <w:r>
        <w:rPr>
          <w:rFonts w:hint="eastAsia" w:ascii="宋体" w:hAnsi="宋体"/>
          <w:b/>
          <w:bCs/>
          <w:sz w:val="52"/>
          <w:szCs w:val="36"/>
          <w:highlight w:val="none"/>
        </w:rPr>
        <w:t>建设工程施工合同</w:t>
      </w: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jc w:val="left"/>
        <w:rPr>
          <w:rFonts w:ascii="宋体" w:hAnsi="宋体"/>
          <w:b/>
          <w:sz w:val="36"/>
          <w:szCs w:val="36"/>
          <w:highlight w:val="none"/>
        </w:rPr>
      </w:pPr>
    </w:p>
    <w:p>
      <w:pPr>
        <w:adjustRightInd w:val="0"/>
        <w:ind w:firstLine="1352" w:firstLineChars="644"/>
        <w:jc w:val="left"/>
        <w:rPr>
          <w:rFonts w:ascii="宋体" w:hAnsi="宋体"/>
          <w:bCs/>
          <w:szCs w:val="21"/>
          <w:highlight w:val="none"/>
        </w:rPr>
      </w:pPr>
    </w:p>
    <w:p>
      <w:pPr>
        <w:adjustRightInd w:val="0"/>
        <w:ind w:firstLine="1890" w:firstLineChars="900"/>
        <w:jc w:val="left"/>
        <w:rPr>
          <w:rFonts w:ascii="宋体" w:hAnsi="宋体"/>
          <w:bCs/>
          <w:szCs w:val="21"/>
          <w:highlight w:val="none"/>
          <w:u w:val="thick"/>
        </w:rPr>
      </w:pPr>
      <w:r>
        <w:rPr>
          <w:rFonts w:hint="eastAsia" w:ascii="宋体" w:hAnsi="宋体"/>
          <w:bCs/>
          <w:szCs w:val="21"/>
          <w:highlight w:val="none"/>
        </w:rPr>
        <w:t>项目名称：</w:t>
      </w:r>
      <w:r>
        <w:rPr>
          <w:rFonts w:ascii="宋体" w:hAnsi="宋体"/>
          <w:bCs/>
          <w:szCs w:val="21"/>
          <w:highlight w:val="none"/>
          <w:u w:val="thick"/>
        </w:rPr>
        <w:t xml:space="preserve">                           </w:t>
      </w:r>
    </w:p>
    <w:p>
      <w:pPr>
        <w:pStyle w:val="3"/>
        <w:ind w:firstLine="1890" w:firstLineChars="900"/>
        <w:rPr>
          <w:bCs/>
          <w:sz w:val="21"/>
          <w:szCs w:val="21"/>
          <w:highlight w:val="none"/>
        </w:rPr>
      </w:pPr>
    </w:p>
    <w:p>
      <w:pPr>
        <w:adjustRightInd w:val="0"/>
        <w:ind w:firstLine="1890" w:firstLineChars="900"/>
        <w:jc w:val="left"/>
        <w:rPr>
          <w:rFonts w:ascii="宋体" w:hAnsi="宋体"/>
          <w:bCs/>
          <w:szCs w:val="21"/>
          <w:highlight w:val="none"/>
        </w:rPr>
      </w:pPr>
      <w:r>
        <w:rPr>
          <w:rFonts w:hint="eastAsia" w:ascii="宋体" w:hAnsi="宋体"/>
          <w:bCs/>
          <w:szCs w:val="21"/>
          <w:highlight w:val="none"/>
        </w:rPr>
        <w:t>发 包 人：</w:t>
      </w:r>
      <w:r>
        <w:rPr>
          <w:rFonts w:ascii="宋体" w:hAnsi="宋体"/>
          <w:bCs/>
          <w:szCs w:val="21"/>
          <w:highlight w:val="none"/>
          <w:u w:val="thick"/>
        </w:rPr>
        <w:t xml:space="preserve">                           </w:t>
      </w:r>
    </w:p>
    <w:p>
      <w:pPr>
        <w:adjustRightInd w:val="0"/>
        <w:ind w:firstLine="1890" w:firstLineChars="900"/>
        <w:jc w:val="left"/>
        <w:rPr>
          <w:rFonts w:ascii="宋体" w:hAnsi="宋体"/>
          <w:bCs/>
          <w:szCs w:val="21"/>
          <w:highlight w:val="none"/>
        </w:rPr>
      </w:pPr>
    </w:p>
    <w:p>
      <w:pPr>
        <w:adjustRightInd w:val="0"/>
        <w:ind w:firstLine="1890" w:firstLineChars="900"/>
        <w:jc w:val="left"/>
        <w:rPr>
          <w:rFonts w:ascii="宋体" w:hAnsi="宋体"/>
          <w:bCs/>
          <w:szCs w:val="21"/>
          <w:highlight w:val="none"/>
        </w:rPr>
      </w:pPr>
      <w:r>
        <w:rPr>
          <w:rFonts w:hint="eastAsia" w:ascii="宋体" w:hAnsi="宋体"/>
          <w:bCs/>
          <w:szCs w:val="21"/>
          <w:highlight w:val="none"/>
        </w:rPr>
        <w:t>承 包 人：</w:t>
      </w:r>
      <w:r>
        <w:rPr>
          <w:rFonts w:ascii="宋体" w:hAnsi="宋体"/>
          <w:bCs/>
          <w:szCs w:val="21"/>
          <w:highlight w:val="none"/>
          <w:u w:val="thick"/>
        </w:rPr>
        <w:t xml:space="preserve">                           </w:t>
      </w:r>
    </w:p>
    <w:p>
      <w:pPr>
        <w:rPr>
          <w:rFonts w:ascii="宋体" w:hAnsi="宋体"/>
          <w:bCs/>
          <w:szCs w:val="21"/>
          <w:highlight w:val="none"/>
        </w:rPr>
      </w:pPr>
      <w:r>
        <w:rPr>
          <w:rFonts w:ascii="宋体" w:hAnsi="宋体"/>
          <w:bCs/>
          <w:szCs w:val="21"/>
          <w:highlight w:val="none"/>
        </w:rPr>
        <w:br w:type="page"/>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lang w:val="en-US" w:eastAsia="zh-CN"/>
        </w:rPr>
      </w:pPr>
      <w:bookmarkStart w:id="26" w:name="_Toc54267473"/>
      <w:bookmarkStart w:id="27" w:name="_Toc3124"/>
      <w:r>
        <w:rPr>
          <w:rFonts w:hint="eastAsia" w:ascii="仿宋" w:hAnsi="仿宋" w:eastAsia="仿宋" w:cs="仿宋"/>
          <w:b w:val="0"/>
          <w:bCs/>
          <w:sz w:val="24"/>
          <w:szCs w:val="24"/>
          <w:highlight w:val="none"/>
        </w:rPr>
        <w:t>发包人：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kern w:val="2"/>
          <w:sz w:val="24"/>
          <w:szCs w:val="24"/>
          <w:highlight w:val="none"/>
          <w:u w:val="single"/>
          <w:lang w:val="en-US" w:eastAsia="zh-CN" w:bidi="ar-SA"/>
        </w:rPr>
        <w:t xml:space="preserve">                  </w:t>
      </w:r>
      <w:r>
        <w:rPr>
          <w:rFonts w:hint="eastAsia" w:ascii="仿宋" w:hAnsi="仿宋" w:eastAsia="仿宋"/>
          <w:b w:val="0"/>
          <w:bCs/>
          <w:sz w:val="24"/>
          <w:szCs w:val="32"/>
          <w:highlight w:val="none"/>
          <w:u w:val="single"/>
          <w:lang w:val="en-US" w:eastAsia="zh-CN"/>
        </w:rPr>
        <w:t xml:space="preserve"> </w:t>
      </w:r>
    </w:p>
    <w:p>
      <w:pPr>
        <w:pStyle w:val="3"/>
        <w:keepNext w:val="0"/>
        <w:keepLines w:val="0"/>
        <w:pageBreakBefore w:val="0"/>
        <w:widowControl w:val="0"/>
        <w:kinsoku/>
        <w:wordWrap/>
        <w:overflowPunct/>
        <w:topLinePunct w:val="0"/>
        <w:autoSpaceDE/>
        <w:autoSpaceDN/>
        <w:bidi w:val="0"/>
        <w:spacing w:line="360" w:lineRule="auto"/>
        <w:textAlignment w:val="auto"/>
        <w:rPr>
          <w:rFonts w:hint="default" w:ascii="仿宋" w:hAnsi="仿宋" w:eastAsia="仿宋" w:cs="仿宋"/>
          <w:b w:val="0"/>
          <w:bCs/>
          <w:kern w:val="2"/>
          <w:sz w:val="24"/>
          <w:szCs w:val="24"/>
          <w:highlight w:val="none"/>
          <w:u w:val="single"/>
          <w:lang w:val="en-US" w:eastAsia="zh-CN" w:bidi="ar-SA"/>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kern w:val="2"/>
          <w:sz w:val="24"/>
          <w:szCs w:val="24"/>
          <w:highlight w:val="none"/>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highlight w:val="none"/>
          <w:u w:val="single"/>
        </w:rPr>
      </w:pPr>
      <w:r>
        <w:rPr>
          <w:rFonts w:hint="eastAsia" w:ascii="仿宋" w:hAnsi="仿宋" w:eastAsia="仿宋" w:cs="仿宋"/>
          <w:b w:val="0"/>
          <w:bCs/>
          <w:sz w:val="24"/>
          <w:szCs w:val="24"/>
          <w:highlight w:val="none"/>
        </w:rPr>
        <w:t>承包人：</w:t>
      </w:r>
      <w:r>
        <w:rPr>
          <w:rFonts w:hint="eastAsia" w:ascii="仿宋" w:hAnsi="仿宋" w:eastAsia="仿宋" w:cs="仿宋"/>
          <w:b w:val="0"/>
          <w:bCs/>
          <w:sz w:val="24"/>
          <w:szCs w:val="24"/>
          <w:highlight w:val="none"/>
          <w:u w:val="single"/>
          <w:lang w:val="en-US" w:eastAsia="zh-CN"/>
        </w:rPr>
        <w:t xml:space="preserve">                 </w:t>
      </w:r>
      <w:r>
        <w:rPr>
          <w:rFonts w:hint="eastAsia" w:ascii="仿宋" w:hAnsi="仿宋" w:eastAsia="仿宋" w:cs="仿宋"/>
          <w:b w:val="0"/>
          <w:bCs/>
          <w:sz w:val="24"/>
          <w:szCs w:val="24"/>
          <w:highlight w:val="none"/>
          <w:u w:val="single"/>
        </w:rPr>
        <w:t xml:space="preserve">  </w:t>
      </w:r>
    </w:p>
    <w:p>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val="0"/>
          <w:bCs/>
          <w:sz w:val="24"/>
          <w:szCs w:val="24"/>
          <w:highlight w:val="none"/>
          <w:u w:val="single"/>
        </w:rPr>
      </w:pPr>
      <w:r>
        <w:rPr>
          <w:rFonts w:ascii="仿宋" w:hAnsi="仿宋" w:eastAsia="仿宋" w:cs="仿宋"/>
          <w:b w:val="0"/>
          <w:bCs/>
          <w:sz w:val="24"/>
          <w:szCs w:val="24"/>
          <w:highlight w:val="none"/>
        </w:rPr>
        <w:t>住</w:t>
      </w:r>
      <w:r>
        <w:rPr>
          <w:rFonts w:hint="eastAsia" w:ascii="仿宋" w:hAnsi="仿宋" w:eastAsia="仿宋" w:cs="仿宋"/>
          <w:b w:val="0"/>
          <w:bCs/>
          <w:sz w:val="24"/>
          <w:szCs w:val="24"/>
          <w:highlight w:val="none"/>
          <w:lang w:val="en-US" w:eastAsia="zh-CN"/>
        </w:rPr>
        <w:t xml:space="preserve">  </w:t>
      </w:r>
      <w:r>
        <w:rPr>
          <w:rFonts w:ascii="仿宋" w:hAnsi="仿宋" w:eastAsia="仿宋" w:cs="仿宋"/>
          <w:b w:val="0"/>
          <w:bCs/>
          <w:sz w:val="24"/>
          <w:szCs w:val="24"/>
          <w:highlight w:val="none"/>
        </w:rPr>
        <w:t>所</w:t>
      </w:r>
      <w:r>
        <w:rPr>
          <w:rFonts w:hint="eastAsia" w:ascii="仿宋" w:hAnsi="仿宋" w:eastAsia="仿宋" w:cs="仿宋"/>
          <w:b w:val="0"/>
          <w:bCs/>
          <w:sz w:val="24"/>
          <w:szCs w:val="24"/>
          <w:highlight w:val="none"/>
        </w:rPr>
        <w:t>：</w:t>
      </w:r>
      <w:r>
        <w:rPr>
          <w:rFonts w:hint="eastAsia" w:ascii="仿宋" w:hAnsi="仿宋" w:eastAsia="仿宋" w:cs="仿宋"/>
          <w:b w:val="0"/>
          <w:bCs/>
          <w:sz w:val="24"/>
          <w:szCs w:val="24"/>
          <w:highlight w:val="none"/>
          <w:u w:val="single"/>
          <w:lang w:val="en-US" w:eastAsia="zh-CN"/>
        </w:rPr>
        <w:t xml:space="preserve">                  </w:t>
      </w:r>
      <w:r>
        <w:rPr>
          <w:rFonts w:ascii="仿宋" w:hAnsi="仿宋" w:eastAsia="仿宋" w:cs="仿宋"/>
          <w:b w:val="0"/>
          <w:bCs/>
          <w:sz w:val="24"/>
          <w:szCs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根据《中华人民共和国建筑法》及有关法律规定，遵循平等、自愿、公平和诚实信用的原则，双方就工程施工及有关事项协商一致，共同达成如下协议：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28" w:name="_Toc351203481"/>
      <w:r>
        <w:rPr>
          <w:rFonts w:hint="eastAsia" w:ascii="仿宋" w:hAnsi="仿宋" w:eastAsia="仿宋" w:cs="仿宋"/>
          <w:b/>
          <w:bCs/>
          <w:sz w:val="24"/>
          <w:szCs w:val="24"/>
          <w:highlight w:val="none"/>
        </w:rPr>
        <w:t>一、工程概况</w:t>
      </w:r>
      <w:bookmarkEnd w:id="28"/>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 w:hAnsi="仿宋" w:eastAsia="仿宋" w:cs="仿宋"/>
          <w:i/>
          <w:iCs/>
          <w:sz w:val="24"/>
          <w:szCs w:val="24"/>
          <w:highlight w:val="none"/>
          <w:u w:val="single"/>
          <w:lang w:val="en-US" w:eastAsia="zh-CN"/>
        </w:rPr>
      </w:pPr>
      <w:r>
        <w:rPr>
          <w:rFonts w:hint="eastAsia" w:ascii="仿宋" w:hAnsi="仿宋" w:eastAsia="仿宋" w:cs="仿宋"/>
          <w:bCs/>
          <w:sz w:val="24"/>
          <w:szCs w:val="24"/>
          <w:highlight w:val="none"/>
        </w:rPr>
        <w:t>1.1工程名称</w:t>
      </w:r>
      <w:r>
        <w:rPr>
          <w:rFonts w:hint="eastAsia" w:ascii="仿宋" w:hAnsi="仿宋" w:eastAsia="仿宋" w:cs="仿宋"/>
          <w:sz w:val="24"/>
          <w:szCs w:val="24"/>
          <w:highlight w:val="none"/>
        </w:rPr>
        <w:t>：</w:t>
      </w:r>
      <w:r>
        <w:rPr>
          <w:rFonts w:hint="eastAsia" w:ascii="仿宋" w:hAnsi="仿宋" w:eastAsia="仿宋" w:cs="仿宋"/>
          <w:i/>
          <w:iCs/>
          <w:sz w:val="24"/>
          <w:szCs w:val="24"/>
          <w:highlight w:val="none"/>
          <w:u w:val="single"/>
        </w:rPr>
        <w:t></w:t>
      </w:r>
      <w:r>
        <w:rPr>
          <w:rFonts w:hint="eastAsia" w:ascii="仿宋" w:hAnsi="仿宋" w:eastAsia="仿宋" w:cs="仿宋"/>
          <w:i w:val="0"/>
          <w:iCs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仿宋" w:hAnsi="仿宋" w:eastAsia="仿宋" w:cs="仿宋"/>
          <w:bCs/>
          <w:sz w:val="24"/>
          <w:szCs w:val="24"/>
          <w:highlight w:val="none"/>
          <w:lang w:val="en-US"/>
        </w:rPr>
      </w:pPr>
      <w:r>
        <w:rPr>
          <w:rFonts w:hint="eastAsia" w:ascii="仿宋" w:hAnsi="仿宋" w:eastAsia="仿宋" w:cs="仿宋"/>
          <w:bCs/>
          <w:sz w:val="24"/>
          <w:szCs w:val="24"/>
          <w:highlight w:val="none"/>
        </w:rPr>
        <w:t>1.2工程地点：</w:t>
      </w:r>
      <w:r>
        <w:rPr>
          <w:rFonts w:hint="eastAsia" w:ascii="仿宋" w:hAnsi="仿宋" w:eastAsia="仿宋" w:cs="仿宋"/>
          <w:i w:val="0"/>
          <w:iCs w:val="0"/>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1.3资金来源：</w:t>
      </w:r>
      <w:r>
        <w:rPr>
          <w:rFonts w:hint="eastAsia" w:ascii="仿宋" w:hAnsi="仿宋" w:eastAsia="仿宋" w:cs="仿宋"/>
          <w:sz w:val="24"/>
          <w:szCs w:val="24"/>
          <w:highlight w:val="none"/>
          <w:u w:val="single"/>
        </w:rPr>
        <w:t>企业自筹</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1.4工程承包范围：</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招标文件中投标清单报价表的施工内容，</w:t>
      </w:r>
      <w:r>
        <w:rPr>
          <w:rFonts w:hint="eastAsia" w:ascii="仿宋" w:hAnsi="仿宋" w:eastAsia="仿宋" w:cs="仿宋"/>
          <w:sz w:val="24"/>
          <w:szCs w:val="24"/>
          <w:highlight w:val="none"/>
          <w:u w:val="single"/>
        </w:rPr>
        <w:t>包括但不限于发包人设计变更、联系单安排的施工内容等。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highlight w:val="none"/>
        </w:rPr>
      </w:pPr>
      <w:bookmarkStart w:id="29" w:name="_Toc351203482"/>
      <w:r>
        <w:rPr>
          <w:rFonts w:hint="eastAsia" w:ascii="仿宋" w:hAnsi="仿宋" w:eastAsia="仿宋" w:cs="仿宋"/>
          <w:b/>
          <w:bCs/>
          <w:sz w:val="24"/>
          <w:szCs w:val="24"/>
          <w:highlight w:val="none"/>
        </w:rPr>
        <w:t>二、合同工期</w:t>
      </w:r>
      <w:bookmarkEnd w:id="29"/>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2.1计划开工日期：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计划竣工日期：</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年</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月</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工期总日历天数：</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天。工期总日历天数与根据前述计划开竣工日期计算的工期天数不一致的，以工期总日历天数为准。</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2.2承包人应在</w:t>
      </w:r>
      <w:r>
        <w:rPr>
          <w:rFonts w:hint="eastAsia" w:ascii="仿宋" w:hAnsi="仿宋" w:eastAsia="仿宋" w:cs="仿宋"/>
          <w:i w:val="0"/>
          <w:iCs w:val="0"/>
          <w:sz w:val="24"/>
          <w:szCs w:val="24"/>
          <w:highlight w:val="none"/>
          <w:u w:val="single"/>
        </w:rPr>
        <w:t>进场后3日内或工地第一次例会前</w:t>
      </w:r>
      <w:r>
        <w:rPr>
          <w:rFonts w:hint="eastAsia" w:ascii="仿宋" w:hAnsi="仿宋" w:eastAsia="仿宋" w:cs="仿宋"/>
          <w:sz w:val="24"/>
          <w:szCs w:val="24"/>
          <w:highlight w:val="none"/>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2.3因承包人原因造成不能按期开工或中途无故停工的，工期不能顺延，由此引起的赶工等费用由承包人自行承担。</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0.5</w:t>
      </w:r>
      <w:r>
        <w:rPr>
          <w:rFonts w:hint="eastAsia" w:ascii="仿宋" w:hAnsi="仿宋" w:eastAsia="仿宋" w:cs="仿宋"/>
          <w:sz w:val="24"/>
          <w:szCs w:val="24"/>
          <w:highlight w:val="none"/>
        </w:rPr>
        <w:t>‰计算；各里程碑节点逾期超过</w:t>
      </w:r>
      <w:r>
        <w:rPr>
          <w:rFonts w:ascii="仿宋" w:hAnsi="仿宋" w:eastAsia="仿宋" w:cs="仿宋"/>
          <w:sz w:val="24"/>
          <w:szCs w:val="24"/>
          <w:highlight w:val="none"/>
        </w:rPr>
        <w:t>90</w:t>
      </w:r>
      <w:r>
        <w:rPr>
          <w:rFonts w:hint="eastAsia" w:ascii="仿宋" w:hAnsi="仿宋" w:eastAsia="仿宋" w:cs="仿宋"/>
          <w:sz w:val="24"/>
          <w:szCs w:val="24"/>
          <w:highlight w:val="none"/>
        </w:rPr>
        <w:t>天，每逾期一天按合同最终结算价款</w:t>
      </w:r>
      <w:r>
        <w:rPr>
          <w:rFonts w:ascii="仿宋" w:hAnsi="仿宋" w:eastAsia="仿宋" w:cs="仿宋"/>
          <w:sz w:val="24"/>
          <w:szCs w:val="24"/>
          <w:highlight w:val="none"/>
        </w:rPr>
        <w:t>1</w:t>
      </w:r>
      <w:r>
        <w:rPr>
          <w:rFonts w:hint="eastAsia" w:ascii="仿宋" w:hAnsi="仿宋" w:eastAsia="仿宋" w:cs="仿宋"/>
          <w:sz w:val="24"/>
          <w:szCs w:val="24"/>
          <w:highlight w:val="none"/>
        </w:rPr>
        <w:t>‰的金额向发包人支付违约金，没有最终结算价的，按合同签约暂定价的</w:t>
      </w:r>
      <w:r>
        <w:rPr>
          <w:rFonts w:ascii="仿宋" w:hAnsi="仿宋" w:eastAsia="仿宋" w:cs="仿宋"/>
          <w:sz w:val="24"/>
          <w:szCs w:val="24"/>
          <w:highlight w:val="none"/>
        </w:rPr>
        <w:t>1</w:t>
      </w:r>
      <w:r>
        <w:rPr>
          <w:rFonts w:hint="eastAsia" w:ascii="仿宋" w:hAnsi="仿宋" w:eastAsia="仿宋" w:cs="仿宋"/>
          <w:sz w:val="24"/>
          <w:szCs w:val="24"/>
          <w:highlight w:val="none"/>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highlight w:val="none"/>
        </w:rPr>
        <w:t xml:space="preserve"> </w:t>
      </w:r>
      <w:r>
        <w:rPr>
          <w:rFonts w:hint="eastAsia" w:ascii="仿宋" w:hAnsi="仿宋" w:eastAsia="仿宋" w:cs="仿宋"/>
          <w:sz w:val="24"/>
          <w:szCs w:val="24"/>
          <w:highlight w:val="none"/>
        </w:rPr>
        <w:t>，但造成发包人的损失部分不予免除。</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仿宋" w:hAnsi="仿宋" w:eastAsia="仿宋" w:cs="仿宋"/>
          <w:b/>
          <w:sz w:val="24"/>
          <w:szCs w:val="24"/>
          <w:highlight w:val="none"/>
        </w:rPr>
      </w:pPr>
      <w:bookmarkStart w:id="30" w:name="_Toc351203483"/>
      <w:r>
        <w:rPr>
          <w:rFonts w:hint="eastAsia" w:ascii="仿宋" w:hAnsi="仿宋" w:eastAsia="仿宋" w:cs="仿宋"/>
          <w:b/>
          <w:sz w:val="24"/>
          <w:szCs w:val="24"/>
          <w:highlight w:val="none"/>
        </w:rPr>
        <w:t>三、质量标准</w:t>
      </w:r>
      <w:bookmarkEnd w:id="30"/>
    </w:p>
    <w:p>
      <w:pPr>
        <w:keepNext w:val="0"/>
        <w:keepLines w:val="0"/>
        <w:pageBreakBefore w:val="0"/>
        <w:widowControl w:val="0"/>
        <w:kinsoku/>
        <w:wordWrap/>
        <w:overflowPunct/>
        <w:topLinePunct w:val="0"/>
        <w:autoSpaceDE/>
        <w:autoSpaceDN/>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3.1工程质量要求：</w:t>
      </w:r>
      <w:r>
        <w:rPr>
          <w:rFonts w:hint="eastAsia" w:ascii="仿宋" w:hAnsi="仿宋" w:eastAsia="仿宋" w:cs="仿宋"/>
          <w:sz w:val="24"/>
          <w:szCs w:val="24"/>
          <w:highlight w:val="none"/>
          <w:u w:val="single"/>
        </w:rPr>
        <w:t>工程质量达到合格等级标准</w:t>
      </w:r>
      <w:r>
        <w:rPr>
          <w:rFonts w:hint="eastAsia" w:ascii="仿宋" w:hAnsi="仿宋" w:eastAsia="仿宋" w:cs="仿宋"/>
          <w:sz w:val="24"/>
          <w:szCs w:val="24"/>
          <w:highlight w:val="none"/>
        </w:rPr>
        <w:t>。质量标准的评定以现行国家、地方政府以及行业的质量检验评定标准为依据。</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highlight w:val="none"/>
        </w:rPr>
      </w:pPr>
      <w:r>
        <w:rPr>
          <w:rFonts w:hint="eastAsia" w:ascii="仿宋" w:hAnsi="仿宋" w:eastAsia="仿宋" w:cs="仿宋"/>
          <w:sz w:val="24"/>
          <w:szCs w:val="24"/>
          <w:highlight w:val="none"/>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val="0"/>
          <w:iCs w:val="0"/>
          <w:sz w:val="24"/>
          <w:szCs w:val="24"/>
          <w:highlight w:val="none"/>
          <w:u w:val="single"/>
        </w:rPr>
        <w:t>不超过 5000元/次</w:t>
      </w:r>
      <w:r>
        <w:rPr>
          <w:rFonts w:hint="eastAsia" w:ascii="仿宋" w:hAnsi="仿宋" w:eastAsia="仿宋" w:cs="仿宋"/>
          <w:sz w:val="24"/>
          <w:szCs w:val="24"/>
          <w:highlight w:val="none"/>
        </w:rPr>
        <w:t>的罚款，该款项从承包人工程款结算中扣除。</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510" w:leftChars="0"/>
        <w:textAlignment w:val="auto"/>
        <w:rPr>
          <w:rFonts w:ascii="仿宋" w:hAnsi="仿宋" w:eastAsia="仿宋" w:cs="仿宋"/>
          <w:b/>
          <w:sz w:val="24"/>
          <w:szCs w:val="24"/>
          <w:highlight w:val="none"/>
        </w:rPr>
      </w:pPr>
      <w:r>
        <w:rPr>
          <w:rFonts w:hint="eastAsia" w:ascii="仿宋" w:hAnsi="仿宋" w:eastAsia="仿宋" w:cs="仿宋"/>
          <w:b/>
          <w:sz w:val="24"/>
          <w:szCs w:val="24"/>
          <w:highlight w:val="none"/>
          <w:lang w:val="en-US" w:eastAsia="zh-CN"/>
        </w:rPr>
        <w:t>四、</w:t>
      </w:r>
      <w:r>
        <w:rPr>
          <w:rFonts w:hint="eastAsia" w:ascii="仿宋" w:hAnsi="仿宋" w:eastAsia="仿宋" w:cs="仿宋"/>
          <w:b/>
          <w:sz w:val="24"/>
          <w:szCs w:val="24"/>
          <w:highlight w:val="none"/>
        </w:rPr>
        <w:t>合同价款与支付方式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4.1合同价款：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本工程合同签约暂定价格不含税价为人民币</w:t>
      </w:r>
      <w:r>
        <w:rPr>
          <w:rFonts w:ascii="Calibri" w:hAnsi="Calibri" w:eastAsia="仿宋" w:cs="Calibri"/>
          <w:sz w:val="24"/>
          <w:szCs w:val="24"/>
          <w:highlight w:val="none"/>
        </w:rPr>
        <w:t>¥</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rPr>
        <w:t>元（大写：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），增值税税率</w:t>
      </w:r>
      <w:r>
        <w:rPr>
          <w:rFonts w:hint="eastAsia" w:ascii="仿宋" w:hAnsi="仿宋" w:eastAsia="仿宋" w:cs="仿宋"/>
          <w:sz w:val="24"/>
          <w:szCs w:val="24"/>
          <w:highlight w:val="none"/>
          <w:u w:val="single"/>
        </w:rPr>
        <w:t>【】</w:t>
      </w:r>
      <w:r>
        <w:rPr>
          <w:rFonts w:hint="eastAsia" w:ascii="仿宋" w:hAnsi="仿宋" w:eastAsia="仿宋" w:cs="仿宋"/>
          <w:sz w:val="24"/>
          <w:szCs w:val="24"/>
          <w:highlight w:val="none"/>
        </w:rPr>
        <w:t>%，税额</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元，含税价</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元人民币（大写：</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ascii="仿宋" w:hAnsi="仿宋" w:eastAsia="仿宋" w:cs="仿宋"/>
          <w:sz w:val="24"/>
          <w:szCs w:val="24"/>
          <w:highlight w:val="none"/>
          <w:u w:val="single"/>
        </w:rPr>
        <w:t xml:space="preserve"> </w:t>
      </w:r>
      <w:r>
        <w:rPr>
          <w:rFonts w:hint="eastAsia" w:ascii="仿宋" w:hAnsi="仿宋" w:eastAsia="仿宋" w:cs="仿宋"/>
          <w:sz w:val="24"/>
          <w:szCs w:val="24"/>
          <w:highlight w:val="none"/>
        </w:rPr>
        <w:t>），如国家出台新政策对增值税率进行了调整，则不含税价款不变，本合同含税总价在不含税价基础上根据国家最新税法进行相应的调整。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4.2本工程合同价格形式为：</w:t>
      </w:r>
      <w:r>
        <w:rPr>
          <w:rFonts w:hint="eastAsia" w:ascii="仿宋" w:hAnsi="仿宋" w:eastAsia="仿宋" w:cs="仿宋"/>
          <w:sz w:val="24"/>
          <w:szCs w:val="24"/>
          <w:highlight w:val="none"/>
          <w:u w:val="single"/>
        </w:rPr>
        <w:t>固定综合单价</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i/>
          <w:iCs/>
          <w:sz w:val="24"/>
          <w:szCs w:val="24"/>
          <w:highlight w:val="none"/>
          <w:u w:val="single"/>
        </w:rPr>
      </w:pPr>
      <w:r>
        <w:rPr>
          <w:rFonts w:hint="eastAsia" w:ascii="仿宋" w:hAnsi="仿宋" w:eastAsia="仿宋" w:cs="仿宋"/>
          <w:sz w:val="24"/>
          <w:szCs w:val="24"/>
          <w:highlight w:val="none"/>
        </w:rPr>
        <w:t>②本工程所有的措施费包干使用。</w:t>
      </w:r>
      <w:r>
        <w:rPr>
          <w:rFonts w:hint="eastAsia" w:ascii="仿宋" w:hAnsi="仿宋" w:eastAsia="仿宋" w:cs="仿宋"/>
          <w:i w:val="0"/>
          <w:iCs w:val="0"/>
          <w:sz w:val="24"/>
          <w:szCs w:val="24"/>
          <w:highlight w:val="none"/>
          <w:u w:val="single"/>
        </w:rPr>
        <w:t>无论发生任何变化，中标措施费平方单价不做调整（措施费平方单价中</w:t>
      </w:r>
      <w:r>
        <w:rPr>
          <w:rFonts w:ascii="仿宋" w:hAnsi="仿宋" w:eastAsia="仿宋" w:cs="仿宋"/>
          <w:i w:val="0"/>
          <w:iCs w:val="0"/>
          <w:sz w:val="24"/>
          <w:szCs w:val="24"/>
          <w:highlight w:val="none"/>
          <w:u w:val="single"/>
        </w:rPr>
        <w:t>包括但不限于</w:t>
      </w:r>
      <w:r>
        <w:rPr>
          <w:rFonts w:hint="eastAsia" w:ascii="仿宋" w:hAnsi="仿宋" w:eastAsia="仿宋" w:cs="仿宋"/>
          <w:i w:val="0"/>
          <w:iCs w:val="0"/>
          <w:sz w:val="24"/>
          <w:szCs w:val="24"/>
          <w:highlight w:val="none"/>
          <w:u w:val="single"/>
        </w:rPr>
        <w:t>不可竞争的文明施工费、临时设施费、环境保护费等）。</w:t>
      </w:r>
    </w:p>
    <w:p>
      <w:pPr>
        <w:keepNext w:val="0"/>
        <w:keepLines w:val="0"/>
        <w:pageBreakBefore w:val="0"/>
        <w:widowControl w:val="0"/>
        <w:tabs>
          <w:tab w:val="left" w:pos="5565"/>
        </w:tabs>
        <w:kinsoku/>
        <w:wordWrap/>
        <w:overflowPunct/>
        <w:topLinePunct w:val="0"/>
        <w:autoSpaceDE/>
        <w:autoSpaceDN/>
        <w:bidi w:val="0"/>
        <w:adjustRightInd w:val="0"/>
        <w:snapToGrid w:val="0"/>
        <w:spacing w:line="360" w:lineRule="auto"/>
        <w:ind w:left="540"/>
        <w:textAlignment w:val="auto"/>
        <w:rPr>
          <w:rFonts w:ascii="仿宋" w:hAnsi="仿宋" w:eastAsia="仿宋" w:cs="仿宋"/>
          <w:sz w:val="24"/>
          <w:szCs w:val="24"/>
          <w:highlight w:val="none"/>
        </w:rPr>
      </w:pPr>
      <w:bookmarkStart w:id="31" w:name="OLE_LINK1"/>
      <w:r>
        <w:rPr>
          <w:rFonts w:hint="eastAsia" w:ascii="仿宋" w:hAnsi="仿宋" w:eastAsia="仿宋" w:cs="仿宋"/>
          <w:sz w:val="24"/>
          <w:szCs w:val="24"/>
          <w:highlight w:val="none"/>
        </w:rPr>
        <w:t>4.3工程款支付</w:t>
      </w:r>
    </w:p>
    <w:bookmarkEnd w:id="31"/>
    <w:p>
      <w:pPr>
        <w:keepNext w:val="0"/>
        <w:keepLines w:val="0"/>
        <w:pageBreakBefore w:val="0"/>
        <w:widowControl w:val="0"/>
        <w:numPr>
          <w:ilvl w:val="0"/>
          <w:numId w:val="6"/>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双方约定工程款支付方式：</w:t>
      </w:r>
      <w:r>
        <w:rPr>
          <w:rFonts w:hint="eastAsia" w:ascii="仿宋" w:hAnsi="仿宋" w:eastAsia="仿宋" w:cs="仿宋"/>
          <w:i w:val="0"/>
          <w:iCs w:val="0"/>
          <w:sz w:val="24"/>
          <w:szCs w:val="24"/>
          <w:highlight w:val="none"/>
          <w:u w:val="single"/>
        </w:rPr>
        <w:t>半年期商业汇票；</w:t>
      </w:r>
    </w:p>
    <w:p>
      <w:pPr>
        <w:keepNext w:val="0"/>
        <w:keepLines w:val="0"/>
        <w:pageBreakBefore w:val="0"/>
        <w:widowControl w:val="0"/>
        <w:numPr>
          <w:ilvl w:val="0"/>
          <w:numId w:val="6"/>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本合同预付款：</w:t>
      </w:r>
      <w:r>
        <w:rPr>
          <w:rFonts w:hint="eastAsia" w:ascii="仿宋" w:hAnsi="仿宋" w:eastAsia="仿宋" w:cs="仿宋"/>
          <w:sz w:val="24"/>
          <w:szCs w:val="24"/>
          <w:highlight w:val="none"/>
          <w:u w:val="single"/>
        </w:rPr>
        <w:t>无预付款</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工程竣工验收合格，乙方提供当批付款金额一致的符合国家要求的增值税专用发票（税率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en-US" w:eastAsia="zh-CN"/>
        </w:rPr>
        <w:t xml:space="preserve"> %，如国家出台新政策对增值税率进行了调整，则不含税价款不变，本合同含税总价在不含税价基础上根据国家最新税率进行相应的调整），经甲方审核无误后于次月付款至合同价款的</w:t>
      </w:r>
      <w:r>
        <w:rPr>
          <w:rFonts w:hint="eastAsia" w:ascii="仿宋" w:hAnsi="仿宋" w:eastAsia="仿宋" w:cs="仿宋"/>
          <w:sz w:val="24"/>
          <w:szCs w:val="24"/>
          <w:highlight w:val="none"/>
          <w:u w:val="single"/>
          <w:lang w:val="en-US" w:eastAsia="zh-CN"/>
        </w:rPr>
        <w:t>70</w:t>
      </w:r>
      <w:r>
        <w:rPr>
          <w:rFonts w:hint="eastAsia" w:ascii="仿宋" w:hAnsi="仿宋" w:eastAsia="仿宋" w:cs="仿宋"/>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仿宋" w:hAnsi="仿宋" w:eastAsia="仿宋" w:cs="仿宋"/>
          <w:sz w:val="24"/>
          <w:szCs w:val="24"/>
          <w:highlight w:val="none"/>
          <w:u w:val="single"/>
          <w:lang w:val="en-US" w:eastAsia="zh-CN"/>
        </w:rPr>
        <w:t xml:space="preserve"> 95 </w:t>
      </w:r>
      <w:r>
        <w:rPr>
          <w:rFonts w:hint="eastAsia" w:ascii="仿宋" w:hAnsi="仿宋" w:eastAsia="仿宋" w:cs="仿宋"/>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剩余</w:t>
      </w:r>
      <w:r>
        <w:rPr>
          <w:rFonts w:hint="eastAsia" w:ascii="仿宋" w:hAnsi="仿宋" w:eastAsia="仿宋" w:cs="仿宋"/>
          <w:sz w:val="24"/>
          <w:szCs w:val="24"/>
          <w:highlight w:val="none"/>
          <w:u w:val="single"/>
          <w:lang w:val="en-US" w:eastAsia="zh-CN"/>
        </w:rPr>
        <w:t xml:space="preserve"> 5% </w:t>
      </w:r>
      <w:r>
        <w:rPr>
          <w:rFonts w:hint="eastAsia" w:ascii="仿宋" w:hAnsi="仿宋" w:eastAsia="仿宋" w:cs="仿宋"/>
          <w:sz w:val="24"/>
          <w:szCs w:val="24"/>
          <w:highlight w:val="none"/>
          <w:lang w:val="en-US" w:eastAsia="zh-CN"/>
        </w:rPr>
        <w:t>作为质保金，质保期后无质量问题进行支付。</w:t>
      </w:r>
    </w:p>
    <w:p>
      <w:pPr>
        <w:pStyle w:val="10"/>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i w:val="0"/>
          <w:iCs w:val="0"/>
          <w:kern w:val="2"/>
          <w:sz w:val="24"/>
          <w:szCs w:val="24"/>
          <w:highlight w:val="none"/>
          <w:u w:val="none"/>
          <w:lang w:val="en-US" w:eastAsia="zh-CN" w:bidi="ar-SA"/>
        </w:rPr>
      </w:pPr>
      <w:r>
        <w:rPr>
          <w:rFonts w:hint="default" w:ascii="仿宋" w:hAnsi="仿宋" w:eastAsia="仿宋" w:cs="仿宋"/>
          <w:i w:val="0"/>
          <w:iCs w:val="0"/>
          <w:kern w:val="2"/>
          <w:sz w:val="24"/>
          <w:szCs w:val="24"/>
          <w:highlight w:val="none"/>
          <w:u w:val="none"/>
          <w:lang w:val="en-US" w:eastAsia="zh-CN" w:bidi="ar-SA"/>
        </w:rPr>
        <w:t>本合同的最终结算金额以工程结算审核报告中的审定</w:t>
      </w:r>
      <w:r>
        <w:rPr>
          <w:rFonts w:hint="eastAsia" w:ascii="仿宋" w:hAnsi="仿宋" w:eastAsia="仿宋" w:cs="仿宋"/>
          <w:i w:val="0"/>
          <w:iCs w:val="0"/>
          <w:kern w:val="2"/>
          <w:sz w:val="24"/>
          <w:szCs w:val="24"/>
          <w:highlight w:val="none"/>
          <w:u w:val="none"/>
          <w:lang w:val="en-US" w:eastAsia="zh-CN" w:bidi="ar-SA"/>
        </w:rPr>
        <w:t>额</w:t>
      </w:r>
      <w:r>
        <w:rPr>
          <w:rFonts w:hint="default" w:ascii="仿宋" w:hAnsi="仿宋" w:eastAsia="仿宋" w:cs="仿宋"/>
          <w:i w:val="0"/>
          <w:iCs w:val="0"/>
          <w:kern w:val="2"/>
          <w:sz w:val="24"/>
          <w:szCs w:val="24"/>
          <w:highlight w:val="none"/>
          <w:u w:val="none"/>
          <w:lang w:val="en-US" w:eastAsia="zh-CN" w:bidi="ar-SA"/>
        </w:rPr>
        <w:t>为准</w:t>
      </w:r>
      <w:r>
        <w:rPr>
          <w:rFonts w:hint="eastAsia" w:ascii="仿宋" w:hAnsi="仿宋" w:eastAsia="仿宋" w:cs="仿宋"/>
          <w:i w:val="0"/>
          <w:iCs w:val="0"/>
          <w:kern w:val="2"/>
          <w:sz w:val="24"/>
          <w:szCs w:val="24"/>
          <w:highlight w:val="none"/>
          <w:u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（3）发包人所有款项的支付均需承包人持当批付款金额一致的符合国家要求的增值税专用发票、收据、授权委托书、经办人身份证明原件及复印件等其他发包人财务制度要求的资料办理。</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4.4合同价款及调整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i w:val="0"/>
          <w:iCs w:val="0"/>
          <w:sz w:val="24"/>
          <w:szCs w:val="24"/>
          <w:highlight w:val="none"/>
        </w:rPr>
      </w:pPr>
      <w:r>
        <w:rPr>
          <w:rFonts w:hint="eastAsia" w:ascii="仿宋" w:hAnsi="仿宋" w:eastAsia="仿宋" w:cs="仿宋"/>
          <w:sz w:val="24"/>
          <w:szCs w:val="24"/>
          <w:highlight w:val="none"/>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highlight w:val="none"/>
          <w:u w:val="single"/>
        </w:rPr>
        <w:t xml:space="preserve"> </w:t>
      </w:r>
      <w:r>
        <w:rPr>
          <w:rFonts w:hint="eastAsia" w:ascii="仿宋" w:hAnsi="仿宋" w:eastAsia="仿宋" w:cs="仿宋"/>
          <w:i/>
          <w:iCs/>
          <w:sz w:val="24"/>
          <w:szCs w:val="24"/>
          <w:highlight w:val="none"/>
          <w:u w:val="single"/>
        </w:rPr>
        <w:t xml:space="preserve"> </w:t>
      </w:r>
      <w:r>
        <w:rPr>
          <w:rFonts w:hint="eastAsia" w:ascii="仿宋" w:hAnsi="仿宋" w:eastAsia="仿宋" w:cs="仿宋"/>
          <w:i w:val="0"/>
          <w:iCs w:val="0"/>
          <w:sz w:val="24"/>
          <w:szCs w:val="24"/>
          <w:highlight w:val="none"/>
          <w:u w:val="single"/>
        </w:rPr>
        <w:t xml:space="preserve">3  </w:t>
      </w:r>
      <w:r>
        <w:rPr>
          <w:rFonts w:hint="eastAsia" w:ascii="仿宋" w:hAnsi="仿宋" w:eastAsia="仿宋" w:cs="仿宋"/>
          <w:i w:val="0"/>
          <w:iCs w:val="0"/>
          <w:sz w:val="24"/>
          <w:szCs w:val="24"/>
          <w:highlight w:val="none"/>
        </w:rPr>
        <w:t>天内将索赔资料（变更原因、材料价格、变更金额）书面报发包人审核，索赔事件结束后</w:t>
      </w:r>
      <w:r>
        <w:rPr>
          <w:rFonts w:hint="eastAsia" w:ascii="仿宋" w:hAnsi="仿宋" w:eastAsia="仿宋" w:cs="仿宋"/>
          <w:i w:val="0"/>
          <w:iCs w:val="0"/>
          <w:sz w:val="24"/>
          <w:szCs w:val="24"/>
          <w:highlight w:val="none"/>
          <w:u w:val="single"/>
        </w:rPr>
        <w:t xml:space="preserve">  14 天内</w:t>
      </w:r>
      <w:r>
        <w:rPr>
          <w:rFonts w:hint="eastAsia" w:ascii="仿宋" w:hAnsi="仿宋" w:eastAsia="仿宋" w:cs="仿宋"/>
          <w:i w:val="0"/>
          <w:iCs w:val="0"/>
          <w:sz w:val="24"/>
          <w:szCs w:val="24"/>
          <w:highlight w:val="none"/>
        </w:rPr>
        <w:t>形成签章齐全的经济技术资料。</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变更合同价款按下列方法进行：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（1）如果投标报价中有相应综合单价的，则按原有综合单价计算，以实际工程量结算；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（2）如果投标报价中有相应综合单价，但出现材料变更的，则只调材差，调整部分按投标文件综合单价计取相应的管理费、利润及税金。</w:t>
      </w:r>
    </w:p>
    <w:p>
      <w:pPr>
        <w:pStyle w:val="8"/>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（3）非以上（1）、（2）两种情况，执行</w:t>
      </w:r>
      <w:r>
        <w:rPr>
          <w:rFonts w:ascii="仿宋" w:hAnsi="仿宋" w:eastAsia="仿宋" w:cs="仿宋"/>
          <w:sz w:val="24"/>
          <w:szCs w:val="24"/>
          <w:highlight w:val="none"/>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highlight w:val="none"/>
        </w:rPr>
        <w:t>版价目表及/或相关地方规定以及投标清单以外项目竞报费率，以实际工程量结算。投标文件中已有价格的材料执行投标价格，投标文件中没有价格的主要材料按照发包人书面确定的价格执行。</w:t>
      </w:r>
    </w:p>
    <w:tbl>
      <w:tblPr>
        <w:tblStyle w:val="18"/>
        <w:tblpPr w:leftFromText="180" w:rightFromText="180" w:vertAnchor="text" w:tblpXSpec="center" w:tblpY="1"/>
        <w:tblOverlap w:val="never"/>
        <w:tblW w:w="8633"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2"/>
        <w:gridCol w:w="1927"/>
        <w:gridCol w:w="130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textAlignment w:val="auto"/>
              <w:rPr>
                <w:rFonts w:ascii="仿宋" w:hAnsi="仿宋" w:eastAsia="仿宋" w:cs="仿宋"/>
                <w:sz w:val="24"/>
                <w:szCs w:val="24"/>
                <w:highlight w:val="none"/>
              </w:rPr>
            </w:pPr>
            <w:r>
              <w:rPr>
                <w:rFonts w:hint="eastAsia" w:ascii="仿宋" w:hAnsi="仿宋" w:eastAsia="仿宋" w:cs="仿宋"/>
                <w:sz w:val="24"/>
                <w:szCs w:val="24"/>
                <w:highlight w:val="none"/>
              </w:rPr>
              <w:t>当出现清单以外新增项目时竞报费率</w:t>
            </w:r>
          </w:p>
        </w:tc>
        <w:tc>
          <w:tcPr>
            <w:tcW w:w="1927"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建筑、装饰工程</w:t>
            </w:r>
          </w:p>
        </w:tc>
        <w:tc>
          <w:tcPr>
            <w:tcW w:w="1305" w:type="dxa"/>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安装工程</w:t>
            </w:r>
          </w:p>
        </w:tc>
        <w:tc>
          <w:tcPr>
            <w:tcW w:w="1309"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修缮工程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人工单价(元/工日)</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138</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企业管理费率(%)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3.8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利润率(%)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4.6</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计日工人工单价(元/工日)</w:t>
            </w:r>
          </w:p>
        </w:tc>
        <w:tc>
          <w:tcPr>
            <w:tcW w:w="4541" w:type="dxa"/>
            <w:gridSpan w:val="3"/>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138</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
          <w:bCs/>
          <w:sz w:val="24"/>
          <w:szCs w:val="24"/>
          <w:highlight w:val="none"/>
        </w:rPr>
      </w:pPr>
      <w:r>
        <w:rPr>
          <w:rFonts w:hint="eastAsia" w:ascii="仿宋" w:hAnsi="仿宋" w:eastAsia="仿宋" w:cs="仿宋"/>
          <w:sz w:val="24"/>
          <w:szCs w:val="24"/>
          <w:highlight w:val="none"/>
        </w:rPr>
        <w:t>（4）非以上（1）、（2）、（3）三种情况，由承包人事前提出书面报价，由发包人按照规定程序审批后确定单价，以实际工程量结算。</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五、材料设备的供应和采购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仿宋" w:hAnsi="仿宋" w:eastAsia="仿宋" w:cs="仿宋"/>
          <w:kern w:val="0"/>
          <w:sz w:val="24"/>
          <w:szCs w:val="24"/>
          <w:highlight w:val="none"/>
        </w:rPr>
      </w:pPr>
      <w:r>
        <w:rPr>
          <w:rFonts w:hint="eastAsia" w:ascii="仿宋" w:hAnsi="仿宋" w:eastAsia="仿宋" w:cs="仿宋"/>
          <w:kern w:val="0"/>
          <w:sz w:val="24"/>
          <w:szCs w:val="24"/>
          <w:highlight w:val="none"/>
        </w:rPr>
        <w:t>5.1本工程的材料、设备由承包人采购。</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5.2</w:t>
      </w:r>
      <w:r>
        <w:rPr>
          <w:rFonts w:hint="eastAsia" w:ascii="仿宋" w:hAnsi="仿宋" w:eastAsia="仿宋" w:cs="仿宋"/>
          <w:sz w:val="24"/>
          <w:highlight w:val="none"/>
        </w:rPr>
        <w:t>本工程的</w:t>
      </w:r>
      <w:r>
        <w:rPr>
          <w:rFonts w:hint="eastAsia" w:ascii="仿宋" w:hAnsi="仿宋" w:eastAsia="仿宋" w:cs="仿宋"/>
          <w:sz w:val="24"/>
          <w:szCs w:val="24"/>
          <w:highlight w:val="none"/>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kern w:val="0"/>
          <w:sz w:val="24"/>
          <w:szCs w:val="24"/>
          <w:highlight w:val="none"/>
        </w:rPr>
      </w:pPr>
      <w:r>
        <w:rPr>
          <w:rFonts w:hint="eastAsia" w:ascii="仿宋" w:hAnsi="仿宋" w:eastAsia="仿宋" w:cs="仿宋"/>
          <w:sz w:val="24"/>
          <w:szCs w:val="24"/>
          <w:highlight w:val="none"/>
        </w:rPr>
        <w:t>承包人未按照上述约定执行的，一经发现应按照</w:t>
      </w:r>
      <w:r>
        <w:rPr>
          <w:rFonts w:hint="eastAsia" w:ascii="仿宋" w:hAnsi="仿宋" w:eastAsia="仿宋" w:cs="仿宋"/>
          <w:sz w:val="24"/>
          <w:szCs w:val="24"/>
          <w:highlight w:val="none"/>
          <w:u w:val="single"/>
        </w:rPr>
        <w:t>合同约定使用材料及设备总价的2倍</w:t>
      </w:r>
      <w:r>
        <w:rPr>
          <w:rFonts w:hint="eastAsia" w:ascii="仿宋" w:hAnsi="仿宋" w:eastAsia="仿宋" w:cs="仿宋"/>
          <w:sz w:val="24"/>
          <w:szCs w:val="24"/>
          <w:highlight w:val="none"/>
        </w:rPr>
        <w:t>向发包人承担违约金，同时应按照发包人要求予以整改，替换成合格的材料和设备，因整改造成工期延误的由承包人承担工期延误。</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firstLine="422" w:firstLineChars="175"/>
        <w:textAlignment w:val="auto"/>
        <w:rPr>
          <w:rFonts w:ascii="仿宋" w:hAnsi="仿宋" w:eastAsia="仿宋" w:cs="仿宋"/>
          <w:b/>
          <w:bCs/>
          <w:sz w:val="24"/>
          <w:szCs w:val="24"/>
          <w:highlight w:val="none"/>
        </w:rPr>
      </w:pPr>
      <w:r>
        <w:rPr>
          <w:rFonts w:hint="eastAsia" w:ascii="仿宋" w:hAnsi="仿宋" w:eastAsia="仿宋" w:cs="仿宋"/>
          <w:b/>
          <w:bCs/>
          <w:sz w:val="24"/>
          <w:szCs w:val="24"/>
          <w:highlight w:val="none"/>
        </w:rPr>
        <w:t>竣工验收及结算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6.1工程完成后，在组织竣工验收前，承包人应向发包人移交</w:t>
      </w:r>
      <w:r>
        <w:rPr>
          <w:rFonts w:hint="eastAsia" w:ascii="仿宋" w:hAnsi="仿宋" w:eastAsia="仿宋" w:cs="仿宋"/>
          <w:sz w:val="24"/>
          <w:szCs w:val="24"/>
          <w:highlight w:val="none"/>
          <w:u w:val="single"/>
        </w:rPr>
        <w:t>三</w:t>
      </w:r>
      <w:r>
        <w:rPr>
          <w:rFonts w:hint="eastAsia" w:ascii="仿宋" w:hAnsi="仿宋" w:eastAsia="仿宋" w:cs="仿宋"/>
          <w:sz w:val="24"/>
          <w:szCs w:val="24"/>
          <w:highlight w:val="none"/>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ascii="仿宋" w:hAnsi="仿宋" w:eastAsia="仿宋" w:cs="仿宋"/>
          <w:sz w:val="24"/>
          <w:szCs w:val="24"/>
          <w:highlight w:val="none"/>
        </w:rPr>
        <w:t>6.2</w:t>
      </w:r>
      <w:r>
        <w:rPr>
          <w:rFonts w:hint="eastAsia" w:ascii="仿宋" w:hAnsi="仿宋" w:eastAsia="仿宋" w:cs="仿宋"/>
          <w:sz w:val="24"/>
          <w:szCs w:val="24"/>
          <w:highlight w:val="none"/>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.3</w:t>
      </w:r>
      <w:r>
        <w:rPr>
          <w:rFonts w:hint="eastAsia" w:ascii="仿宋" w:hAnsi="仿宋" w:eastAsia="仿宋" w:cs="仿宋"/>
          <w:sz w:val="24"/>
          <w:szCs w:val="24"/>
          <w:highlight w:val="none"/>
        </w:rPr>
        <w:t xml:space="preserve"> 凡项目竣工验收合格后承包人超期未报审竣工结算资料的，每拖延一个月，承包人应根据发包人要求向发包人支付1000-5000元。</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ascii="仿宋" w:hAnsi="仿宋" w:eastAsia="仿宋" w:cs="仿宋"/>
          <w:sz w:val="24"/>
          <w:szCs w:val="24"/>
          <w:highlight w:val="none"/>
        </w:rPr>
        <w:t>.4</w:t>
      </w:r>
      <w:r>
        <w:rPr>
          <w:rFonts w:hint="eastAsia" w:ascii="仿宋" w:hAnsi="仿宋" w:eastAsia="仿宋" w:cs="仿宋"/>
          <w:sz w:val="24"/>
          <w:szCs w:val="24"/>
          <w:highlight w:val="none"/>
        </w:rPr>
        <w:t>承包人未及时配合工程审计单位开展工作的，承包人应根据发包人要求向发包人支付3000-10000元/次。</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highlight w:val="none"/>
        </w:rPr>
      </w:pPr>
      <w:r>
        <w:rPr>
          <w:rFonts w:hint="eastAsia" w:ascii="仿宋" w:hAnsi="仿宋" w:eastAsia="仿宋" w:cs="仿宋"/>
          <w:sz w:val="24"/>
          <w:szCs w:val="24"/>
          <w:highlight w:val="none"/>
          <w:lang w:val="en-US" w:eastAsia="zh-CN"/>
        </w:rPr>
        <w:t>6.5承包人应</w:t>
      </w:r>
      <w:r>
        <w:rPr>
          <w:rFonts w:hint="eastAsia" w:ascii="仿宋" w:hAnsi="仿宋" w:eastAsia="仿宋" w:cs="仿宋"/>
          <w:sz w:val="24"/>
          <w:szCs w:val="24"/>
          <w:highlight w:val="none"/>
        </w:rPr>
        <w:t>按照《项目结算审计须知》要求整理完毕报审资料，提报资料真实、准确、完整，审计过程中不再主动补充漏报结算及相关资料，并将按照要求配合审计，按时到场，及时反馈意见，不以任何理由拖延审计工作；如</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提出需要补充资料，</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承诺按照要求及时提供相关资料；如</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确需补充漏报结算或资料须经</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同意</w:t>
      </w:r>
      <w:r>
        <w:rPr>
          <w:rFonts w:hint="eastAsia" w:ascii="仿宋" w:hAnsi="仿宋" w:eastAsia="仿宋" w:cs="仿宋"/>
          <w:sz w:val="24"/>
          <w:szCs w:val="24"/>
          <w:highlight w:val="none"/>
          <w:lang w:eastAsia="zh-CN"/>
        </w:rPr>
        <w:t>。</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6.6</w:t>
      </w:r>
      <w:r>
        <w:rPr>
          <w:rFonts w:hint="eastAsia" w:ascii="仿宋" w:hAnsi="仿宋" w:eastAsia="仿宋" w:cs="仿宋"/>
          <w:sz w:val="24"/>
          <w:szCs w:val="24"/>
          <w:highlight w:val="none"/>
        </w:rPr>
        <w:t>工程项目结算报审金额100万元以下，综合审减率超出10%的；结算报审金额100万元以上且1000万元以下，综合审减率超出8%的；结算报审金额1000万元</w:t>
      </w:r>
      <w:r>
        <w:rPr>
          <w:rFonts w:hint="eastAsia" w:ascii="仿宋" w:hAnsi="仿宋" w:eastAsia="仿宋" w:cs="仿宋"/>
          <w:sz w:val="24"/>
          <w:szCs w:val="24"/>
          <w:highlight w:val="none"/>
          <w:lang w:val="en-US" w:eastAsia="zh-CN"/>
        </w:rPr>
        <w:t>及</w:t>
      </w:r>
      <w:r>
        <w:rPr>
          <w:rFonts w:hint="eastAsia" w:ascii="仿宋" w:hAnsi="仿宋" w:eastAsia="仿宋" w:cs="仿宋"/>
          <w:sz w:val="24"/>
          <w:szCs w:val="24"/>
          <w:highlight w:val="none"/>
        </w:rPr>
        <w:t>以上，综合审减率超出5%的工程项目，</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均按超出部分的</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%承担考核费用。</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6.7</w:t>
      </w:r>
      <w:r>
        <w:rPr>
          <w:rFonts w:hint="eastAsia" w:ascii="仿宋" w:hAnsi="仿宋" w:eastAsia="仿宋" w:cs="仿宋"/>
          <w:sz w:val="24"/>
          <w:szCs w:val="24"/>
          <w:highlight w:val="none"/>
        </w:rPr>
        <w:t>分部及分项清单单项审定金额与报审金额相比，分项审减率30%及以下不予处罚；分项审减率30%以上且50%以下的，</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按超出30%部分的</w:t>
      </w:r>
      <w:r>
        <w:rPr>
          <w:rFonts w:hint="eastAsia" w:ascii="仿宋" w:hAnsi="仿宋" w:eastAsia="仿宋" w:cs="仿宋"/>
          <w:sz w:val="24"/>
          <w:szCs w:val="24"/>
          <w:highlight w:val="none"/>
          <w:lang w:val="en-US" w:eastAsia="zh-CN"/>
        </w:rPr>
        <w:t>15</w:t>
      </w:r>
      <w:r>
        <w:rPr>
          <w:rFonts w:hint="eastAsia" w:ascii="仿宋" w:hAnsi="仿宋" w:eastAsia="仿宋" w:cs="仿宋"/>
          <w:sz w:val="24"/>
          <w:szCs w:val="24"/>
          <w:highlight w:val="none"/>
        </w:rPr>
        <w:t>%承担考核费用；分项审减率</w:t>
      </w:r>
      <w:r>
        <w:rPr>
          <w:rFonts w:hint="eastAsia" w:ascii="仿宋" w:hAnsi="仿宋" w:eastAsia="仿宋" w:cs="仿宋"/>
          <w:sz w:val="24"/>
          <w:szCs w:val="24"/>
          <w:highlight w:val="none"/>
          <w:lang w:val="en-US" w:eastAsia="zh-CN"/>
        </w:rPr>
        <w:t>大于等于</w:t>
      </w:r>
      <w:r>
        <w:rPr>
          <w:rFonts w:hint="eastAsia" w:ascii="仿宋" w:hAnsi="仿宋" w:eastAsia="仿宋" w:cs="仿宋"/>
          <w:sz w:val="24"/>
          <w:szCs w:val="24"/>
          <w:highlight w:val="none"/>
        </w:rPr>
        <w:t>50%</w:t>
      </w:r>
      <w:r>
        <w:rPr>
          <w:rFonts w:hint="eastAsia" w:ascii="仿宋" w:hAnsi="仿宋" w:eastAsia="仿宋" w:cs="仿宋"/>
          <w:sz w:val="24"/>
          <w:szCs w:val="24"/>
          <w:highlight w:val="none"/>
          <w:lang w:val="en-US" w:eastAsia="zh-CN"/>
        </w:rPr>
        <w:t>且小于100%</w:t>
      </w:r>
      <w:r>
        <w:rPr>
          <w:rFonts w:hint="eastAsia" w:ascii="仿宋" w:hAnsi="仿宋" w:eastAsia="仿宋" w:cs="仿宋"/>
          <w:sz w:val="24"/>
          <w:szCs w:val="24"/>
          <w:highlight w:val="none"/>
        </w:rPr>
        <w:t>的，</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按超出30%部分的</w:t>
      </w:r>
      <w:r>
        <w:rPr>
          <w:rFonts w:hint="eastAsia" w:ascii="仿宋" w:hAnsi="仿宋" w:eastAsia="仿宋" w:cs="仿宋"/>
          <w:sz w:val="24"/>
          <w:szCs w:val="24"/>
          <w:highlight w:val="none"/>
          <w:lang w:val="en-US" w:eastAsia="zh-CN"/>
        </w:rPr>
        <w:t>30</w:t>
      </w:r>
      <w:r>
        <w:rPr>
          <w:rFonts w:hint="eastAsia" w:ascii="仿宋" w:hAnsi="仿宋" w:eastAsia="仿宋" w:cs="仿宋"/>
          <w:sz w:val="24"/>
          <w:szCs w:val="24"/>
          <w:highlight w:val="none"/>
        </w:rPr>
        <w:t>%承担考核费用</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分项审减率等于100%的，承包人</w:t>
      </w:r>
      <w:r>
        <w:rPr>
          <w:rFonts w:hint="eastAsia" w:ascii="仿宋" w:hAnsi="仿宋" w:eastAsia="仿宋" w:cs="仿宋"/>
          <w:sz w:val="24"/>
          <w:szCs w:val="24"/>
          <w:highlight w:val="none"/>
        </w:rPr>
        <w:t>按</w:t>
      </w:r>
      <w:r>
        <w:rPr>
          <w:rFonts w:hint="eastAsia" w:ascii="仿宋" w:hAnsi="仿宋" w:eastAsia="仿宋" w:cs="仿宋"/>
          <w:sz w:val="24"/>
          <w:szCs w:val="24"/>
          <w:highlight w:val="none"/>
          <w:lang w:val="en-US" w:eastAsia="zh-CN"/>
        </w:rPr>
        <w:t>审减金额的50</w:t>
      </w:r>
      <w:r>
        <w:rPr>
          <w:rFonts w:hint="eastAsia" w:ascii="仿宋" w:hAnsi="仿宋" w:eastAsia="仿宋" w:cs="仿宋"/>
          <w:sz w:val="24"/>
          <w:szCs w:val="24"/>
          <w:highlight w:val="none"/>
        </w:rPr>
        <w:t>%承担考核费用。</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6.8</w:t>
      </w:r>
      <w:r>
        <w:rPr>
          <w:rFonts w:hint="eastAsia" w:ascii="仿宋" w:hAnsi="仿宋" w:eastAsia="仿宋" w:cs="仿宋"/>
          <w:sz w:val="24"/>
          <w:szCs w:val="24"/>
          <w:highlight w:val="none"/>
        </w:rPr>
        <w:t>除</w:t>
      </w:r>
      <w:r>
        <w:rPr>
          <w:rFonts w:hint="eastAsia" w:ascii="仿宋" w:hAnsi="仿宋" w:eastAsia="仿宋" w:cs="仿宋"/>
          <w:sz w:val="24"/>
          <w:szCs w:val="24"/>
          <w:highlight w:val="none"/>
          <w:lang w:val="en-US" w:eastAsia="zh-CN"/>
        </w:rPr>
        <w:t>发包人</w:t>
      </w:r>
      <w:r>
        <w:rPr>
          <w:rFonts w:hint="eastAsia" w:ascii="仿宋" w:hAnsi="仿宋" w:eastAsia="仿宋" w:cs="仿宋"/>
          <w:sz w:val="24"/>
          <w:szCs w:val="24"/>
          <w:highlight w:val="none"/>
        </w:rPr>
        <w:t>审计</w:t>
      </w:r>
      <w:r>
        <w:rPr>
          <w:rFonts w:hint="eastAsia" w:ascii="仿宋" w:hAnsi="仿宋" w:eastAsia="仿宋" w:cs="仿宋"/>
          <w:sz w:val="24"/>
          <w:szCs w:val="24"/>
          <w:highlight w:val="none"/>
          <w:lang w:val="en-US" w:eastAsia="zh-CN"/>
        </w:rPr>
        <w:t>监察</w:t>
      </w:r>
      <w:r>
        <w:rPr>
          <w:rFonts w:hint="eastAsia" w:ascii="仿宋" w:hAnsi="仿宋" w:eastAsia="仿宋" w:cs="仿宋"/>
          <w:sz w:val="24"/>
          <w:szCs w:val="24"/>
          <w:highlight w:val="none"/>
        </w:rPr>
        <w:t>部或委托审计机构要求补充的资料外，</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初次报审后再次以漏报为由报增的，按报增部分</w:t>
      </w:r>
      <w:r>
        <w:rPr>
          <w:rFonts w:hint="eastAsia" w:ascii="仿宋" w:hAnsi="仿宋" w:eastAsia="仿宋" w:cs="仿宋"/>
          <w:sz w:val="24"/>
          <w:szCs w:val="24"/>
          <w:highlight w:val="none"/>
          <w:lang w:val="en-US" w:eastAsia="zh-CN"/>
        </w:rPr>
        <w:t>报审</w:t>
      </w:r>
      <w:r>
        <w:rPr>
          <w:rFonts w:hint="eastAsia" w:ascii="仿宋" w:hAnsi="仿宋" w:eastAsia="仿宋" w:cs="仿宋"/>
          <w:sz w:val="24"/>
          <w:szCs w:val="24"/>
          <w:highlight w:val="none"/>
        </w:rPr>
        <w:t>金额的10%承担考核费用。</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6.9按上述考核规则，当考核金额合计不超过5000或不超过(审减金额-报审金额*10%)*25%时，承包人按5000与(审减金额-报审金额*10%)*25%中较大值承担考核费用；当考核金额合计大于5000且大于(审减金额-报审金额*10%)*25%时，承包人按实际考核金额承担考核费用。</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6.10</w:t>
      </w:r>
      <w:r>
        <w:rPr>
          <w:rFonts w:hint="eastAsia" w:ascii="仿宋" w:hAnsi="仿宋" w:eastAsia="仿宋" w:cs="仿宋"/>
          <w:sz w:val="24"/>
          <w:szCs w:val="24"/>
          <w:highlight w:val="none"/>
        </w:rPr>
        <w:t>如因</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提供竣工图纸或竣工结算资料有错误，导致审计工程师重复计算或未按期完成审计工作，</w:t>
      </w:r>
      <w:r>
        <w:rPr>
          <w:rFonts w:hint="eastAsia" w:ascii="仿宋" w:hAnsi="仿宋" w:eastAsia="仿宋" w:cs="仿宋"/>
          <w:sz w:val="24"/>
          <w:szCs w:val="24"/>
          <w:highlight w:val="none"/>
          <w:lang w:val="en-US" w:eastAsia="zh-CN"/>
        </w:rPr>
        <w:t>承包人</w:t>
      </w:r>
      <w:r>
        <w:rPr>
          <w:rFonts w:hint="eastAsia" w:ascii="仿宋" w:hAnsi="仿宋" w:eastAsia="仿宋" w:cs="仿宋"/>
          <w:sz w:val="24"/>
          <w:szCs w:val="24"/>
          <w:highlight w:val="none"/>
        </w:rPr>
        <w:t>愿意承担由此引起的责任及相关审计费用。</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11</w:t>
      </w:r>
      <w:r>
        <w:rPr>
          <w:rFonts w:hint="eastAsia" w:ascii="仿宋" w:hAnsi="仿宋" w:eastAsia="仿宋" w:cs="仿宋"/>
          <w:sz w:val="24"/>
          <w:szCs w:val="24"/>
          <w:highlight w:val="none"/>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 xml:space="preserve">承包人应在竣工验收合格后 </w:t>
      </w:r>
      <w:r>
        <w:rPr>
          <w:rFonts w:hint="eastAsia" w:ascii="仿宋" w:hAnsi="仿宋" w:eastAsia="仿宋" w:cs="仿宋"/>
          <w:sz w:val="24"/>
          <w:szCs w:val="24"/>
          <w:highlight w:val="none"/>
          <w:u w:val="single"/>
        </w:rPr>
        <w:t xml:space="preserve">7 </w:t>
      </w:r>
      <w:r>
        <w:rPr>
          <w:rFonts w:hint="eastAsia" w:ascii="仿宋" w:hAnsi="仿宋" w:eastAsia="仿宋" w:cs="仿宋"/>
          <w:sz w:val="24"/>
          <w:szCs w:val="24"/>
          <w:highlight w:val="none"/>
        </w:rPr>
        <w:t>日内完成以下工作：</w:t>
      </w:r>
    </w:p>
    <w:p>
      <w:pPr>
        <w:keepNext w:val="0"/>
        <w:keepLines w:val="0"/>
        <w:pageBreakBefore w:val="0"/>
        <w:widowControl w:val="0"/>
        <w:tabs>
          <w:tab w:val="left" w:pos="720"/>
          <w:tab w:val="left" w:pos="1260"/>
        </w:tabs>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highlight w:val="none"/>
        </w:rPr>
        <w:t>0.5</w:t>
      </w:r>
      <w:r>
        <w:rPr>
          <w:rFonts w:hint="eastAsia" w:ascii="仿宋" w:hAnsi="仿宋" w:eastAsia="仿宋" w:cs="仿宋"/>
          <w:sz w:val="24"/>
          <w:szCs w:val="24"/>
          <w:highlight w:val="none"/>
        </w:rPr>
        <w:t>‰的金额向发包人支付违约金。</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6.</w:t>
      </w:r>
      <w:r>
        <w:rPr>
          <w:rFonts w:hint="eastAsia" w:ascii="仿宋" w:hAnsi="仿宋" w:eastAsia="仿宋" w:cs="仿宋"/>
          <w:sz w:val="24"/>
          <w:szCs w:val="24"/>
          <w:highlight w:val="none"/>
          <w:lang w:val="en-US" w:eastAsia="zh-CN"/>
        </w:rPr>
        <w:t>13</w:t>
      </w:r>
      <w:r>
        <w:rPr>
          <w:rFonts w:hint="eastAsia" w:ascii="仿宋" w:hAnsi="仿宋" w:eastAsia="仿宋" w:cs="仿宋"/>
          <w:sz w:val="24"/>
          <w:szCs w:val="24"/>
          <w:highlight w:val="none"/>
        </w:rPr>
        <w:t>工程在未移交发包人之前，承包人应负责已完工程的成品保护工作，保护期间发生损坏、失窃，承包人自费予以修复。如发包人提前使用，因使用损坏发生的修理费用由发包人承担。</w:t>
      </w:r>
    </w:p>
    <w:p>
      <w:pPr>
        <w:keepNext w:val="0"/>
        <w:keepLines w:val="0"/>
        <w:pageBreakBefore w:val="0"/>
        <w:widowControl w:val="0"/>
        <w:kinsoku/>
        <w:wordWrap/>
        <w:overflowPunct/>
        <w:topLinePunct w:val="0"/>
        <w:bidi w:val="0"/>
        <w:adjustRightInd w:val="0"/>
        <w:snapToGrid w:val="0"/>
        <w:spacing w:line="360" w:lineRule="auto"/>
        <w:ind w:firstLine="422" w:firstLineChars="200"/>
        <w:textAlignment w:val="auto"/>
        <w:rPr>
          <w:rFonts w:ascii="仿宋" w:hAnsi="仿宋" w:eastAsia="仿宋" w:cs="仿宋"/>
          <w:b/>
          <w:bCs/>
          <w:sz w:val="24"/>
          <w:szCs w:val="24"/>
          <w:highlight w:val="none"/>
        </w:rPr>
      </w:pPr>
      <w:bookmarkStart w:id="32" w:name="_第十一条_工程结算"/>
      <w:bookmarkEnd w:id="32"/>
      <w:r>
        <w:rPr>
          <w:rStyle w:val="25"/>
          <w:rFonts w:hint="eastAsia" w:ascii="仿宋" w:hAnsi="仿宋" w:eastAsia="仿宋" w:cs="仿宋"/>
          <w:b/>
          <w:bCs/>
          <w:highlight w:val="none"/>
        </w:rPr>
        <w:t>七</w:t>
      </w:r>
      <w:r>
        <w:rPr>
          <w:rFonts w:hint="eastAsia" w:ascii="仿宋" w:hAnsi="仿宋" w:eastAsia="仿宋" w:cs="仿宋"/>
          <w:b/>
          <w:bCs/>
          <w:sz w:val="24"/>
          <w:szCs w:val="24"/>
          <w:highlight w:val="none"/>
        </w:rPr>
        <w:t>、质量保修</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7.1本合同工程质量保修期：建设工程的保修期</w:t>
      </w:r>
      <w:r>
        <w:rPr>
          <w:rFonts w:hint="eastAsia" w:ascii="仿宋" w:hAnsi="仿宋" w:eastAsia="仿宋" w:cs="仿宋"/>
          <w:sz w:val="24"/>
          <w:szCs w:val="24"/>
          <w:highlight w:val="none"/>
          <w:u w:val="single"/>
          <w:lang w:val="en-US" w:eastAsia="zh-CN"/>
        </w:rPr>
        <w:t>执行</w:t>
      </w:r>
      <w:r>
        <w:rPr>
          <w:rFonts w:hint="eastAsia" w:ascii="仿宋" w:hAnsi="仿宋" w:eastAsia="仿宋" w:cs="仿宋"/>
          <w:sz w:val="24"/>
          <w:szCs w:val="24"/>
          <w:highlight w:val="none"/>
          <w:u w:val="single"/>
        </w:rPr>
        <w:t>《工程质量保修书》</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详见本合同附件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《工程质量保修书》。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ascii="仿宋" w:hAnsi="仿宋" w:eastAsia="仿宋" w:cs="仿宋"/>
          <w:sz w:val="24"/>
          <w:szCs w:val="24"/>
          <w:highlight w:val="none"/>
        </w:rPr>
      </w:pPr>
      <w:r>
        <w:rPr>
          <w:rFonts w:hint="eastAsia" w:ascii="仿宋" w:hAnsi="仿宋" w:eastAsia="仿宋" w:cs="仿宋"/>
          <w:sz w:val="24"/>
          <w:szCs w:val="24"/>
          <w:highlight w:val="none"/>
        </w:rPr>
        <w:t>7.2在保修期内出现质量问题经修复完成后，相应保修期重新计算。</w:t>
      </w:r>
    </w:p>
    <w:p>
      <w:pPr>
        <w:pStyle w:val="29"/>
        <w:keepNext w:val="0"/>
        <w:keepLines w:val="0"/>
        <w:pageBreakBefore w:val="0"/>
        <w:widowControl w:val="0"/>
        <w:kinsoku/>
        <w:wordWrap/>
        <w:overflowPunct/>
        <w:topLinePunct w:val="0"/>
        <w:bidi w:val="0"/>
        <w:snapToGrid w:val="0"/>
        <w:spacing w:before="0" w:after="0" w:line="360" w:lineRule="auto"/>
        <w:ind w:left="420" w:leftChars="200" w:right="0"/>
        <w:textAlignment w:val="auto"/>
        <w:rPr>
          <w:rFonts w:ascii="仿宋" w:hAnsi="仿宋" w:eastAsia="仿宋" w:cs="仿宋"/>
          <w:b/>
          <w:bCs/>
          <w:szCs w:val="24"/>
          <w:highlight w:val="none"/>
        </w:rPr>
      </w:pPr>
      <w:r>
        <w:rPr>
          <w:rFonts w:hint="eastAsia" w:ascii="仿宋" w:hAnsi="仿宋" w:eastAsia="仿宋" w:cs="仿宋"/>
          <w:b/>
          <w:bCs/>
          <w:szCs w:val="24"/>
          <w:highlight w:val="none"/>
        </w:rPr>
        <w:t>八、违约责任</w:t>
      </w:r>
    </w:p>
    <w:p>
      <w:pPr>
        <w:keepNext w:val="0"/>
        <w:keepLines w:val="0"/>
        <w:pageBreakBefore w:val="0"/>
        <w:widowControl w:val="0"/>
        <w:kinsoku/>
        <w:wordWrap/>
        <w:overflowPunct/>
        <w:topLinePunct w:val="0"/>
        <w:bidi w:val="0"/>
        <w:adjustRightInd w:val="0"/>
        <w:snapToGrid w:val="0"/>
        <w:spacing w:line="360" w:lineRule="auto"/>
        <w:ind w:firstLine="420" w:firstLineChars="175"/>
        <w:jc w:val="left"/>
        <w:textAlignment w:val="auto"/>
        <w:rPr>
          <w:rFonts w:ascii="仿宋" w:hAnsi="仿宋" w:eastAsia="仿宋" w:cs="仿宋"/>
          <w:sz w:val="24"/>
          <w:szCs w:val="24"/>
          <w:highlight w:val="none"/>
        </w:rPr>
      </w:pPr>
      <w:r>
        <w:rPr>
          <w:rFonts w:hint="eastAsia" w:ascii="仿宋" w:hAnsi="仿宋" w:eastAsia="仿宋" w:cs="仿宋"/>
          <w:sz w:val="24"/>
          <w:szCs w:val="24"/>
          <w:highlight w:val="none"/>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highlight w:val="none"/>
        </w:rPr>
        <w:t>000</w:t>
      </w:r>
      <w:r>
        <w:rPr>
          <w:rFonts w:hint="eastAsia" w:ascii="仿宋" w:hAnsi="仿宋" w:eastAsia="仿宋" w:cs="仿宋"/>
          <w:sz w:val="24"/>
          <w:szCs w:val="24"/>
          <w:highlight w:val="none"/>
        </w:rPr>
        <w:t>-</w:t>
      </w:r>
      <w:r>
        <w:rPr>
          <w:rFonts w:ascii="仿宋" w:hAnsi="仿宋" w:eastAsia="仿宋" w:cs="仿宋"/>
          <w:sz w:val="24"/>
          <w:szCs w:val="24"/>
          <w:highlight w:val="none"/>
        </w:rPr>
        <w:t>100000元</w:t>
      </w:r>
      <w:r>
        <w:rPr>
          <w:rFonts w:hint="eastAsia" w:ascii="仿宋" w:hAnsi="仿宋" w:eastAsia="仿宋" w:cs="仿宋"/>
          <w:sz w:val="24"/>
          <w:szCs w:val="24"/>
          <w:highlight w:val="none"/>
        </w:rPr>
        <w:t>/次作为赔偿金；如</w:t>
      </w:r>
      <w:r>
        <w:rPr>
          <w:rFonts w:ascii="仿宋" w:hAnsi="仿宋" w:eastAsia="仿宋" w:cs="仿宋"/>
          <w:sz w:val="24"/>
          <w:szCs w:val="24"/>
          <w:highlight w:val="none"/>
        </w:rPr>
        <w:t>发生承包人及</w:t>
      </w:r>
      <w:r>
        <w:rPr>
          <w:rFonts w:hint="eastAsia" w:ascii="仿宋" w:hAnsi="仿宋" w:eastAsia="仿宋" w:cs="仿宋"/>
          <w:sz w:val="24"/>
          <w:szCs w:val="24"/>
          <w:highlight w:val="none"/>
        </w:rPr>
        <w:t>/或</w:t>
      </w:r>
      <w:r>
        <w:rPr>
          <w:rFonts w:ascii="仿宋" w:hAnsi="仿宋" w:eastAsia="仿宋" w:cs="仿宋"/>
          <w:sz w:val="24"/>
          <w:szCs w:val="24"/>
          <w:highlight w:val="none"/>
        </w:rPr>
        <w:t>实际施工人存在无相关许可资质</w:t>
      </w:r>
      <w:r>
        <w:rPr>
          <w:rFonts w:hint="eastAsia" w:ascii="仿宋" w:hAnsi="仿宋" w:eastAsia="仿宋" w:cs="仿宋"/>
          <w:sz w:val="24"/>
          <w:szCs w:val="24"/>
          <w:highlight w:val="none"/>
        </w:rPr>
        <w:t>、借用或冒用他人的资质、印章等严</w:t>
      </w:r>
      <w:r>
        <w:rPr>
          <w:rFonts w:hint="eastAsia" w:ascii="仿宋" w:hAnsi="仿宋" w:eastAsia="仿宋" w:cs="仿宋"/>
          <w:i w:val="0"/>
          <w:iCs w:val="0"/>
          <w:sz w:val="24"/>
          <w:szCs w:val="24"/>
          <w:highlight w:val="none"/>
        </w:rPr>
        <w:t>重情节（具体以发包人认定为准）的，发包人有权终止合同，同时承包人按合同最终结算价</w:t>
      </w:r>
      <w:r>
        <w:rPr>
          <w:rFonts w:hint="eastAsia" w:ascii="仿宋" w:hAnsi="仿宋" w:eastAsia="仿宋" w:cs="仿宋"/>
          <w:i w:val="0"/>
          <w:iCs w:val="0"/>
          <w:sz w:val="24"/>
          <w:szCs w:val="24"/>
          <w:highlight w:val="none"/>
          <w:u w:val="single"/>
        </w:rPr>
        <w:t>的10％</w:t>
      </w:r>
      <w:r>
        <w:rPr>
          <w:rFonts w:hint="eastAsia" w:ascii="仿宋" w:hAnsi="仿宋" w:eastAsia="仿宋" w:cs="仿宋"/>
          <w:i w:val="0"/>
          <w:iCs w:val="0"/>
          <w:sz w:val="24"/>
          <w:szCs w:val="24"/>
          <w:highlight w:val="none"/>
        </w:rPr>
        <w:t>支付违约金，没有合同最终结算价的，按</w:t>
      </w:r>
      <w:r>
        <w:rPr>
          <w:rFonts w:hint="eastAsia" w:ascii="仿宋" w:hAnsi="仿宋" w:eastAsia="仿宋" w:cs="仿宋"/>
          <w:i w:val="0"/>
          <w:iCs w:val="0"/>
          <w:sz w:val="24"/>
          <w:szCs w:val="24"/>
          <w:highlight w:val="none"/>
          <w:u w:val="single"/>
        </w:rPr>
        <w:t>合同暂定价的10％计算，</w:t>
      </w:r>
      <w:r>
        <w:rPr>
          <w:rFonts w:hint="eastAsia" w:ascii="仿宋" w:hAnsi="仿宋" w:eastAsia="仿宋" w:cs="仿宋"/>
          <w:i w:val="0"/>
          <w:iCs w:val="0"/>
          <w:sz w:val="24"/>
          <w:szCs w:val="24"/>
          <w:highlight w:val="none"/>
        </w:rPr>
        <w:t>发</w:t>
      </w:r>
      <w:r>
        <w:rPr>
          <w:rFonts w:hint="eastAsia" w:ascii="仿宋" w:hAnsi="仿宋" w:eastAsia="仿宋" w:cs="仿宋"/>
          <w:sz w:val="24"/>
          <w:szCs w:val="24"/>
          <w:highlight w:val="none"/>
        </w:rPr>
        <w:t>包人有权保留进一步索赔的权利。</w:t>
      </w:r>
    </w:p>
    <w:p>
      <w:pPr>
        <w:pStyle w:val="29"/>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highlight w:val="none"/>
        </w:rPr>
      </w:pPr>
      <w:r>
        <w:rPr>
          <w:rFonts w:hint="eastAsia" w:ascii="仿宋" w:hAnsi="仿宋" w:eastAsia="仿宋" w:cs="仿宋"/>
          <w:b/>
          <w:szCs w:val="24"/>
          <w:highlight w:val="none"/>
        </w:rPr>
        <w:t>九、争议解决</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kern w:val="0"/>
          <w:sz w:val="24"/>
          <w:szCs w:val="24"/>
          <w:highlight w:val="none"/>
        </w:rPr>
        <w:t>9.1本合同有效期内发生纠纷，由双方协商解决。如协商不成，</w:t>
      </w:r>
      <w:r>
        <w:rPr>
          <w:rFonts w:hint="eastAsia" w:ascii="仿宋" w:hAnsi="仿宋" w:eastAsia="仿宋" w:cs="仿宋"/>
          <w:sz w:val="24"/>
          <w:szCs w:val="24"/>
          <w:highlight w:val="none"/>
        </w:rPr>
        <w:t>双方同意依法向</w:t>
      </w:r>
      <w:r>
        <w:rPr>
          <w:rFonts w:hint="eastAsia" w:ascii="仿宋" w:hAnsi="仿宋" w:eastAsia="仿宋" w:cs="仿宋"/>
          <w:i w:val="0"/>
          <w:iCs w:val="0"/>
          <w:sz w:val="24"/>
          <w:szCs w:val="24"/>
          <w:highlight w:val="none"/>
          <w:u w:val="single"/>
        </w:rPr>
        <w:t>建设工程所在地有管辖权的人民法院起诉</w:t>
      </w:r>
      <w:r>
        <w:rPr>
          <w:rFonts w:hint="eastAsia" w:ascii="仿宋" w:hAnsi="仿宋" w:eastAsia="仿宋" w:cs="仿宋"/>
          <w:sz w:val="24"/>
          <w:szCs w:val="24"/>
          <w:highlight w:val="none"/>
        </w:rPr>
        <w:t>解决。</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ascii="仿宋" w:hAnsi="仿宋" w:eastAsia="仿宋" w:cs="仿宋"/>
          <w:sz w:val="24"/>
          <w:szCs w:val="24"/>
          <w:highlight w:val="none"/>
        </w:rPr>
      </w:pPr>
      <w:r>
        <w:rPr>
          <w:rFonts w:hint="eastAsia" w:ascii="仿宋" w:hAnsi="仿宋" w:eastAsia="仿宋" w:cs="仿宋"/>
          <w:b/>
          <w:bCs/>
          <w:sz w:val="24"/>
          <w:szCs w:val="24"/>
          <w:highlight w:val="none"/>
        </w:rPr>
        <w:t>十、附则</w:t>
      </w:r>
      <w:r>
        <w:rPr>
          <w:rFonts w:hint="eastAsia" w:ascii="仿宋" w:hAnsi="仿宋" w:eastAsia="仿宋" w:cs="仿宋"/>
          <w:sz w:val="24"/>
          <w:szCs w:val="24"/>
          <w:highlight w:val="none"/>
        </w:rPr>
        <w:t>（说明：根据工程实际情况，在前述条款未涉及的内容可在此进行补充）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highlight w:val="none"/>
          <w:u w:val="single"/>
        </w:rPr>
      </w:pPr>
      <w:r>
        <w:rPr>
          <w:rFonts w:hint="eastAsia" w:ascii="仿宋" w:hAnsi="仿宋" w:eastAsia="仿宋" w:cs="仿宋"/>
          <w:sz w:val="24"/>
          <w:szCs w:val="24"/>
          <w:highlight w:val="none"/>
        </w:rPr>
        <w:t>10.1发包人代表为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w:t>
      </w:r>
    </w:p>
    <w:p>
      <w:pPr>
        <w:keepNext w:val="0"/>
        <w:keepLines w:val="0"/>
        <w:pageBreakBefore w:val="0"/>
        <w:widowControl w:val="0"/>
        <w:kinsoku/>
        <w:wordWrap/>
        <w:overflowPunct/>
        <w:topLinePunct w:val="0"/>
        <w:bidi w:val="0"/>
        <w:adjustRightInd w:val="0"/>
        <w:spacing w:line="360" w:lineRule="auto"/>
        <w:ind w:firstLine="960" w:firstLineChars="400"/>
        <w:textAlignment w:val="auto"/>
        <w:rPr>
          <w:rFonts w:hint="eastAsia" w:ascii="仿宋" w:hAnsi="仿宋" w:eastAsia="仿宋" w:cs="仿宋"/>
          <w:sz w:val="24"/>
          <w:szCs w:val="24"/>
          <w:highlight w:val="none"/>
          <w:u w:val="none"/>
          <w:lang w:eastAsia="zh-CN"/>
        </w:rPr>
      </w:pPr>
      <w:r>
        <w:rPr>
          <w:rFonts w:hint="eastAsia" w:ascii="仿宋" w:hAnsi="仿宋" w:eastAsia="仿宋" w:cs="仿宋"/>
          <w:sz w:val="24"/>
          <w:szCs w:val="24"/>
          <w:highlight w:val="none"/>
        </w:rPr>
        <w:t>承包人代表为</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none"/>
        </w:rPr>
        <w:t xml:space="preserve"> ，</w:t>
      </w:r>
      <w:r>
        <w:rPr>
          <w:rFonts w:hint="eastAsia" w:ascii="仿宋" w:hAnsi="仿宋" w:eastAsia="仿宋" w:cs="仿宋"/>
          <w:sz w:val="24"/>
          <w:szCs w:val="24"/>
          <w:highlight w:val="none"/>
        </w:rPr>
        <w:t>身份证号：</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执业证书号：</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 xml:space="preserve"> 。</w:t>
      </w:r>
    </w:p>
    <w:p>
      <w:pPr>
        <w:pStyle w:val="3"/>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rPr>
        <w:t>10.2其他补充说明</w:t>
      </w:r>
    </w:p>
    <w:p>
      <w:pPr>
        <w:pStyle w:val="3"/>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乙方施工中所发生的水电费按工程总造价的0.7%扣除。</w:t>
      </w:r>
    </w:p>
    <w:p>
      <w:pPr>
        <w:pStyle w:val="3"/>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本工程所用施工机械优先使用山东重工旗下产品，进入发包方所有厂区的物流车辆必须为重汽品牌，无条件严格遵守厂区人员车辆进出管理规定，否则造成的倒运费及工期等一切损失均有承包人承担。</w:t>
      </w:r>
    </w:p>
    <w:p>
      <w:pPr>
        <w:pStyle w:val="3"/>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eastAsia="zh-CN"/>
        </w:rPr>
        <w:t>）</w:t>
      </w:r>
      <w:r>
        <w:rPr>
          <w:rFonts w:ascii="仿宋" w:hAnsi="仿宋" w:eastAsia="仿宋" w:cs="仿宋"/>
          <w:sz w:val="24"/>
          <w:szCs w:val="24"/>
          <w:highlight w:val="none"/>
        </w:rPr>
        <w:t>承包人应做好疫情防控工作，服从项目属地政府有关部门的管理要求，积极配合做好开工复工手续，</w:t>
      </w:r>
      <w:r>
        <w:rPr>
          <w:rFonts w:hint="eastAsia" w:ascii="仿宋" w:hAnsi="仿宋" w:eastAsia="仿宋" w:cs="仿宋"/>
          <w:sz w:val="24"/>
          <w:szCs w:val="24"/>
          <w:highlight w:val="none"/>
        </w:rPr>
        <w:t>施工现场疫情防控工作由施工总承包人统筹管理。防疫各项费用包含自合同签约价中，不另行计取。</w:t>
      </w:r>
    </w:p>
    <w:p>
      <w:pPr>
        <w:pStyle w:val="3"/>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lang w:eastAsia="zh-CN"/>
        </w:rPr>
        <w:t>）</w:t>
      </w:r>
      <w:r>
        <w:rPr>
          <w:rFonts w:ascii="仿宋" w:hAnsi="仿宋" w:eastAsia="仿宋" w:cs="仿宋"/>
          <w:sz w:val="24"/>
          <w:szCs w:val="24"/>
          <w:highlight w:val="none"/>
        </w:rPr>
        <w:t>工程结算审计，由发包人委托造价咨询单位审计或自行审计，基本审计费由</w:t>
      </w:r>
      <w:r>
        <w:rPr>
          <w:rFonts w:hint="eastAsia" w:ascii="仿宋" w:hAnsi="仿宋" w:eastAsia="仿宋" w:cs="仿宋"/>
          <w:sz w:val="24"/>
          <w:szCs w:val="24"/>
          <w:highlight w:val="none"/>
          <w:lang w:val="en-US" w:eastAsia="zh-CN"/>
        </w:rPr>
        <w:t>承</w:t>
      </w:r>
      <w:r>
        <w:rPr>
          <w:rFonts w:ascii="仿宋" w:hAnsi="仿宋" w:eastAsia="仿宋" w:cs="仿宋"/>
          <w:sz w:val="24"/>
          <w:szCs w:val="24"/>
          <w:highlight w:val="none"/>
        </w:rPr>
        <w:t>包人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pPr>
        <w:pStyle w:val="29"/>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highlight w:val="none"/>
        </w:rPr>
      </w:pPr>
      <w:r>
        <w:rPr>
          <w:rFonts w:hint="eastAsia" w:ascii="仿宋" w:hAnsi="仿宋" w:eastAsia="仿宋" w:cs="仿宋"/>
          <w:b/>
          <w:bCs/>
          <w:szCs w:val="24"/>
          <w:highlight w:val="none"/>
        </w:rPr>
        <w:t>十一、合同生效</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11.1本合同签订地点：</w:t>
      </w:r>
      <w:r>
        <w:rPr>
          <w:rFonts w:hint="eastAsia" w:ascii="仿宋" w:hAnsi="仿宋" w:eastAsia="仿宋" w:cs="仿宋"/>
          <w:bCs/>
          <w:sz w:val="24"/>
          <w:szCs w:val="24"/>
          <w:highlight w:val="none"/>
          <w:u w:val="single"/>
        </w:rPr>
        <w:t>_</w:t>
      </w:r>
      <w:r>
        <w:rPr>
          <w:rFonts w:hint="eastAsia" w:ascii="仿宋" w:hAnsi="仿宋" w:eastAsia="仿宋" w:cs="仿宋"/>
          <w:b w:val="0"/>
          <w:bCs/>
          <w:kern w:val="2"/>
          <w:sz w:val="24"/>
          <w:szCs w:val="24"/>
          <w:highlight w:val="none"/>
          <w:u w:val="single"/>
          <w:lang w:val="en-US" w:eastAsia="zh-CN" w:bidi="ar-SA"/>
        </w:rPr>
        <w:t xml:space="preserve">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highlight w:val="none"/>
        </w:rPr>
      </w:pPr>
      <w:r>
        <w:rPr>
          <w:rFonts w:hint="eastAsia" w:ascii="仿宋" w:hAnsi="仿宋" w:eastAsia="仿宋" w:cs="仿宋"/>
          <w:bCs/>
          <w:sz w:val="24"/>
          <w:szCs w:val="24"/>
          <w:highlight w:val="none"/>
        </w:rPr>
        <w:t>11.2本合同签订时间</w:t>
      </w:r>
      <w:r>
        <w:rPr>
          <w:rFonts w:hint="eastAsia" w:ascii="仿宋" w:hAnsi="仿宋" w:eastAsia="仿宋" w:cs="仿宋"/>
          <w:bCs/>
          <w:sz w:val="24"/>
          <w:szCs w:val="24"/>
          <w:highlight w:val="none"/>
          <w:u w:val="none"/>
        </w:rPr>
        <w:t>：</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年</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月</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single"/>
          <w:lang w:val="en-US" w:eastAsia="zh-CN"/>
        </w:rPr>
        <w:t xml:space="preserve"> </w:t>
      </w:r>
      <w:r>
        <w:rPr>
          <w:rFonts w:hint="eastAsia" w:ascii="仿宋" w:hAnsi="仿宋" w:eastAsia="仿宋" w:cs="仿宋"/>
          <w:bCs/>
          <w:sz w:val="24"/>
          <w:szCs w:val="24"/>
          <w:highlight w:val="none"/>
          <w:u w:val="single"/>
        </w:rPr>
        <w:t xml:space="preserve"> </w:t>
      </w:r>
      <w:r>
        <w:rPr>
          <w:rFonts w:hint="eastAsia" w:ascii="仿宋" w:hAnsi="仿宋" w:eastAsia="仿宋" w:cs="仿宋"/>
          <w:bCs/>
          <w:sz w:val="24"/>
          <w:szCs w:val="24"/>
          <w:highlight w:val="none"/>
          <w:u w:val="none"/>
        </w:rPr>
        <w:t>日</w:t>
      </w:r>
      <w:r>
        <w:rPr>
          <w:rFonts w:hint="eastAsia" w:ascii="仿宋" w:hAnsi="仿宋" w:eastAsia="仿宋" w:cs="仿宋"/>
          <w:bCs/>
          <w:sz w:val="24"/>
          <w:szCs w:val="24"/>
          <w:highlight w:val="none"/>
        </w:rPr>
        <w:t>签订。</w:t>
      </w:r>
    </w:p>
    <w:p>
      <w:pPr>
        <w:keepNext w:val="0"/>
        <w:keepLines w:val="0"/>
        <w:pageBreakBefore w:val="0"/>
        <w:widowControl w:val="0"/>
        <w:kinsoku/>
        <w:wordWrap/>
        <w:overflowPunct/>
        <w:topLinePunct w:val="0"/>
        <w:bidi w:val="0"/>
        <w:adjustRightInd w:val="0"/>
        <w:snapToGrid w:val="0"/>
        <w:spacing w:line="360" w:lineRule="auto"/>
        <w:ind w:left="719" w:leftChars="228" w:hanging="240" w:hangingChars="100"/>
        <w:textAlignment w:val="auto"/>
        <w:rPr>
          <w:rFonts w:ascii="仿宋" w:hAnsi="仿宋" w:eastAsia="仿宋" w:cs="仿宋"/>
          <w:bCs/>
          <w:i w:val="0"/>
          <w:iCs w:val="0"/>
          <w:sz w:val="24"/>
          <w:szCs w:val="24"/>
          <w:highlight w:val="none"/>
          <w:u w:val="single"/>
        </w:rPr>
      </w:pPr>
      <w:r>
        <w:rPr>
          <w:rFonts w:hint="eastAsia" w:ascii="仿宋" w:hAnsi="仿宋" w:eastAsia="仿宋" w:cs="仿宋"/>
          <w:bCs/>
          <w:sz w:val="24"/>
          <w:szCs w:val="24"/>
          <w:highlight w:val="none"/>
        </w:rPr>
        <w:t>11.3本合同一</w:t>
      </w:r>
      <w:r>
        <w:rPr>
          <w:rFonts w:hint="eastAsia" w:ascii="仿宋" w:hAnsi="仿宋" w:eastAsia="仿宋" w:cs="仿宋"/>
          <w:bCs/>
          <w:i w:val="0"/>
          <w:iCs w:val="0"/>
          <w:sz w:val="24"/>
          <w:szCs w:val="24"/>
          <w:highlight w:val="none"/>
        </w:rPr>
        <w:t>式</w:t>
      </w:r>
      <w:r>
        <w:rPr>
          <w:rFonts w:hint="eastAsia" w:ascii="仿宋" w:hAnsi="仿宋" w:eastAsia="仿宋" w:cs="仿宋"/>
          <w:bCs/>
          <w:i w:val="0"/>
          <w:iCs w:val="0"/>
          <w:sz w:val="24"/>
          <w:szCs w:val="24"/>
          <w:highlight w:val="none"/>
          <w:u w:val="single"/>
        </w:rPr>
        <w:t>拾</w:t>
      </w:r>
      <w:r>
        <w:rPr>
          <w:rFonts w:hint="eastAsia" w:ascii="仿宋" w:hAnsi="仿宋" w:eastAsia="仿宋" w:cs="仿宋"/>
          <w:bCs/>
          <w:i w:val="0"/>
          <w:iCs w:val="0"/>
          <w:sz w:val="24"/>
          <w:szCs w:val="24"/>
          <w:highlight w:val="none"/>
        </w:rPr>
        <w:t>份，均具有同等法律效力，发包人</w:t>
      </w:r>
      <w:r>
        <w:rPr>
          <w:rFonts w:hint="eastAsia" w:ascii="仿宋" w:hAnsi="仿宋" w:eastAsia="仿宋" w:cs="仿宋"/>
          <w:bCs/>
          <w:i w:val="0"/>
          <w:iCs w:val="0"/>
          <w:sz w:val="24"/>
          <w:szCs w:val="24"/>
          <w:highlight w:val="none"/>
          <w:u w:val="single"/>
        </w:rPr>
        <w:t xml:space="preserve"> 陆 </w:t>
      </w:r>
      <w:r>
        <w:rPr>
          <w:rFonts w:hint="eastAsia" w:ascii="仿宋" w:hAnsi="仿宋" w:eastAsia="仿宋" w:cs="仿宋"/>
          <w:bCs/>
          <w:i w:val="0"/>
          <w:iCs w:val="0"/>
          <w:sz w:val="24"/>
          <w:szCs w:val="24"/>
          <w:highlight w:val="none"/>
        </w:rPr>
        <w:t>份，承包人</w:t>
      </w:r>
      <w:r>
        <w:rPr>
          <w:rFonts w:hint="eastAsia" w:ascii="仿宋" w:hAnsi="仿宋" w:eastAsia="仿宋" w:cs="仿宋"/>
          <w:bCs/>
          <w:i w:val="0"/>
          <w:iCs w:val="0"/>
          <w:sz w:val="24"/>
          <w:szCs w:val="24"/>
          <w:highlight w:val="none"/>
          <w:u w:val="single"/>
        </w:rPr>
        <w:t xml:space="preserve">肆 </w:t>
      </w:r>
      <w:r>
        <w:rPr>
          <w:rFonts w:hint="eastAsia" w:ascii="仿宋" w:hAnsi="仿宋" w:eastAsia="仿宋" w:cs="仿宋"/>
          <w:bCs/>
          <w:i w:val="0"/>
          <w:iCs w:val="0"/>
          <w:sz w:val="24"/>
          <w:szCs w:val="24"/>
          <w:highlight w:val="none"/>
        </w:rPr>
        <w:t>份。</w:t>
      </w:r>
    </w:p>
    <w:p>
      <w:pPr>
        <w:pStyle w:val="29"/>
        <w:keepNext w:val="0"/>
        <w:keepLines w:val="0"/>
        <w:pageBreakBefore w:val="0"/>
        <w:widowControl w:val="0"/>
        <w:kinsoku/>
        <w:wordWrap/>
        <w:overflowPunct/>
        <w:topLinePunct w:val="0"/>
        <w:bidi w:val="0"/>
        <w:adjustRightInd w:val="0"/>
        <w:snapToGrid w:val="0"/>
        <w:spacing w:before="0" w:after="0" w:line="360" w:lineRule="auto"/>
        <w:ind w:left="0" w:right="0" w:firstLine="480" w:firstLineChars="200"/>
        <w:textAlignment w:val="auto"/>
        <w:rPr>
          <w:rFonts w:ascii="仿宋" w:hAnsi="仿宋" w:eastAsia="仿宋" w:cs="仿宋"/>
          <w:szCs w:val="24"/>
          <w:highlight w:val="none"/>
        </w:rPr>
      </w:pPr>
      <w:r>
        <w:rPr>
          <w:rFonts w:hint="eastAsia" w:ascii="仿宋" w:hAnsi="仿宋" w:eastAsia="仿宋" w:cs="仿宋"/>
          <w:bCs/>
          <w:i w:val="0"/>
          <w:iCs w:val="0"/>
          <w:szCs w:val="24"/>
          <w:highlight w:val="none"/>
        </w:rPr>
        <w:t>11.4本合同自</w:t>
      </w:r>
      <w:r>
        <w:rPr>
          <w:rFonts w:ascii="仿宋" w:hAnsi="仿宋" w:eastAsia="仿宋" w:cs="仿宋"/>
          <w:i w:val="0"/>
          <w:iCs w:val="0"/>
          <w:szCs w:val="24"/>
          <w:highlight w:val="none"/>
        </w:rPr>
        <w:t>双方授权代表签署并加盖公章</w:t>
      </w:r>
      <w:r>
        <w:rPr>
          <w:rFonts w:hint="eastAsia" w:ascii="仿宋" w:hAnsi="仿宋" w:eastAsia="仿宋" w:cs="仿宋"/>
          <w:i w:val="0"/>
          <w:iCs w:val="0"/>
          <w:szCs w:val="24"/>
          <w:highlight w:val="none"/>
        </w:rPr>
        <w:t>或者合同专用章</w:t>
      </w:r>
      <w:r>
        <w:rPr>
          <w:rFonts w:hint="eastAsia" w:ascii="仿宋" w:hAnsi="仿宋" w:eastAsia="仿宋" w:cs="仿宋"/>
          <w:bCs/>
          <w:i w:val="0"/>
          <w:iCs w:val="0"/>
          <w:szCs w:val="24"/>
          <w:highlight w:val="none"/>
        </w:rPr>
        <w:t>之日起生效。</w:t>
      </w:r>
      <w:r>
        <w:rPr>
          <w:rFonts w:hint="eastAsia" w:ascii="仿宋" w:hAnsi="仿宋" w:eastAsia="仿宋" w:cs="仿宋"/>
          <w:i w:val="0"/>
          <w:iCs w:val="0"/>
          <w:szCs w:val="24"/>
          <w:highlight w:val="none"/>
        </w:rPr>
        <w:t>合</w:t>
      </w:r>
      <w:r>
        <w:rPr>
          <w:rFonts w:hint="eastAsia" w:ascii="仿宋" w:hAnsi="仿宋" w:eastAsia="仿宋" w:cs="仿宋"/>
          <w:szCs w:val="24"/>
          <w:highlight w:val="none"/>
        </w:rPr>
        <w:t>同附件作为合同不可分割的一部分，具有同等法律效力。</w:t>
      </w:r>
    </w:p>
    <w:tbl>
      <w:tblPr>
        <w:tblStyle w:val="18"/>
        <w:tblpPr w:leftFromText="180" w:rightFromText="180" w:vertAnchor="text" w:horzAnchor="page" w:tblpX="1470" w:tblpY="317"/>
        <w:tblOverlap w:val="never"/>
        <w:tblW w:w="9179" w:type="dxa"/>
        <w:tblInd w:w="0" w:type="dxa"/>
        <w:tblLayout w:type="fixed"/>
        <w:tblCellMar>
          <w:top w:w="0" w:type="dxa"/>
          <w:left w:w="108" w:type="dxa"/>
          <w:bottom w:w="0" w:type="dxa"/>
          <w:right w:w="108" w:type="dxa"/>
        </w:tblCellMar>
      </w:tblPr>
      <w:tblGrid>
        <w:gridCol w:w="4614"/>
        <w:gridCol w:w="4565"/>
      </w:tblGrid>
      <w:tr>
        <w:tblPrEx>
          <w:tblCellMar>
            <w:top w:w="0" w:type="dxa"/>
            <w:left w:w="108" w:type="dxa"/>
            <w:bottom w:w="0" w:type="dxa"/>
            <w:right w:w="108" w:type="dxa"/>
          </w:tblCellMar>
        </w:tblPrEx>
        <w:trPr>
          <w:trHeight w:val="558" w:hRule="exact"/>
        </w:trPr>
        <w:tc>
          <w:tcPr>
            <w:tcW w:w="4614"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highlight w:val="none"/>
              </w:rPr>
            </w:pPr>
            <w:r>
              <w:rPr>
                <w:rFonts w:hint="eastAsia" w:ascii="仿宋" w:hAnsi="仿宋" w:eastAsia="仿宋" w:cs="仿宋"/>
                <w:sz w:val="24"/>
                <w:szCs w:val="24"/>
                <w:highlight w:val="none"/>
              </w:rPr>
              <w:t>发包人</w:t>
            </w:r>
            <w:r>
              <w:rPr>
                <w:rFonts w:hint="eastAsia" w:ascii="仿宋" w:hAnsi="仿宋" w:eastAsia="仿宋" w:cs="仿宋"/>
                <w:bCs/>
                <w:sz w:val="24"/>
                <w:szCs w:val="24"/>
                <w:highlight w:val="none"/>
              </w:rPr>
              <w:t>：（签章）</w:t>
            </w:r>
          </w:p>
          <w:p>
            <w:pPr>
              <w:pStyle w:val="3"/>
              <w:rPr>
                <w:rFonts w:hint="eastAsia" w:ascii="仿宋" w:hAnsi="仿宋" w:eastAsia="仿宋" w:cs="仿宋"/>
                <w:bCs/>
                <w:sz w:val="24"/>
                <w:szCs w:val="24"/>
                <w:highlight w:val="none"/>
              </w:rPr>
            </w:pPr>
          </w:p>
          <w:p>
            <w:pPr>
              <w:pStyle w:val="3"/>
              <w:rPr>
                <w:rFonts w:hint="eastAsia" w:ascii="仿宋" w:hAnsi="仿宋" w:eastAsia="仿宋" w:cs="仿宋"/>
                <w:bCs/>
                <w:sz w:val="24"/>
                <w:szCs w:val="24"/>
                <w:highlight w:val="none"/>
              </w:rPr>
            </w:pPr>
          </w:p>
          <w:p>
            <w:pPr>
              <w:pStyle w:val="3"/>
              <w:rPr>
                <w:rFonts w:hint="eastAsia" w:ascii="仿宋" w:hAnsi="仿宋" w:eastAsia="仿宋" w:cs="仿宋"/>
                <w:bCs/>
                <w:sz w:val="24"/>
                <w:szCs w:val="24"/>
                <w:highlight w:val="none"/>
              </w:rPr>
            </w:pPr>
          </w:p>
          <w:p>
            <w:pPr>
              <w:pStyle w:val="3"/>
              <w:rPr>
                <w:rFonts w:hint="eastAsia" w:ascii="仿宋" w:hAnsi="仿宋" w:eastAsia="仿宋" w:cs="仿宋"/>
                <w:bCs/>
                <w:sz w:val="24"/>
                <w:szCs w:val="24"/>
                <w:highlight w:val="none"/>
              </w:rPr>
            </w:pPr>
          </w:p>
          <w:p>
            <w:pPr>
              <w:spacing w:line="540" w:lineRule="exact"/>
              <w:rPr>
                <w:rFonts w:hint="eastAsia" w:ascii="仿宋" w:hAnsi="仿宋" w:eastAsia="仿宋" w:cs="仿宋"/>
                <w:sz w:val="24"/>
                <w:szCs w:val="24"/>
                <w:highlight w:val="none"/>
              </w:rPr>
            </w:pPr>
          </w:p>
        </w:tc>
        <w:tc>
          <w:tcPr>
            <w:tcW w:w="4565"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highlight w:val="none"/>
              </w:rPr>
            </w:pPr>
            <w:r>
              <w:rPr>
                <w:rFonts w:hint="eastAsia" w:ascii="仿宋" w:hAnsi="仿宋" w:eastAsia="仿宋" w:cs="仿宋"/>
                <w:bCs/>
                <w:sz w:val="24"/>
                <w:szCs w:val="24"/>
                <w:highlight w:val="none"/>
              </w:rPr>
              <w:t>承包人：（签章）</w:t>
            </w:r>
          </w:p>
          <w:p>
            <w:pPr>
              <w:spacing w:line="540" w:lineRule="exact"/>
              <w:rPr>
                <w:rFonts w:hint="eastAsia" w:ascii="仿宋" w:hAnsi="仿宋" w:eastAsia="仿宋" w:cs="仿宋"/>
                <w:bCs/>
                <w:sz w:val="24"/>
                <w:szCs w:val="24"/>
                <w:highlight w:val="none"/>
                <w:lang w:bidi="en-US"/>
              </w:rPr>
            </w:pPr>
          </w:p>
        </w:tc>
      </w:tr>
      <w:tr>
        <w:tblPrEx>
          <w:tblCellMar>
            <w:top w:w="0" w:type="dxa"/>
            <w:left w:w="108" w:type="dxa"/>
            <w:bottom w:w="0" w:type="dxa"/>
            <w:right w:w="108" w:type="dxa"/>
          </w:tblCellMar>
        </w:tblPrEx>
        <w:trPr>
          <w:trHeight w:val="952" w:hRule="atLeast"/>
        </w:trPr>
        <w:tc>
          <w:tcPr>
            <w:tcW w:w="4614"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sz w:val="24"/>
                <w:szCs w:val="24"/>
                <w:highlight w:val="none"/>
              </w:rPr>
            </w:pPr>
            <w:r>
              <w:rPr>
                <w:rFonts w:hint="eastAsia" w:ascii="仿宋" w:hAnsi="仿宋" w:eastAsia="仿宋" w:cs="仿宋"/>
                <w:bCs/>
                <w:sz w:val="24"/>
                <w:szCs w:val="24"/>
                <w:highlight w:val="none"/>
              </w:rPr>
              <w:t>法定代表人/委托人（签字）：</w:t>
            </w:r>
          </w:p>
        </w:tc>
        <w:tc>
          <w:tcPr>
            <w:tcW w:w="4565"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highlight w:val="none"/>
              </w:rPr>
            </w:pPr>
            <w:r>
              <w:rPr>
                <w:rFonts w:hint="eastAsia" w:ascii="仿宋" w:hAnsi="仿宋" w:eastAsia="仿宋" w:cs="仿宋"/>
                <w:sz w:val="24"/>
                <w:szCs w:val="28"/>
                <w:highlight w:val="none"/>
              </w:rPr>
              <w:t>法定代表人/委托人（签字）：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开户银行：</w:t>
            </w:r>
          </w:p>
        </w:tc>
        <w:tc>
          <w:tcPr>
            <w:tcW w:w="4565" w:type="dxa"/>
            <w:vAlign w:val="center"/>
          </w:tcPr>
          <w:p>
            <w:pP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户名：</w:t>
            </w:r>
          </w:p>
        </w:tc>
        <w:tc>
          <w:tcPr>
            <w:tcW w:w="4565" w:type="dxa"/>
            <w:vAlign w:val="center"/>
          </w:tcPr>
          <w:p>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账号：</w:t>
            </w:r>
          </w:p>
        </w:tc>
        <w:tc>
          <w:tcPr>
            <w:tcW w:w="4565" w:type="dxa"/>
            <w:vAlign w:val="center"/>
          </w:tcPr>
          <w:p>
            <w:pPr>
              <w:rPr>
                <w:rFonts w:hint="eastAsia" w:ascii="仿宋" w:hAnsi="仿宋" w:eastAsia="仿宋" w:cs="仿宋"/>
                <w:bCs/>
                <w:sz w:val="24"/>
                <w:szCs w:val="24"/>
                <w:highlight w:val="none"/>
                <w:lang w:val="en-US" w:eastAsia="zh-CN" w:bidi="en-US"/>
              </w:rPr>
            </w:pPr>
            <w:r>
              <w:rPr>
                <w:rFonts w:hint="eastAsia" w:ascii="仿宋" w:hAnsi="仿宋" w:eastAsia="仿宋" w:cs="仿宋"/>
                <w:bCs/>
                <w:sz w:val="24"/>
                <w:szCs w:val="24"/>
                <w:highlight w:val="none"/>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trPr>
        <w:tc>
          <w:tcPr>
            <w:tcW w:w="4614" w:type="dxa"/>
            <w:vAlign w:val="center"/>
          </w:tcPr>
          <w:p>
            <w:pPr>
              <w:rPr>
                <w:rFonts w:hint="eastAsia" w:ascii="仿宋" w:hAnsi="仿宋" w:eastAsia="仿宋" w:cs="仿宋"/>
                <w:sz w:val="24"/>
                <w:szCs w:val="24"/>
                <w:highlight w:val="none"/>
              </w:rPr>
            </w:pPr>
            <w:r>
              <w:rPr>
                <w:rFonts w:hint="eastAsia" w:ascii="仿宋" w:hAnsi="仿宋" w:eastAsia="仿宋" w:cs="仿宋"/>
                <w:bCs/>
                <w:sz w:val="24"/>
                <w:szCs w:val="24"/>
                <w:highlight w:val="none"/>
              </w:rPr>
              <w:t xml:space="preserve">地址： </w:t>
            </w:r>
          </w:p>
        </w:tc>
        <w:tc>
          <w:tcPr>
            <w:tcW w:w="4565" w:type="dxa"/>
            <w:vAlign w:val="center"/>
          </w:tcPr>
          <w:p>
            <w:pPr>
              <w:rPr>
                <w:rFonts w:hint="eastAsia" w:ascii="仿宋" w:hAnsi="仿宋" w:eastAsia="仿宋" w:cs="仿宋"/>
                <w:bCs/>
                <w:sz w:val="24"/>
                <w:szCs w:val="24"/>
                <w:highlight w:val="none"/>
                <w:lang w:bidi="en-US"/>
              </w:rPr>
            </w:pPr>
            <w:r>
              <w:rPr>
                <w:rFonts w:hint="eastAsia" w:ascii="仿宋" w:hAnsi="仿宋" w:eastAsia="仿宋" w:cs="仿宋"/>
                <w:bCs/>
                <w:sz w:val="24"/>
                <w:szCs w:val="24"/>
                <w:highlight w:val="none"/>
              </w:rPr>
              <w:t>地址：</w:t>
            </w:r>
          </w:p>
        </w:tc>
      </w:tr>
    </w:tbl>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pStyle w:val="3"/>
        <w:rPr>
          <w:rFonts w:ascii="仿宋" w:hAnsi="仿宋" w:eastAsia="仿宋" w:cs="仿宋"/>
          <w:sz w:val="24"/>
          <w:szCs w:val="24"/>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 xml:space="preserve">： </w:t>
      </w:r>
      <w:r>
        <w:rPr>
          <w:rFonts w:ascii="仿宋" w:hAnsi="仿宋" w:eastAsia="仿宋" w:cs="仿宋"/>
          <w:sz w:val="24"/>
          <w:szCs w:val="24"/>
          <w:highlight w:val="none"/>
        </w:rPr>
        <w:t xml:space="preserve">                  </w:t>
      </w:r>
    </w:p>
    <w:p>
      <w:pPr>
        <w:pStyle w:val="3"/>
        <w:jc w:val="center"/>
        <w:rPr>
          <w:rFonts w:hint="eastAsia" w:ascii="仿宋" w:hAnsi="仿宋" w:eastAsia="仿宋" w:cs="仿宋"/>
          <w:b/>
          <w:bCs/>
          <w:szCs w:val="28"/>
          <w:highlight w:val="none"/>
        </w:rPr>
      </w:pPr>
      <w:r>
        <w:rPr>
          <w:rFonts w:hint="eastAsia" w:ascii="仿宋" w:hAnsi="仿宋" w:eastAsia="仿宋" w:cs="仿宋"/>
          <w:b/>
          <w:bCs/>
          <w:szCs w:val="28"/>
          <w:highlight w:val="none"/>
        </w:rPr>
        <w:t>承揽工程一览表</w:t>
      </w:r>
    </w:p>
    <w:tbl>
      <w:tblPr>
        <w:tblStyle w:val="18"/>
        <w:tblW w:w="101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3596"/>
        <w:gridCol w:w="1260"/>
        <w:gridCol w:w="900"/>
        <w:gridCol w:w="1507"/>
        <w:gridCol w:w="1467"/>
        <w:gridCol w:w="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项目名称</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项目特征</w:t>
            </w:r>
          </w:p>
        </w:tc>
        <w:tc>
          <w:tcPr>
            <w:tcW w:w="126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计量</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工程</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数量</w:t>
            </w:r>
          </w:p>
        </w:tc>
        <w:tc>
          <w:tcPr>
            <w:tcW w:w="1507"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单价</w:t>
            </w:r>
            <w:r>
              <w:rPr>
                <w:rFonts w:hint="eastAsia" w:ascii="仿宋" w:hAnsi="仿宋" w:eastAsia="仿宋" w:cs="仿宋"/>
                <w:i w:val="0"/>
                <w:iCs w:val="0"/>
                <w:color w:val="000000"/>
                <w:kern w:val="0"/>
                <w:sz w:val="24"/>
                <w:szCs w:val="24"/>
                <w:highlight w:val="none"/>
                <w:u w:val="none"/>
                <w:lang w:val="en-US" w:eastAsia="zh-CN" w:bidi="ar"/>
              </w:rPr>
              <w:br w:type="textWrapping"/>
            </w:r>
            <w:r>
              <w:rPr>
                <w:rFonts w:hint="eastAsia" w:ascii="仿宋" w:hAnsi="仿宋" w:eastAsia="仿宋" w:cs="仿宋"/>
                <w:i w:val="0"/>
                <w:iCs w:val="0"/>
                <w:color w:val="000000"/>
                <w:kern w:val="0"/>
                <w:sz w:val="24"/>
                <w:szCs w:val="24"/>
                <w:highlight w:val="none"/>
                <w:u w:val="none"/>
                <w:lang w:val="en-US" w:eastAsia="zh-CN" w:bidi="ar"/>
              </w:rPr>
              <w:t>（元）</w:t>
            </w:r>
          </w:p>
        </w:tc>
        <w:tc>
          <w:tcPr>
            <w:tcW w:w="14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合价（元）</w:t>
            </w:r>
          </w:p>
        </w:tc>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3</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highlight w:val="none"/>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7996"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总价</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 </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highlight w:val="none"/>
                <w:u w:val="none"/>
              </w:rPr>
            </w:pPr>
          </w:p>
        </w:tc>
      </w:tr>
    </w:tbl>
    <w:p>
      <w:pPr>
        <w:rPr>
          <w:rFonts w:hint="eastAsia" w:ascii="仿宋" w:hAnsi="仿宋" w:eastAsia="仿宋" w:cs="仿宋"/>
          <w:b/>
          <w:bCs/>
          <w:szCs w:val="28"/>
          <w:highlight w:val="none"/>
        </w:rPr>
      </w:pPr>
      <w:r>
        <w:rPr>
          <w:rFonts w:hint="eastAsia" w:ascii="仿宋" w:hAnsi="仿宋" w:eastAsia="仿宋" w:cs="仿宋"/>
          <w:b/>
          <w:bCs/>
          <w:szCs w:val="28"/>
          <w:highlight w:val="none"/>
        </w:rPr>
        <w:br w:type="page"/>
      </w:r>
    </w:p>
    <w:p>
      <w:pPr>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 xml:space="preserve">：                  </w:t>
      </w:r>
      <w:r>
        <w:rPr>
          <w:rFonts w:hint="eastAsia" w:ascii="仿宋" w:hAnsi="仿宋" w:eastAsia="仿宋" w:cs="仿宋"/>
          <w:b/>
          <w:bCs/>
          <w:sz w:val="28"/>
          <w:szCs w:val="28"/>
          <w:highlight w:val="none"/>
        </w:rPr>
        <w:t xml:space="preserve"> </w:t>
      </w:r>
    </w:p>
    <w:p>
      <w:pPr>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主要材料及设备品牌表</w:t>
      </w:r>
    </w:p>
    <w:tbl>
      <w:tblPr>
        <w:tblStyle w:val="18"/>
        <w:tblW w:w="8910" w:type="dxa"/>
        <w:tblInd w:w="91" w:type="dxa"/>
        <w:tblLayout w:type="fixed"/>
        <w:tblCellMar>
          <w:top w:w="0" w:type="dxa"/>
          <w:left w:w="108" w:type="dxa"/>
          <w:bottom w:w="0" w:type="dxa"/>
          <w:right w:w="108" w:type="dxa"/>
        </w:tblCellMar>
      </w:tblPr>
      <w:tblGrid>
        <w:gridCol w:w="860"/>
        <w:gridCol w:w="2635"/>
        <w:gridCol w:w="5415"/>
      </w:tblGrid>
      <w:tr>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序号</w:t>
            </w:r>
          </w:p>
        </w:tc>
        <w:tc>
          <w:tcPr>
            <w:tcW w:w="263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主材及设备名称</w:t>
            </w:r>
          </w:p>
        </w:tc>
        <w:tc>
          <w:tcPr>
            <w:tcW w:w="541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highlight w:val="none"/>
              </w:rPr>
            </w:pPr>
            <w:r>
              <w:rPr>
                <w:rFonts w:hint="eastAsia" w:ascii="仿宋" w:hAnsi="仿宋" w:eastAsia="仿宋" w:cs="仿宋"/>
                <w:b/>
                <w:kern w:val="0"/>
                <w:sz w:val="24"/>
                <w:szCs w:val="24"/>
                <w:highlight w:val="none"/>
              </w:rPr>
              <w:t>（投标）承诺品牌一览</w:t>
            </w: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rPr>
            </w:pPr>
          </w:p>
        </w:tc>
        <w:tc>
          <w:tcPr>
            <w:tcW w:w="2635" w:type="dxa"/>
            <w:tcBorders>
              <w:top w:val="nil"/>
              <w:left w:val="nil"/>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3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0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highlight w:val="none"/>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highlight w:val="none"/>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highlight w:val="none"/>
              </w:rPr>
            </w:pPr>
          </w:p>
        </w:tc>
      </w:tr>
    </w:tbl>
    <w:p>
      <w:pPr>
        <w:rPr>
          <w:rFonts w:ascii="仿宋" w:hAnsi="仿宋" w:eastAsia="仿宋" w:cs="仿宋"/>
          <w:sz w:val="24"/>
          <w:szCs w:val="24"/>
          <w:highlight w:val="none"/>
          <w:u w:val="single"/>
        </w:rPr>
      </w:pPr>
      <w:r>
        <w:rPr>
          <w:rFonts w:ascii="仿宋" w:hAnsi="仿宋" w:eastAsia="仿宋" w:cs="仿宋"/>
          <w:sz w:val="24"/>
          <w:szCs w:val="24"/>
          <w:highlight w:val="none"/>
          <w:u w:val="single"/>
        </w:rPr>
        <w:br w:type="page"/>
      </w:r>
    </w:p>
    <w:p>
      <w:pPr>
        <w:spacing w:line="440" w:lineRule="exac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附</w:t>
      </w:r>
      <w:bookmarkStart w:id="33" w:name="_Toc296944565"/>
      <w:bookmarkStart w:id="34" w:name="_Toc296503226"/>
      <w:bookmarkStart w:id="35" w:name="_Toc267261693"/>
      <w:bookmarkStart w:id="36" w:name="_Toc296347225"/>
      <w:bookmarkStart w:id="37" w:name="_Toc296346727"/>
      <w:bookmarkStart w:id="38" w:name="_Toc296891054"/>
      <w:bookmarkStart w:id="39" w:name="_Toc296891266"/>
      <w:r>
        <w:rPr>
          <w:rFonts w:hint="eastAsia" w:ascii="仿宋" w:hAnsi="仿宋" w:eastAsia="仿宋" w:cs="仿宋"/>
          <w:sz w:val="24"/>
          <w:szCs w:val="24"/>
          <w:highlight w:val="none"/>
        </w:rPr>
        <w:t>件</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rPr>
        <w:t>：</w:t>
      </w:r>
      <w:bookmarkEnd w:id="33"/>
      <w:bookmarkEnd w:id="34"/>
      <w:bookmarkEnd w:id="35"/>
      <w:bookmarkEnd w:id="36"/>
      <w:bookmarkEnd w:id="37"/>
      <w:bookmarkEnd w:id="38"/>
      <w:bookmarkEnd w:id="39"/>
      <w:r>
        <w:rPr>
          <w:rFonts w:hint="eastAsia" w:ascii="仿宋" w:hAnsi="仿宋" w:eastAsia="仿宋" w:cs="仿宋"/>
          <w:sz w:val="24"/>
          <w:szCs w:val="24"/>
          <w:highlight w:val="none"/>
          <w:lang w:val="en-US" w:eastAsia="zh-CN"/>
        </w:rPr>
        <w:t xml:space="preserve">                   </w:t>
      </w:r>
    </w:p>
    <w:p>
      <w:pPr>
        <w:spacing w:line="44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工程质量保修书</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发包人和承包人根据《中华人民共和国建筑法》和《建设工程质量管理条例》，经协商一致就（工程全称）签订工程质量保修书。</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一、工程质量保修范围和内容</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承包人在质量保修期内，按照有关法律规定和合同约定，承担工程质量保修责任。</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highlight w:val="none"/>
          <w:u w:val="single"/>
        </w:rPr>
        <w:t xml:space="preserve">承包人承包范围以内的全部工程内容。若施工合同中有其它保修约定的按约定执行 </w:t>
      </w:r>
      <w:r>
        <w:rPr>
          <w:rFonts w:hint="eastAsia" w:ascii="仿宋" w:hAnsi="仿宋" w:eastAsia="仿宋" w:cs="仿宋"/>
          <w:sz w:val="24"/>
          <w:szCs w:val="24"/>
          <w:highlight w:val="none"/>
        </w:rPr>
        <w:t>。</w:t>
      </w:r>
    </w:p>
    <w:p>
      <w:pPr>
        <w:spacing w:line="360" w:lineRule="auto"/>
        <w:rPr>
          <w:rFonts w:ascii="仿宋" w:hAnsi="仿宋" w:eastAsia="仿宋" w:cs="仿宋"/>
          <w:sz w:val="24"/>
          <w:szCs w:val="24"/>
          <w:highlight w:val="none"/>
        </w:rPr>
      </w:pPr>
      <w:r>
        <w:rPr>
          <w:rFonts w:hint="eastAsia" w:ascii="仿宋" w:hAnsi="仿宋" w:eastAsia="仿宋" w:cs="仿宋"/>
          <w:b/>
          <w:sz w:val="24"/>
          <w:szCs w:val="24"/>
          <w:highlight w:val="none"/>
        </w:rPr>
        <w:t>　　</w:t>
      </w:r>
      <w:r>
        <w:rPr>
          <w:rFonts w:hint="eastAsia" w:ascii="仿宋" w:hAnsi="仿宋" w:eastAsia="仿宋" w:cs="仿宋"/>
          <w:sz w:val="24"/>
          <w:szCs w:val="24"/>
          <w:highlight w:val="none"/>
        </w:rPr>
        <w:t>二、质量保修期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根据《建设工程质量管理条例》及有关规定，工程的质量保修期如下：</w:t>
      </w:r>
    </w:p>
    <w:p>
      <w:pPr>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1．地基基础工程和主体结构工程为设计文件规定的工程合理使用年限；</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2．屋面防水工程、有防水要求的卫生间、房间和外墙面的防渗为</w:t>
      </w:r>
      <w:r>
        <w:rPr>
          <w:rFonts w:hint="eastAsia" w:ascii="仿宋" w:hAnsi="仿宋" w:eastAsia="仿宋" w:cs="仿宋"/>
          <w:sz w:val="24"/>
          <w:szCs w:val="24"/>
          <w:highlight w:val="none"/>
          <w:u w:val="single"/>
        </w:rPr>
        <w:t>5</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3．装修工程为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4．电气管线、给排水管道、设备安装工程为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5．供热与供冷系统为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个采暖期、供冷期；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6．给排水设施、道路等配套工程为</w:t>
      </w:r>
      <w:r>
        <w:rPr>
          <w:rFonts w:hint="eastAsia" w:ascii="仿宋" w:hAnsi="仿宋" w:eastAsia="仿宋" w:cs="仿宋"/>
          <w:sz w:val="24"/>
          <w:szCs w:val="24"/>
          <w:highlight w:val="none"/>
          <w:u w:val="single"/>
        </w:rPr>
        <w:t>2</w:t>
      </w:r>
      <w:r>
        <w:rPr>
          <w:rFonts w:hint="eastAsia" w:ascii="仿宋" w:hAnsi="仿宋" w:eastAsia="仿宋" w:cs="仿宋"/>
          <w:sz w:val="24"/>
          <w:szCs w:val="24"/>
          <w:highlight w:val="none"/>
        </w:rPr>
        <w:t>年；</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质量保修期自工程竣工验收合格之日起计算。</w:t>
      </w:r>
    </w:p>
    <w:p>
      <w:pPr>
        <w:spacing w:line="360" w:lineRule="auto"/>
        <w:rPr>
          <w:rFonts w:ascii="仿宋" w:hAnsi="仿宋" w:eastAsia="仿宋" w:cs="仿宋"/>
          <w:sz w:val="24"/>
          <w:szCs w:val="24"/>
          <w:highlight w:val="none"/>
        </w:rPr>
      </w:pPr>
      <w:r>
        <w:rPr>
          <w:rFonts w:hint="eastAsia" w:ascii="仿宋" w:hAnsi="仿宋" w:eastAsia="仿宋" w:cs="仿宋"/>
          <w:sz w:val="24"/>
          <w:szCs w:val="24"/>
          <w:highlight w:val="none"/>
        </w:rPr>
        <w:t xml:space="preserve">    三、质量保修责任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2．发生紧急事故需抢修的，承包人在接到事故通知后，应当立即到达事故现场抢修。非承包人施工质量引起的事故，抢修费用由发包人承担。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4．质量保修完成后，由发包人组织验收。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四、质量保修金的支付</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本工程双方约定承包人向发包人支付工程质量保修金金额为工程结算款的</w:t>
      </w:r>
      <w:r>
        <w:rPr>
          <w:rFonts w:hint="eastAsia" w:ascii="仿宋" w:hAnsi="仿宋" w:eastAsia="仿宋" w:cs="仿宋"/>
          <w:sz w:val="24"/>
          <w:szCs w:val="24"/>
          <w:highlight w:val="none"/>
          <w:u w:val="single"/>
        </w:rPr>
        <w:t>百分之</w:t>
      </w:r>
      <w:r>
        <w:rPr>
          <w:rFonts w:hint="eastAsia" w:ascii="仿宋" w:hAnsi="仿宋" w:eastAsia="仿宋" w:cs="仿宋"/>
          <w:sz w:val="24"/>
          <w:szCs w:val="24"/>
          <w:highlight w:val="none"/>
          <w:u w:val="single"/>
          <w:lang w:val="en-US" w:eastAsia="zh-CN"/>
        </w:rPr>
        <w:t>伍</w:t>
      </w:r>
      <w:r>
        <w:rPr>
          <w:rFonts w:hint="eastAsia" w:ascii="仿宋" w:hAnsi="仿宋" w:eastAsia="仿宋" w:cs="仿宋"/>
          <w:sz w:val="24"/>
          <w:szCs w:val="24"/>
          <w:highlight w:val="none"/>
          <w:u w:val="single"/>
        </w:rPr>
        <w:t>（大写）</w:t>
      </w:r>
      <w:r>
        <w:rPr>
          <w:rFonts w:hint="eastAsia" w:ascii="仿宋" w:hAnsi="仿宋" w:eastAsia="仿宋" w:cs="仿宋"/>
          <w:sz w:val="24"/>
          <w:szCs w:val="24"/>
          <w:highlight w:val="none"/>
        </w:rPr>
        <w:t xml:space="preserve">。质量保修金银行利率为 </w:t>
      </w:r>
      <w:r>
        <w:rPr>
          <w:rFonts w:hint="eastAsia" w:ascii="仿宋" w:hAnsi="仿宋" w:eastAsia="仿宋" w:cs="仿宋"/>
          <w:sz w:val="24"/>
          <w:szCs w:val="24"/>
          <w:highlight w:val="none"/>
          <w:u w:val="single"/>
        </w:rPr>
        <w:t>无</w:t>
      </w:r>
      <w:r>
        <w:rPr>
          <w:rFonts w:hint="eastAsia" w:ascii="仿宋" w:hAnsi="仿宋" w:eastAsia="仿宋" w:cs="仿宋"/>
          <w:sz w:val="24"/>
          <w:szCs w:val="24"/>
          <w:highlight w:val="none"/>
        </w:rPr>
        <w:t>。</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五、质量保修金的返还</w:t>
      </w:r>
    </w:p>
    <w:p>
      <w:pPr>
        <w:spacing w:line="360" w:lineRule="auto"/>
        <w:ind w:left="105" w:leftChars="50" w:firstLine="491" w:firstLineChars="205"/>
        <w:rPr>
          <w:rFonts w:hint="eastAsia" w:ascii="仿宋" w:hAnsi="仿宋" w:eastAsia="仿宋" w:cs="仿宋"/>
          <w:sz w:val="24"/>
          <w:szCs w:val="24"/>
          <w:highlight w:val="none"/>
        </w:rPr>
      </w:pPr>
      <w:r>
        <w:rPr>
          <w:rFonts w:hint="eastAsia" w:ascii="仿宋" w:hAnsi="仿宋" w:eastAsia="仿宋" w:cs="仿宋"/>
          <w:sz w:val="24"/>
          <w:szCs w:val="24"/>
          <w:highlight w:val="none"/>
          <w:u w:val="single"/>
        </w:rPr>
        <w:t>自工程竣工验收合格之日起质保期满且无质量问题，无息返还质量保修金的100%</w:t>
      </w:r>
      <w:r>
        <w:rPr>
          <w:rFonts w:hint="eastAsia" w:ascii="仿宋" w:hAnsi="仿宋" w:eastAsia="仿宋" w:cs="仿宋"/>
          <w:sz w:val="24"/>
          <w:szCs w:val="24"/>
          <w:highlight w:val="none"/>
        </w:rPr>
        <w:t>。质量保修期延长的，返还质量保修金的期限同时顺延。</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质量保修期延长的，返还质量保修金的期限同时顺延。</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六、其它</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本保修书作为施工工程合同的附件，与施工工程合同具有同等法律效力。</w:t>
      </w:r>
    </w:p>
    <w:p>
      <w:pPr>
        <w:spacing w:line="360" w:lineRule="auto"/>
        <w:ind w:left="105" w:leftChars="50" w:firstLine="491" w:firstLineChars="205"/>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双方约定的其它工程质量保修事项：无。</w:t>
      </w:r>
    </w:p>
    <w:p>
      <w:pPr>
        <w:spacing w:line="360" w:lineRule="auto"/>
        <w:ind w:firstLine="456" w:firstLineChars="190"/>
        <w:rPr>
          <w:rFonts w:ascii="仿宋" w:hAnsi="仿宋" w:eastAsia="仿宋" w:cs="仿宋"/>
          <w:sz w:val="24"/>
          <w:szCs w:val="24"/>
          <w:highlight w:val="none"/>
        </w:rPr>
      </w:pPr>
      <w:r>
        <w:rPr>
          <w:rFonts w:hint="eastAsia" w:ascii="仿宋" w:hAnsi="仿宋" w:eastAsia="仿宋" w:cs="仿宋"/>
          <w:sz w:val="24"/>
          <w:szCs w:val="24"/>
          <w:highlight w:val="none"/>
        </w:rPr>
        <w:t>工程质量保修书由发包人、承包人在工程竣工验收前共同签署，作为施工合同附件，其有效期限至保修期满。</w:t>
      </w:r>
    </w:p>
    <w:p>
      <w:pPr>
        <w:rPr>
          <w:rFonts w:ascii="仿宋" w:hAnsi="仿宋" w:eastAsia="仿宋" w:cs="仿宋"/>
          <w:sz w:val="24"/>
          <w:szCs w:val="24"/>
          <w:highlight w:val="none"/>
        </w:rPr>
      </w:pPr>
      <w:r>
        <w:rPr>
          <w:rFonts w:ascii="仿宋" w:hAnsi="仿宋" w:eastAsia="仿宋" w:cs="仿宋"/>
          <w:sz w:val="24"/>
          <w:szCs w:val="24"/>
          <w:highlight w:val="none"/>
        </w:rPr>
        <w:br w:type="page"/>
      </w:r>
    </w:p>
    <w:p>
      <w:pPr>
        <w:spacing w:line="360" w:lineRule="auto"/>
        <w:ind w:firstLine="480" w:firstLineChars="200"/>
        <w:rPr>
          <w:rFonts w:hint="eastAsia" w:ascii="仿宋" w:hAnsi="仿宋" w:eastAsia="仿宋" w:cs="仿宋"/>
          <w:b/>
          <w:bCs/>
          <w:sz w:val="28"/>
          <w:szCs w:val="28"/>
          <w:highlight w:val="none"/>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4</w:t>
      </w:r>
      <w:r>
        <w:rPr>
          <w:rFonts w:hint="eastAsia" w:ascii="仿宋" w:hAnsi="仿宋" w:eastAsia="仿宋" w:cs="仿宋"/>
          <w:b/>
          <w:bCs/>
          <w:sz w:val="28"/>
          <w:szCs w:val="28"/>
          <w:highlight w:val="none"/>
        </w:rPr>
        <w:t xml:space="preserve">：               </w:t>
      </w:r>
    </w:p>
    <w:p>
      <w:pPr>
        <w:spacing w:line="360" w:lineRule="auto"/>
        <w:jc w:val="center"/>
        <w:rPr>
          <w:rFonts w:ascii="仿宋" w:hAnsi="仿宋" w:eastAsia="仿宋" w:cs="仿宋"/>
          <w:sz w:val="24"/>
          <w:szCs w:val="24"/>
          <w:highlight w:val="none"/>
        </w:rPr>
      </w:pPr>
      <w:r>
        <w:rPr>
          <w:rFonts w:hint="eastAsia" w:ascii="仿宋" w:hAnsi="仿宋" w:eastAsia="仿宋" w:cs="仿宋"/>
          <w:b/>
          <w:bCs/>
          <w:sz w:val="28"/>
          <w:szCs w:val="28"/>
          <w:highlight w:val="none"/>
        </w:rPr>
        <w:t>安全文明施工协议</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为使本项目所签署施工合同的实施过程中创造安全、高效的施工环境，切实搞好本项目的安全管理工作，本项目由发包人与承包人特此签订安全施工协议书：</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一、发包人职责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1．严格遵守国家有关安全生产的法律法规，认真执行工程承包合同中有关安全要求。</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2．按照“安全第一、预防为主”和坚持“管生产必须管安全”的原则进行安全生产管理，做到生产与安全工作同时计划、布置、检查、总结和评比。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3．重要的安全设施必须坚持与主体工程“三同时”的原则，即：同时设计、审批，同时施工，同时验收，投入使用。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4．定期召开安全生产调度会，及时传达中央及地方有关安全生产的精神。</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5．组织对承包人施工现场安全生产检查，监督承包人及时处理发现的各种安全隐患。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二、承包人职责</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1．严格遵守国家和重汽集团有关安全生产的法律法规及相关规定，认真执行工程承包合同中的有关安全要求。</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4．承包人在任何时候都应采取各种合理的预防措施，防止其员工发生任何违法、违禁、暴力或妨碍治安的行为。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7.操作人员上岗，必须按规定穿戴防护用品。施工负责人和安全检查员应随时检查劳动防护用品的穿戴情况，不按规定穿戴防护用品的人员不得上岗。</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9.施工中采用新技术、新工艺、新设备、新材料时，必须制定相应的安全技术措施，施工现场必须具有相关的安全标志牌。</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在施工管理过程中，承包人要建立每日进场人员台账《建筑工程施工现场进场人员实名登记表》、填报《建筑工程新型冠状病毒疫情每日检查情况汇总表》，落实做好项目现场场所消杀防疫记录。</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三、责任承担及事故处理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因发包人违反安全管理的规定要求承包人进行施工，导致的安全事故，由发包人承担相应责任及发生的费用。</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发生重大伤亡及其他安全事故，承包人应按有关规定立即上报有关部门并通知工程师，同时按政府有关部门要求处理。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发包人承包人对事故责任有争议时，应按政府有关部门的认定处理。</w:t>
      </w:r>
    </w:p>
    <w:p>
      <w:pPr>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四、其他约定</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工程实行分包的，承包人对分包人的施工安全负总责，承包人与分包人就分包工程对发包人承担连带责任。</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根据发包人要求签订环境与职业健康安全管理协议，配合发包人进行建设项目环境/职业健康安全管理相关资料归档管理以及对建设项目环境、职业健康安全方面的验收。</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对安全检查中发现的问题承包人应立即安排限时整改，如整改不达标或拒绝整改，发包人或监理人有权对承包人进行经济处罚，罚金在下期工程款支付时予以扣除。</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5</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本协议作为施工工程合同的附件，与施工工程合同具有同等法律效力。</w:t>
      </w:r>
    </w:p>
    <w:p>
      <w:pPr>
        <w:widowControl/>
        <w:spacing w:line="360" w:lineRule="auto"/>
        <w:ind w:firstLine="480" w:firstLineChars="200"/>
        <w:rPr>
          <w:rFonts w:ascii="仿宋" w:hAnsi="仿宋" w:eastAsia="仿宋" w:cs="仿宋"/>
          <w:sz w:val="24"/>
          <w:szCs w:val="24"/>
          <w:highlight w:val="none"/>
        </w:rPr>
      </w:pPr>
    </w:p>
    <w:p>
      <w:pPr>
        <w:pStyle w:val="3"/>
        <w:rPr>
          <w:rFonts w:ascii="仿宋" w:hAnsi="仿宋" w:eastAsia="仿宋" w:cs="仿宋"/>
          <w:sz w:val="24"/>
          <w:szCs w:val="24"/>
          <w:highlight w:val="none"/>
        </w:rPr>
      </w:pPr>
    </w:p>
    <w:p>
      <w:pPr>
        <w:rPr>
          <w:rFonts w:ascii="仿宋" w:hAnsi="仿宋" w:eastAsia="仿宋" w:cs="仿宋"/>
          <w:sz w:val="24"/>
          <w:szCs w:val="24"/>
          <w:highlight w:val="none"/>
        </w:rPr>
      </w:pPr>
      <w:r>
        <w:rPr>
          <w:rFonts w:ascii="仿宋" w:hAnsi="仿宋" w:eastAsia="仿宋" w:cs="仿宋"/>
          <w:sz w:val="24"/>
          <w:szCs w:val="24"/>
          <w:highlight w:val="none"/>
        </w:rPr>
        <w:br w:type="page"/>
      </w:r>
    </w:p>
    <w:p>
      <w:pPr>
        <w:adjustRightInd w:val="0"/>
        <w:snapToGrid w:val="0"/>
        <w:spacing w:line="300" w:lineRule="auto"/>
        <w:jc w:val="left"/>
        <w:rPr>
          <w:rFonts w:hint="eastAsia" w:ascii="黑体" w:hAnsi="黑体" w:eastAsia="黑体"/>
          <w:sz w:val="32"/>
          <w:szCs w:val="32"/>
          <w:highlight w:val="none"/>
          <w:lang w:val="en-US" w:eastAsia="zh-CN"/>
        </w:rPr>
      </w:pPr>
      <w:r>
        <w:rPr>
          <w:rFonts w:hint="eastAsia" w:ascii="仿宋" w:hAnsi="仿宋" w:eastAsia="仿宋" w:cs="仿宋"/>
          <w:sz w:val="24"/>
          <w:szCs w:val="24"/>
          <w:highlight w:val="none"/>
        </w:rPr>
        <w:t>附件</w:t>
      </w:r>
      <w:r>
        <w:rPr>
          <w:rFonts w:hint="eastAsia" w:ascii="仿宋" w:hAnsi="仿宋" w:eastAsia="仿宋" w:cs="仿宋"/>
          <w:sz w:val="24"/>
          <w:szCs w:val="24"/>
          <w:highlight w:val="none"/>
          <w:lang w:val="en-US" w:eastAsia="zh-CN"/>
        </w:rPr>
        <w:t>5</w:t>
      </w:r>
      <w:r>
        <w:rPr>
          <w:rFonts w:ascii="仿宋" w:hAnsi="仿宋" w:eastAsia="仿宋" w:cs="仿宋"/>
          <w:sz w:val="24"/>
          <w:szCs w:val="24"/>
          <w:highlight w:val="none"/>
        </w:rPr>
        <w:t>：</w:t>
      </w:r>
      <w:r>
        <w:rPr>
          <w:rFonts w:ascii="黑体" w:hAnsi="黑体" w:eastAsia="黑体"/>
          <w:sz w:val="32"/>
          <w:szCs w:val="32"/>
          <w:highlight w:val="none"/>
        </w:rPr>
        <w:t xml:space="preserve">   </w:t>
      </w:r>
      <w:r>
        <w:rPr>
          <w:rFonts w:hint="eastAsia" w:ascii="黑体" w:hAnsi="黑体" w:eastAsia="黑体"/>
          <w:sz w:val="32"/>
          <w:szCs w:val="32"/>
          <w:highlight w:val="none"/>
          <w:lang w:val="en-US" w:eastAsia="zh-CN"/>
        </w:rPr>
        <w:t xml:space="preserve">            </w:t>
      </w:r>
    </w:p>
    <w:p>
      <w:pPr>
        <w:adjustRightInd w:val="0"/>
        <w:snapToGrid w:val="0"/>
        <w:spacing w:line="300" w:lineRule="auto"/>
        <w:jc w:val="center"/>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施工现场管理协议</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为了切实加强施工现场管理，依照双方签订的施工承包合同，本着平等、自愿的原则，签订本协议书。甲、乙双方均须严格遵守本协议书规定的权利、责任和义务，确保现场安全文明施工。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一、管理要求</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w:t>
      </w:r>
      <w:r>
        <w:rPr>
          <w:rFonts w:hint="eastAsia" w:ascii="仿宋" w:hAnsi="仿宋" w:eastAsia="仿宋" w:cs="仿宋"/>
          <w:sz w:val="24"/>
          <w:szCs w:val="24"/>
          <w:highlight w:val="none"/>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2</w:t>
      </w:r>
      <w:r>
        <w:rPr>
          <w:rFonts w:hint="eastAsia" w:ascii="仿宋" w:hAnsi="仿宋" w:eastAsia="仿宋" w:cs="仿宋"/>
          <w:sz w:val="24"/>
          <w:szCs w:val="24"/>
          <w:highlight w:val="none"/>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3</w:t>
      </w:r>
      <w:r>
        <w:rPr>
          <w:rFonts w:hint="eastAsia" w:ascii="仿宋" w:hAnsi="仿宋" w:eastAsia="仿宋" w:cs="仿宋"/>
          <w:sz w:val="24"/>
          <w:szCs w:val="24"/>
          <w:highlight w:val="none"/>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4</w:t>
      </w:r>
      <w:r>
        <w:rPr>
          <w:rFonts w:hint="eastAsia" w:ascii="仿宋" w:hAnsi="仿宋" w:eastAsia="仿宋" w:cs="仿宋"/>
          <w:sz w:val="24"/>
          <w:szCs w:val="24"/>
          <w:highlight w:val="none"/>
        </w:rPr>
        <w:t>、在施工现场禁烟区设立禁烟标志，禁烟区内严禁吸烟，保证地面无烟头。</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5</w:t>
      </w:r>
      <w:r>
        <w:rPr>
          <w:rFonts w:hint="eastAsia" w:ascii="仿宋" w:hAnsi="仿宋" w:eastAsia="仿宋" w:cs="仿宋"/>
          <w:sz w:val="24"/>
          <w:szCs w:val="24"/>
          <w:highlight w:val="none"/>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6</w:t>
      </w:r>
      <w:r>
        <w:rPr>
          <w:rFonts w:hint="eastAsia" w:ascii="仿宋" w:hAnsi="仿宋" w:eastAsia="仿宋" w:cs="仿宋"/>
          <w:sz w:val="24"/>
          <w:szCs w:val="24"/>
          <w:highlight w:val="none"/>
        </w:rPr>
        <w:t>、办公区、生活区、材料堆放场、加工场、仓库区地面、工地内外通道必须作混凝土硬化处理。</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7</w:t>
      </w:r>
      <w:r>
        <w:rPr>
          <w:rFonts w:hint="eastAsia" w:ascii="仿宋" w:hAnsi="仿宋" w:eastAsia="仿宋" w:cs="仿宋"/>
          <w:sz w:val="24"/>
          <w:szCs w:val="24"/>
          <w:highlight w:val="none"/>
        </w:rPr>
        <w:t>、施工现场应按照施工总平面布置图搭设各项临时设施，定位堆放各种材料、成品、半成品和机械设备并进行标识，并码放整齐、限宽限高、上架入箱、分类挂牌标识，不得侵占场内道路及安全防护等设施。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8</w:t>
      </w:r>
      <w:r>
        <w:rPr>
          <w:rFonts w:hint="eastAsia" w:ascii="仿宋" w:hAnsi="仿宋" w:eastAsia="仿宋" w:cs="仿宋"/>
          <w:sz w:val="24"/>
          <w:szCs w:val="24"/>
          <w:highlight w:val="none"/>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9</w:t>
      </w:r>
      <w:r>
        <w:rPr>
          <w:rFonts w:hint="eastAsia" w:ascii="仿宋" w:hAnsi="仿宋" w:eastAsia="仿宋" w:cs="仿宋"/>
          <w:sz w:val="24"/>
          <w:szCs w:val="24"/>
          <w:highlight w:val="none"/>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10</w:t>
      </w:r>
      <w:r>
        <w:rPr>
          <w:rFonts w:hint="eastAsia" w:ascii="仿宋" w:hAnsi="仿宋" w:eastAsia="仿宋" w:cs="仿宋"/>
          <w:sz w:val="24"/>
          <w:szCs w:val="24"/>
          <w:highlight w:val="none"/>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11</w:t>
      </w:r>
      <w:r>
        <w:rPr>
          <w:rFonts w:hint="eastAsia" w:ascii="仿宋" w:hAnsi="仿宋" w:eastAsia="仿宋" w:cs="仿宋"/>
          <w:sz w:val="24"/>
          <w:szCs w:val="24"/>
          <w:highlight w:val="none"/>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12</w:t>
      </w:r>
      <w:r>
        <w:rPr>
          <w:rFonts w:hint="eastAsia" w:ascii="仿宋" w:hAnsi="仿宋" w:eastAsia="仿宋" w:cs="仿宋"/>
          <w:sz w:val="24"/>
          <w:szCs w:val="24"/>
          <w:highlight w:val="none"/>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13</w:t>
      </w:r>
      <w:r>
        <w:rPr>
          <w:rFonts w:hint="eastAsia" w:ascii="仿宋" w:hAnsi="仿宋" w:eastAsia="仿宋" w:cs="仿宋"/>
          <w:sz w:val="24"/>
          <w:szCs w:val="24"/>
          <w:highlight w:val="none"/>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ascii="仿宋" w:hAnsi="仿宋" w:eastAsia="仿宋" w:cs="仿宋"/>
          <w:sz w:val="24"/>
          <w:szCs w:val="24"/>
          <w:highlight w:val="none"/>
        </w:rPr>
      </w:pPr>
      <w:r>
        <w:rPr>
          <w:rFonts w:ascii="仿宋" w:hAnsi="仿宋" w:eastAsia="仿宋" w:cs="仿宋"/>
          <w:sz w:val="24"/>
          <w:szCs w:val="24"/>
          <w:highlight w:val="none"/>
        </w:rPr>
        <w:t>14</w:t>
      </w:r>
      <w:r>
        <w:rPr>
          <w:rFonts w:hint="eastAsia" w:ascii="仿宋" w:hAnsi="仿宋" w:eastAsia="仿宋" w:cs="仿宋"/>
          <w:sz w:val="24"/>
          <w:szCs w:val="24"/>
          <w:highlight w:val="none"/>
        </w:rPr>
        <w:t>、工程竣工后，施工单位应当在一周内拆除围挡及临时设施，恢复场地原状，做到“工完料净、场地清”</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二、责任考核</w:t>
      </w:r>
    </w:p>
    <w:p>
      <w:pPr>
        <w:widowControl/>
        <w:spacing w:line="36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对于违反上述施工现场管理标准的，发包人将视情节严重情况，依据双方承包合同和《基建项目考核管理办法》，给予承包人</w:t>
      </w:r>
      <w:r>
        <w:rPr>
          <w:rFonts w:ascii="仿宋" w:hAnsi="仿宋" w:eastAsia="仿宋" w:cs="仿宋"/>
          <w:sz w:val="24"/>
          <w:szCs w:val="24"/>
          <w:highlight w:val="none"/>
        </w:rPr>
        <w:t>1000</w:t>
      </w:r>
      <w:r>
        <w:rPr>
          <w:rFonts w:hint="eastAsia" w:ascii="仿宋" w:hAnsi="仿宋" w:eastAsia="仿宋" w:cs="仿宋"/>
          <w:sz w:val="24"/>
          <w:szCs w:val="24"/>
          <w:highlight w:val="none"/>
        </w:rPr>
        <w:t>-</w:t>
      </w:r>
      <w:r>
        <w:rPr>
          <w:rFonts w:ascii="仿宋" w:hAnsi="仿宋" w:eastAsia="仿宋" w:cs="仿宋"/>
          <w:sz w:val="24"/>
          <w:szCs w:val="24"/>
          <w:highlight w:val="none"/>
        </w:rPr>
        <w:t>20000</w:t>
      </w:r>
      <w:r>
        <w:rPr>
          <w:rFonts w:hint="eastAsia" w:ascii="仿宋" w:hAnsi="仿宋" w:eastAsia="仿宋" w:cs="仿宋"/>
          <w:sz w:val="24"/>
          <w:szCs w:val="24"/>
          <w:highlight w:val="none"/>
        </w:rPr>
        <w:t>元/项考核。</w:t>
      </w: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widowControl/>
        <w:spacing w:line="360" w:lineRule="auto"/>
        <w:ind w:firstLine="480" w:firstLineChars="200"/>
        <w:rPr>
          <w:rFonts w:ascii="仿宋" w:hAnsi="仿宋" w:eastAsia="仿宋" w:cs="仿宋"/>
          <w:sz w:val="24"/>
          <w:szCs w:val="24"/>
          <w:highlight w:val="none"/>
        </w:rPr>
      </w:pPr>
    </w:p>
    <w:p>
      <w:pPr>
        <w:rPr>
          <w:rFonts w:ascii="仿宋" w:hAnsi="仿宋" w:eastAsia="仿宋" w:cs="仿宋"/>
          <w:sz w:val="32"/>
          <w:szCs w:val="32"/>
          <w:highlight w:val="none"/>
        </w:rPr>
      </w:pPr>
    </w:p>
    <w:p>
      <w:pPr>
        <w:pStyle w:val="3"/>
        <w:rPr>
          <w:highlight w:val="none"/>
        </w:rPr>
      </w:pPr>
    </w:p>
    <w:p>
      <w:pPr>
        <w:pStyle w:val="3"/>
        <w:rPr>
          <w:highlight w:val="none"/>
        </w:rPr>
      </w:pPr>
    </w:p>
    <w:p>
      <w:pPr>
        <w:pStyle w:val="3"/>
        <w:rPr>
          <w:highlight w:val="none"/>
        </w:rPr>
      </w:pPr>
    </w:p>
    <w:p>
      <w:pPr>
        <w:adjustRightInd w:val="0"/>
        <w:snapToGrid w:val="0"/>
        <w:spacing w:line="440" w:lineRule="exact"/>
        <w:ind w:firstLine="420" w:firstLineChars="150"/>
        <w:jc w:val="left"/>
        <w:rPr>
          <w:rFonts w:ascii="仿宋" w:hAnsi="仿宋" w:eastAsia="仿宋" w:cs="仿宋"/>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422" w:firstLineChars="150"/>
        <w:jc w:val="left"/>
        <w:rPr>
          <w:rFonts w:ascii="仿宋" w:hAnsi="仿宋" w:eastAsia="仿宋" w:cs="仿宋"/>
          <w:b/>
          <w:bCs/>
          <w:sz w:val="28"/>
          <w:szCs w:val="28"/>
          <w:highlight w:val="none"/>
        </w:rPr>
      </w:pPr>
    </w:p>
    <w:p>
      <w:pPr>
        <w:adjustRightInd w:val="0"/>
        <w:snapToGrid w:val="0"/>
        <w:spacing w:line="440" w:lineRule="exact"/>
        <w:ind w:firstLine="360" w:firstLineChars="150"/>
        <w:jc w:val="left"/>
        <w:rPr>
          <w:rFonts w:hint="eastAsia" w:ascii="仿宋" w:hAnsi="仿宋" w:eastAsia="仿宋" w:cs="仿宋"/>
          <w:sz w:val="28"/>
          <w:szCs w:val="28"/>
          <w:highlight w:val="none"/>
        </w:rPr>
      </w:pPr>
      <w:r>
        <w:rPr>
          <w:rFonts w:hint="eastAsia" w:ascii="仿宋" w:hAnsi="仿宋" w:eastAsia="仿宋" w:cs="仿宋"/>
          <w:b w:val="0"/>
          <w:bCs w:val="0"/>
          <w:sz w:val="24"/>
          <w:szCs w:val="24"/>
          <w:highlight w:val="none"/>
        </w:rPr>
        <w:t>附件</w:t>
      </w:r>
      <w:r>
        <w:rPr>
          <w:rFonts w:hint="eastAsia" w:ascii="仿宋" w:hAnsi="仿宋" w:eastAsia="仿宋" w:cs="仿宋"/>
          <w:b w:val="0"/>
          <w:bCs w:val="0"/>
          <w:sz w:val="24"/>
          <w:szCs w:val="24"/>
          <w:highlight w:val="none"/>
          <w:lang w:val="en-US" w:eastAsia="zh-CN"/>
        </w:rPr>
        <w:t>6</w:t>
      </w:r>
      <w:r>
        <w:rPr>
          <w:rFonts w:ascii="仿宋" w:hAnsi="仿宋" w:eastAsia="仿宋" w:cs="仿宋"/>
          <w:sz w:val="28"/>
          <w:szCs w:val="28"/>
          <w:highlight w:val="none"/>
        </w:rPr>
        <w:t xml:space="preserve">   </w:t>
      </w:r>
      <w:r>
        <w:rPr>
          <w:rFonts w:hint="eastAsia" w:ascii="仿宋" w:hAnsi="仿宋" w:eastAsia="仿宋" w:cs="仿宋"/>
          <w:sz w:val="28"/>
          <w:szCs w:val="28"/>
          <w:highlight w:val="none"/>
        </w:rPr>
        <w:t xml:space="preserve">        </w:t>
      </w:r>
    </w:p>
    <w:p>
      <w:pPr>
        <w:adjustRightInd w:val="0"/>
        <w:snapToGrid w:val="0"/>
        <w:spacing w:line="440" w:lineRule="exact"/>
        <w:ind w:firstLine="422" w:firstLineChars="150"/>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项目考核管理（细则）协议</w:t>
      </w:r>
    </w:p>
    <w:p>
      <w:pPr>
        <w:spacing w:line="440" w:lineRule="exact"/>
        <w:ind w:firstLine="480" w:firstLineChars="200"/>
        <w:rPr>
          <w:rFonts w:hint="default" w:ascii="仿宋" w:hAnsi="仿宋" w:eastAsia="仿宋" w:cs="仿宋"/>
          <w:b w:val="0"/>
          <w:bCs/>
          <w:sz w:val="24"/>
          <w:szCs w:val="24"/>
          <w:highlight w:val="none"/>
          <w:lang w:val="en-US"/>
        </w:rPr>
      </w:pPr>
      <w:r>
        <w:rPr>
          <w:rFonts w:hint="eastAsia" w:ascii="仿宋" w:hAnsi="仿宋" w:eastAsia="仿宋" w:cs="仿宋"/>
          <w:sz w:val="24"/>
          <w:szCs w:val="24"/>
          <w:highlight w:val="none"/>
        </w:rPr>
        <w:t>发包人（全称）：</w:t>
      </w:r>
      <w:r>
        <w:rPr>
          <w:rFonts w:hint="eastAsia" w:ascii="仿宋" w:hAnsi="仿宋" w:eastAsia="仿宋" w:cs="仿宋"/>
          <w:b w:val="0"/>
          <w:bCs/>
          <w:kern w:val="2"/>
          <w:sz w:val="24"/>
          <w:szCs w:val="24"/>
          <w:highlight w:val="none"/>
          <w:u w:val="single"/>
          <w:lang w:val="en-US" w:eastAsia="zh-CN" w:bidi="ar-SA"/>
        </w:rPr>
        <w:t xml:space="preserve">            </w:t>
      </w:r>
    </w:p>
    <w:p>
      <w:pPr>
        <w:spacing w:line="440" w:lineRule="exact"/>
        <w:rPr>
          <w:rFonts w:hint="default" w:ascii="仿宋" w:hAnsi="仿宋" w:eastAsia="仿宋" w:cs="仿宋"/>
          <w:b w:val="0"/>
          <w:bCs/>
          <w:sz w:val="24"/>
          <w:szCs w:val="24"/>
          <w:highlight w:val="none"/>
          <w:lang w:val="en-US" w:eastAsia="zh-CN"/>
        </w:rPr>
      </w:pPr>
      <w:r>
        <w:rPr>
          <w:rFonts w:hint="eastAsia" w:ascii="仿宋" w:hAnsi="仿宋" w:eastAsia="仿宋" w:cs="仿宋"/>
          <w:b w:val="0"/>
          <w:bCs/>
          <w:sz w:val="24"/>
          <w:szCs w:val="24"/>
          <w:highlight w:val="none"/>
        </w:rPr>
        <w:t>　　承包人（全称）：</w:t>
      </w:r>
      <w:r>
        <w:rPr>
          <w:rFonts w:hint="eastAsia" w:ascii="仿宋" w:hAnsi="仿宋" w:eastAsia="仿宋" w:cs="仿宋"/>
          <w:b w:val="0"/>
          <w:bCs/>
          <w:sz w:val="24"/>
          <w:szCs w:val="24"/>
          <w:highlight w:val="none"/>
          <w:u w:val="single"/>
          <w:lang w:val="en-US" w:eastAsia="zh-CN"/>
        </w:rPr>
        <w:t xml:space="preserve">            </w:t>
      </w:r>
    </w:p>
    <w:p>
      <w:pPr>
        <w:adjustRightInd w:val="0"/>
        <w:snapToGrid w:val="0"/>
        <w:spacing w:line="300" w:lineRule="auto"/>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双方同意执行以下考核细则，具体如下：</w:t>
      </w:r>
    </w:p>
    <w:p>
      <w:pPr>
        <w:adjustRightInd w:val="0"/>
        <w:snapToGrid w:val="0"/>
        <w:spacing w:line="440" w:lineRule="exact"/>
        <w:ind w:firstLine="360" w:firstLineChars="150"/>
        <w:rPr>
          <w:rFonts w:ascii="仿宋" w:hAnsi="仿宋" w:eastAsia="仿宋" w:cs="仿宋"/>
          <w:sz w:val="24"/>
          <w:szCs w:val="24"/>
          <w:highlight w:val="none"/>
        </w:rPr>
      </w:pPr>
      <w:r>
        <w:rPr>
          <w:rFonts w:hint="eastAsia" w:ascii="仿宋" w:hAnsi="仿宋" w:eastAsia="仿宋" w:cs="仿宋"/>
          <w:sz w:val="24"/>
          <w:szCs w:val="24"/>
          <w:highlight w:val="none"/>
        </w:rPr>
        <w:t>一、施工进度考核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1.2施工计划编制质量差，屡次整改达不到要求的，处以2000-5000元/次考核。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1.3周计划进度、专项计划进度、各控制点进度的子项任务未按计划完成，且无正当理由延期的，每一项拖延一天，处以2000-10000元/天/项考核。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1.4里程碑节点滞后的，按照合同约定的违约条款，处以不低于合同额的万分之三/天且不低于1万元/天考核。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1.5施工单位为完成进度计划应制定有效的保证措施，包括人、料、机等资源投入，作业时间调整等，对人、料、机投入不能满足施工进度计划要求并对工程进度造成潜在影响的，处以5000-10000元考核。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1.6工程进度滞后，现场项目部安排加班抢工，对施工单位不响应抢工要求的，不组织工人机械加班抢工的，处以20000-50000元/天考核。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1.7对于临时工作任务，经现场项目部以书面工作联系单的形式向施工单位发出工作指令，要求限期完成，施工单位无正当理由未按期完成的，每拖延一天处以5000-20000元/天考核。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1.8在周例会或专题会议上，现场项目部要求限期完成的工作任务，施工单位无正当理由未按时完成的，每拖延一天处以5000-20000元/天/项考核。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1.9施工进度滞后，对组织抢工措施不力，消极应对、采取考核措施仍不见效的施工单位，将采取公司发函、约谈责任单位企业负责人，情节严重的将列入黑名单，取消今后项目招标入围资格。</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二、施工安全文明考核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2.1目部或监理单位下达的书面整改文件（包括各类通知单、联系单、会议要求等）未按要求时间整改完毕的，每拖延一天处以5000-20000元/天考核。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2.2对不按时参加现场组织的安全周、月及专项检查的，处以2000-5000元/次考核。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2.3“三宝四口”措施不到位，对不正确使用或不使用安全帽、安全带的，予以500元/人·次考核。对“四口”存在的安全隐患，督促后仍未整改的，予以5000元/处考核，并每拖延一天处以10000元考核。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2.4特种作业未能持证上岗、未办理动火审批手续、消防器材未配备到位、施工人员未佩戴安全帽、安全绳、高空作业防护不到位、施工现场吸烟等违规行为，每发现一处，处以2000-5000元考核。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2.5施工单位应每日工完料净，施工垃圾集中清运，道路遗撒污染、施工垃圾及包装物乱堆乱弃等现象，每发现一处，处以2000-10000元考核。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2.6对抑尘措施不到位，发生扬尘现象的，处以2000-10000元/次考核；对被环保、渣土办部门处罚的，除相关处罚所有费用均由施工单位承担外，建设单位对施工单位予以加倍处罚。</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三、施工质量考核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3.1未按要求执行样板开路的，处以5000-50000元/次考核。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3.2进场材料不合格，进行退场处理并予以警告，重新进场后经检查仍不合格的或材料进场发生两次及以上不合格的，处以5000-20000元/次考核。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3.3未经验收，擅自进入下道工序施工的，处以5000～20000元/次考核。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3.4对于质量问题不按监理工程师通知单要求整改，擅自进行下一步施工的处以5000～10000元/项考核。在接到监理通知后未在通知时间内完成整改的，处以2000～10000元/项考核。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3.5隐蔽工程未经监理单位检查验收擅自隐蔽的，须打开或拆除后重新检查，并处以5000～20000元/次考核。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3.6同一部位、同一施工质量问题，签发第二份整改通知单的，予以加倍处罚，处以20000～50000元/项考核。</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 xml:space="preserve">3.7对于发生较大、重大质量事故的造成严重影响的，除限期整改、返工并承担损失责任外，另处以10万-20万元/项考核。     </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四、其他事项</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4.1对未按时参加会议、工作执行不力、工作质量不达要求的，视情节严重程度，对责任单位处以1000-5000元/次考核。</w:t>
      </w:r>
    </w:p>
    <w:p>
      <w:pPr>
        <w:autoSpaceDE w:val="0"/>
        <w:autoSpaceDN w:val="0"/>
        <w:adjustRightInd w:val="0"/>
        <w:spacing w:line="52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4.2现场施工的质量、进度、安全等发生的考核，由监理单位（如有）出具，经总监理工程师签字盖章后报送现场项目部负责人签字盖章后即为生效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4.3监理单位或技改项目部应于每月20日汇总当月累计考核单，并在各单位当月形象进度款中扣除或从合同履约保函（保证金）中扣除。</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4.4对已经发生的考核，若经积极采取措施，最终完成进度节点或整改结果满足合同及项目部要求的，可视情况予以减免、取消。</w:t>
      </w:r>
    </w:p>
    <w:p>
      <w:pPr>
        <w:adjustRightInd w:val="0"/>
        <w:snapToGrid w:val="0"/>
        <w:spacing w:line="440" w:lineRule="exact"/>
        <w:ind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4.5若经采取考核措施后责任单位仍然消极应对、效果不明显，发包人项目部将采取约谈企业负责人、书面发函等措施，情节严重的将列入发包人供方黑名单。</w:t>
      </w:r>
    </w:p>
    <w:p>
      <w:pPr>
        <w:adjustRightInd w:val="0"/>
        <w:snapToGrid w:val="0"/>
        <w:spacing w:line="44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4.6各单位按本规定受处罚后并不免除按法律法规和合同应承担的有关责任。</w:t>
      </w:r>
    </w:p>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pStyle w:val="6"/>
        <w:spacing w:before="312" w:beforeLines="100" w:after="312" w:afterLines="100" w:line="240" w:lineRule="auto"/>
        <w:jc w:val="center"/>
        <w:rPr>
          <w:rFonts w:hint="eastAsia" w:ascii="仿宋" w:hAnsi="仿宋" w:eastAsia="仿宋" w:cs="仿宋"/>
          <w:b w:val="0"/>
          <w:bCs w:val="0"/>
          <w:sz w:val="44"/>
          <w:szCs w:val="44"/>
          <w:highlight w:val="none"/>
        </w:rPr>
      </w:pPr>
      <w:r>
        <w:rPr>
          <w:rFonts w:hint="eastAsia" w:ascii="仿宋" w:hAnsi="仿宋" w:eastAsia="仿宋" w:cs="仿宋"/>
          <w:b w:val="0"/>
          <w:bCs w:val="0"/>
          <w:sz w:val="44"/>
          <w:szCs w:val="44"/>
          <w:highlight w:val="none"/>
        </w:rPr>
        <w:t>相 关 方 安 全 协 议</w:t>
      </w:r>
    </w:p>
    <w:p>
      <w:pPr>
        <w:pStyle w:val="27"/>
        <w:spacing w:line="300" w:lineRule="auto"/>
        <w:ind w:firstLine="0"/>
        <w:rPr>
          <w:rFonts w:hint="default"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rPr>
        <w:t>甲方：</w:t>
      </w:r>
      <w:r>
        <w:rPr>
          <w:rFonts w:hint="eastAsia" w:ascii="仿宋" w:hAnsi="仿宋" w:eastAsia="仿宋" w:cs="仿宋"/>
          <w:b w:val="0"/>
          <w:bCs w:val="0"/>
          <w:sz w:val="24"/>
          <w:szCs w:val="24"/>
          <w:highlight w:val="none"/>
          <w:u w:val="single"/>
          <w:lang w:val="en-US" w:eastAsia="zh-CN"/>
        </w:rPr>
        <w:t xml:space="preserve">                    </w:t>
      </w:r>
    </w:p>
    <w:p>
      <w:pPr>
        <w:pStyle w:val="27"/>
        <w:spacing w:line="300" w:lineRule="auto"/>
        <w:ind w:firstLine="0"/>
        <w:rPr>
          <w:rFonts w:hint="default"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rPr>
        <w:t>乙方：</w:t>
      </w:r>
      <w:r>
        <w:rPr>
          <w:rFonts w:hint="eastAsia" w:ascii="仿宋" w:hAnsi="仿宋" w:eastAsia="仿宋" w:cs="仿宋"/>
          <w:b w:val="0"/>
          <w:bCs w:val="0"/>
          <w:sz w:val="24"/>
          <w:szCs w:val="24"/>
          <w:highlight w:val="none"/>
          <w:u w:val="single"/>
          <w:lang w:val="en-US" w:eastAsia="zh-CN"/>
        </w:rPr>
        <w:t xml:space="preserve">                    </w:t>
      </w:r>
    </w:p>
    <w:p>
      <w:pPr>
        <w:pStyle w:val="27"/>
        <w:spacing w:line="300" w:lineRule="auto"/>
        <w:ind w:firstLine="0"/>
        <w:jc w:val="both"/>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乙方在甲方厂区</w:t>
      </w:r>
      <w:r>
        <w:rPr>
          <w:rFonts w:hint="eastAsia" w:ascii="仿宋" w:hAnsi="仿宋" w:eastAsia="仿宋" w:cs="仿宋"/>
          <w:b w:val="0"/>
          <w:bCs w:val="0"/>
          <w:sz w:val="24"/>
          <w:szCs w:val="24"/>
          <w:highlight w:val="none"/>
          <w:lang w:val="en-US" w:eastAsia="zh-CN"/>
        </w:rPr>
        <w:t>（含园区）</w:t>
      </w:r>
      <w:r>
        <w:rPr>
          <w:rFonts w:hint="eastAsia" w:ascii="仿宋" w:hAnsi="仿宋" w:eastAsia="仿宋" w:cs="仿宋"/>
          <w:b w:val="0"/>
          <w:bCs w:val="0"/>
          <w:sz w:val="24"/>
          <w:szCs w:val="24"/>
          <w:highlight w:val="none"/>
        </w:rPr>
        <w:t>开展</w:t>
      </w:r>
      <w:r>
        <w:rPr>
          <w:rFonts w:hint="eastAsia" w:ascii="仿宋" w:hAnsi="仿宋" w:eastAsia="仿宋" w:cs="仿宋"/>
          <w:b w:val="0"/>
          <w:bCs w:val="0"/>
          <w:sz w:val="24"/>
          <w:szCs w:val="24"/>
          <w:highlight w:val="none"/>
          <w:u w:val="single"/>
        </w:rPr>
        <w:t xml:space="preserve">           </w:t>
      </w:r>
      <w:r>
        <w:rPr>
          <w:rFonts w:hint="eastAsia" w:ascii="仿宋" w:hAnsi="仿宋" w:eastAsia="仿宋" w:cs="仿宋"/>
          <w:b w:val="0"/>
          <w:bCs w:val="0"/>
          <w:sz w:val="24"/>
          <w:szCs w:val="24"/>
          <w:highlight w:val="none"/>
        </w:rPr>
        <w:t>项目，根据国</w:t>
      </w:r>
      <w:r>
        <w:rPr>
          <w:rFonts w:hint="eastAsia" w:ascii="仿宋" w:hAnsi="仿宋" w:eastAsia="仿宋" w:cs="仿宋"/>
          <w:b w:val="0"/>
          <w:bCs w:val="0"/>
          <w:sz w:val="24"/>
          <w:szCs w:val="24"/>
          <w:highlight w:val="none"/>
          <w:lang w:val="en-US" w:eastAsia="zh-CN"/>
        </w:rPr>
        <w:t>家、地方</w:t>
      </w:r>
      <w:r>
        <w:rPr>
          <w:rFonts w:hint="eastAsia" w:ascii="仿宋" w:hAnsi="仿宋" w:eastAsia="仿宋" w:cs="仿宋"/>
          <w:b w:val="0"/>
          <w:bCs w:val="0"/>
          <w:sz w:val="24"/>
          <w:szCs w:val="24"/>
          <w:highlight w:val="none"/>
        </w:rPr>
        <w:t>有关安全生产的法律、法规、条例</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规章、政策等规范性文件的要求</w:t>
      </w:r>
      <w:r>
        <w:rPr>
          <w:rFonts w:hint="eastAsia" w:ascii="仿宋" w:hAnsi="仿宋" w:eastAsia="仿宋" w:cs="仿宋"/>
          <w:b w:val="0"/>
          <w:bCs w:val="0"/>
          <w:sz w:val="24"/>
          <w:szCs w:val="24"/>
          <w:highlight w:val="none"/>
        </w:rPr>
        <w:t>，为明确甲乙双方安全管理职责与权利，预防各类事故的发生，经甲乙双方协商一致，同意签订本协议，并</w:t>
      </w:r>
      <w:r>
        <w:rPr>
          <w:rFonts w:hint="eastAsia" w:ascii="仿宋" w:hAnsi="仿宋" w:eastAsia="仿宋" w:cs="仿宋"/>
          <w:b w:val="0"/>
          <w:bCs w:val="0"/>
          <w:sz w:val="24"/>
          <w:szCs w:val="24"/>
          <w:highlight w:val="none"/>
          <w:lang w:val="en-US" w:eastAsia="zh-CN"/>
        </w:rPr>
        <w:t>共同</w:t>
      </w:r>
      <w:r>
        <w:rPr>
          <w:rFonts w:hint="eastAsia" w:ascii="仿宋" w:hAnsi="仿宋" w:eastAsia="仿宋" w:cs="仿宋"/>
          <w:b w:val="0"/>
          <w:bCs w:val="0"/>
          <w:sz w:val="24"/>
          <w:szCs w:val="24"/>
          <w:highlight w:val="none"/>
        </w:rPr>
        <w:t>遵守。</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一、甲乙双方安全管理职责与权利：</w:t>
      </w:r>
    </w:p>
    <w:p>
      <w:pPr>
        <w:pStyle w:val="27"/>
        <w:numPr>
          <w:ilvl w:val="-1"/>
          <w:numId w:val="0"/>
        </w:numPr>
        <w:spacing w:line="30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一</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甲方职责与权利</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1.甲方根据协作需求，负责为乙方提供作业场地及必要的风、水、电、气等能源。</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4.甲方对乙方不得违章指挥、强令冒险作业，因甲方人员人为原因造成乙方人员发生事故的，由乙方负责处理，甲方予以协助并赔偿乙方的合理损失。</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5.甲方对乙方在甲方发生安全事故时，将尽量协助救护、保护事故现场，并有权开展或参加对事故的调查处理。因乙方原因导致的生产安全事故，由乙方承担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责任。</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6.当物资供应类的物品中含有危险化学品以及其他对甲方职业安全健康有影响的产品时，甲方有权要求乙方提供相关产品的中文版化学品安全技术说明书、产品标准、使用说明书、化学性能参数表等文件。</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7.对于提供生活物质、食品的乙方，甲方有权要求乙方提供乙方工作人员的健康证明。在甲方服务时，乙方要严格遵守甲方的相关安全管理制度和卫生、健康管理制度。</w:t>
      </w:r>
    </w:p>
    <w:p>
      <w:pPr>
        <w:pStyle w:val="27"/>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8、甲方有权要求乙方提供作业人员的工伤保险及意外保险缴纳证明。</w:t>
      </w:r>
    </w:p>
    <w:p>
      <w:pPr>
        <w:pStyle w:val="27"/>
        <w:spacing w:line="300" w:lineRule="auto"/>
        <w:ind w:firstLine="480" w:firstLineChars="200"/>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9、甲方指定专人（联系人、安全员：        ；联系方式：        ）负责乙方业务和安全管理，乙方出现各类问题都应及时与甲方联系人、安全员联系。</w:t>
      </w:r>
    </w:p>
    <w:p>
      <w:pPr>
        <w:pStyle w:val="27"/>
        <w:numPr>
          <w:ilvl w:val="-1"/>
          <w:numId w:val="0"/>
        </w:numPr>
        <w:spacing w:line="300" w:lineRule="auto"/>
        <w:ind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lang w:val="en-US" w:eastAsia="zh-CN"/>
        </w:rPr>
        <w:t>二</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highlight w:val="none"/>
        </w:rPr>
        <w:t>乙方职责与权利</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1.乙方进入甲方生产现场的车辆、人员必须执行甲方的各项安全管理规定，接受甲方安全管理人员的监督和管理。乙方应在进入现场前充分了解并知悉甲方的各项安全管理规定。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2.乙方在甲方现场作业应指定安全负责人，佩戴安全管理标识负责本方的安全管理工作</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乙方安全管理人员要定期开展隐患排查，并将检查及处理情况如实记录存档”</w:t>
      </w:r>
      <w:r>
        <w:rPr>
          <w:rFonts w:hint="eastAsia" w:ascii="仿宋" w:hAnsi="仿宋" w:eastAsia="仿宋" w:cs="仿宋"/>
          <w:b w:val="0"/>
          <w:bCs w:val="0"/>
          <w:sz w:val="24"/>
          <w:szCs w:val="24"/>
          <w:highlight w:val="none"/>
        </w:rPr>
        <w:t>。乙方应于本协议签订前，将该负责人姓名及其相关资料送至甲方审核、备案，当负责人发生变动时，乙方应在变动后5个工作日内书面通知甲方并将变动后的人员姓名及相关资料送至甲方备案。</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3.在甲方厂区内行驶的各类机动车辆，必须保证车辆的安全性能良好，并挂有公安部门或国家相关管理部门办理的有效牌照并按时审验</w:t>
      </w:r>
      <w:r>
        <w:rPr>
          <w:rFonts w:hint="eastAsia" w:ascii="仿宋" w:hAnsi="仿宋" w:eastAsia="仿宋" w:cs="仿宋"/>
          <w:b w:val="0"/>
          <w:bCs w:val="0"/>
          <w:sz w:val="24"/>
          <w:szCs w:val="24"/>
          <w:highlight w:val="none"/>
          <w:lang w:eastAsia="zh-CN"/>
        </w:rPr>
        <w:t>，特种车辆设有环保码</w:t>
      </w:r>
      <w:r>
        <w:rPr>
          <w:rFonts w:hint="eastAsia" w:ascii="仿宋" w:hAnsi="仿宋" w:eastAsia="仿宋" w:cs="仿宋"/>
          <w:b w:val="0"/>
          <w:bCs w:val="0"/>
          <w:sz w:val="24"/>
          <w:szCs w:val="24"/>
          <w:highlight w:val="none"/>
        </w:rPr>
        <w:t>。牌照须按规定位置安装，并保持牢固、清晰、不得损坏，货物必须按规定装载和捆绑固定牢固，严禁超载、超速行驶。</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5.乙方进入甲方厂区行驶的各类机动车辆，必须遵守靠右行驶的原则，并遵守相关禁行规定，禁止逆向行驶</w:t>
      </w:r>
      <w:r>
        <w:rPr>
          <w:rFonts w:hint="eastAsia" w:ascii="仿宋" w:hAnsi="仿宋" w:eastAsia="仿宋" w:cs="仿宋"/>
          <w:b w:val="0"/>
          <w:bCs w:val="0"/>
          <w:sz w:val="24"/>
          <w:szCs w:val="24"/>
          <w:highlight w:val="none"/>
          <w:lang w:eastAsia="zh-CN"/>
        </w:rPr>
        <w:t>，禁止行车过程中使用手机</w:t>
      </w:r>
      <w:r>
        <w:rPr>
          <w:rFonts w:hint="eastAsia" w:ascii="仿宋" w:hAnsi="仿宋" w:eastAsia="仿宋" w:cs="仿宋"/>
          <w:b w:val="0"/>
          <w:bCs w:val="0"/>
          <w:sz w:val="24"/>
          <w:szCs w:val="24"/>
          <w:highlight w:val="none"/>
        </w:rPr>
        <w:t>。车辆停放时驾驶员不得长时间离开车辆，确需离开应将车辆熄火拉紧手制动器并在停车线内停放</w:t>
      </w:r>
      <w:r>
        <w:rPr>
          <w:rFonts w:hint="eastAsia" w:ascii="仿宋" w:hAnsi="仿宋" w:eastAsia="仿宋" w:cs="仿宋"/>
          <w:b w:val="0"/>
          <w:bCs w:val="0"/>
          <w:sz w:val="24"/>
          <w:szCs w:val="24"/>
          <w:highlight w:val="none"/>
          <w:lang w:eastAsia="zh-CN"/>
        </w:rPr>
        <w:t>，启动钥匙随身携带</w:t>
      </w:r>
      <w:r>
        <w:rPr>
          <w:rFonts w:hint="eastAsia" w:ascii="仿宋" w:hAnsi="仿宋" w:eastAsia="仿宋" w:cs="仿宋"/>
          <w:b w:val="0"/>
          <w:bCs w:val="0"/>
          <w:sz w:val="24"/>
          <w:szCs w:val="24"/>
          <w:highlight w:val="none"/>
        </w:rPr>
        <w:t>。</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6.各类机动车辆在甲方厂区主干道行驶速度不超过</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0公里/小时，其他道路不得超过20公里/小时</w:t>
      </w:r>
      <w:r>
        <w:rPr>
          <w:rFonts w:hint="eastAsia" w:ascii="仿宋" w:hAnsi="仿宋" w:eastAsia="仿宋" w:cs="仿宋"/>
          <w:b w:val="0"/>
          <w:bCs w:val="0"/>
          <w:sz w:val="24"/>
          <w:szCs w:val="24"/>
          <w:highlight w:val="none"/>
          <w:lang w:eastAsia="zh-CN"/>
        </w:rPr>
        <w:t>；结冰、积雪、积水的道路和恶劣天气能见度在30m以内时</w:t>
      </w:r>
      <w:r>
        <w:rPr>
          <w:rFonts w:hint="eastAsia" w:ascii="仿宋" w:hAnsi="仿宋" w:eastAsia="仿宋" w:cs="仿宋"/>
          <w:b w:val="0"/>
          <w:bCs w:val="0"/>
          <w:sz w:val="24"/>
          <w:szCs w:val="24"/>
          <w:highlight w:val="none"/>
        </w:rPr>
        <w:t>不超过</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0公里/小时</w:t>
      </w:r>
      <w:r>
        <w:rPr>
          <w:rFonts w:hint="eastAsia" w:ascii="仿宋" w:hAnsi="仿宋" w:eastAsia="仿宋" w:cs="仿宋"/>
          <w:b w:val="0"/>
          <w:bCs w:val="0"/>
          <w:sz w:val="24"/>
          <w:szCs w:val="24"/>
          <w:highlight w:val="none"/>
          <w:lang w:eastAsia="zh-CN"/>
        </w:rPr>
        <w:t>，</w:t>
      </w:r>
      <w:r>
        <w:rPr>
          <w:rFonts w:hint="eastAsia" w:ascii="仿宋" w:hAnsi="仿宋" w:eastAsia="仿宋" w:cs="仿宋"/>
          <w:sz w:val="24"/>
          <w:highlight w:val="none"/>
        </w:rPr>
        <w:t>恶劣天气能见度在5m以内或能见度在10m以内、道路最大纵坡在6%以上时,应停止行驶</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车间内行驶速度不超过5公里/小时；进出车间大门行驶速度不超过</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公里/小时。</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乙方项目中涉及有限空间的作业，乙方应按照《工贸企业有限空间作业安全规定》及甲方安全规章制度要求，严格按照监测、作业、审批及应急管理要求执行，安排经专项培训的作业人员、监护人员等进行作业。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9.因乙方人员不遵守相关安全法律法规及甲方的规章制度造成安全生产事故的，乙方应负责处理相关事宜，并承担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责任和损失，甲方予以协助。</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10</w:t>
      </w:r>
      <w:r>
        <w:rPr>
          <w:rFonts w:hint="eastAsia" w:ascii="仿宋" w:hAnsi="仿宋" w:eastAsia="仿宋" w:cs="仿宋"/>
          <w:b w:val="0"/>
          <w:bCs w:val="0"/>
          <w:sz w:val="24"/>
          <w:szCs w:val="24"/>
          <w:highlight w:val="none"/>
        </w:rPr>
        <w:t>.乙方负责处理其工作人员在甲方现场工作期间发生的工伤事故，并承担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费用及责任，甲方予以积极配合。</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.乙方人员在甲方现场造成甲方工作人员或第三方人员人身伤害、财产损失或甲方产品、设备等财产损失的，由乙方承担</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rPr>
        <w:t>费用及责任。</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2</w:t>
      </w:r>
      <w:r>
        <w:rPr>
          <w:rFonts w:hint="eastAsia" w:ascii="仿宋" w:hAnsi="仿宋" w:eastAsia="仿宋" w:cs="仿宋"/>
          <w:b w:val="0"/>
          <w:bCs w:val="0"/>
          <w:sz w:val="24"/>
          <w:szCs w:val="24"/>
          <w:highlight w:val="none"/>
        </w:rPr>
        <w:t>.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3</w:t>
      </w:r>
      <w:r>
        <w:rPr>
          <w:rFonts w:hint="eastAsia" w:ascii="仿宋" w:hAnsi="仿宋" w:eastAsia="仿宋" w:cs="仿宋"/>
          <w:b w:val="0"/>
          <w:bCs w:val="0"/>
          <w:sz w:val="24"/>
          <w:szCs w:val="24"/>
          <w:highlight w:val="none"/>
        </w:rPr>
        <w:t>.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4</w:t>
      </w:r>
      <w:r>
        <w:rPr>
          <w:rFonts w:hint="eastAsia" w:ascii="仿宋" w:hAnsi="仿宋" w:eastAsia="仿宋" w:cs="仿宋"/>
          <w:b w:val="0"/>
          <w:bCs w:val="0"/>
          <w:sz w:val="24"/>
          <w:szCs w:val="24"/>
          <w:highlight w:val="none"/>
        </w:rPr>
        <w:t>.乙方所使用的机械设施、各类机器等设备，必须是经过检测且合格可靠的，各类设备设施的合格证、检测证和安全防护装置等必须齐全、完好。严禁使用不安全的设备设施进行作业。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.乙方负责按照相关要求为作业现场配备所需的安全防护设施、消防设施，负责为乙方作业人员配备合格、可靠的安全防护用品（特殊劳动防护用品需提供采购单位相应资质）。</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.乙方作业完成后，负责清理现场并恢复作业前的正常环境。对于作业过程中产生的废水、废料、废渣、建筑垃圾等（不包含危险废物），由乙方负责按照环保法律法规要求合法处理</w:t>
      </w:r>
      <w:r>
        <w:rPr>
          <w:rFonts w:hint="eastAsia" w:ascii="仿宋" w:hAnsi="仿宋" w:eastAsia="仿宋" w:cs="仿宋"/>
          <w:b w:val="0"/>
          <w:bCs w:val="0"/>
          <w:sz w:val="24"/>
          <w:szCs w:val="24"/>
          <w:highlight w:val="none"/>
          <w:lang w:eastAsia="zh-CN"/>
        </w:rPr>
        <w:t>，因乙方违规处置产生的</w:t>
      </w:r>
      <w:r>
        <w:rPr>
          <w:rFonts w:hint="eastAsia" w:ascii="仿宋" w:hAnsi="仿宋" w:eastAsia="仿宋" w:cs="仿宋"/>
          <w:b w:val="0"/>
          <w:bCs w:val="0"/>
          <w:sz w:val="24"/>
          <w:szCs w:val="24"/>
          <w:highlight w:val="none"/>
          <w:lang w:val="en-US" w:eastAsia="zh-CN"/>
        </w:rPr>
        <w:t>相应</w:t>
      </w:r>
      <w:r>
        <w:rPr>
          <w:rFonts w:hint="eastAsia" w:ascii="仿宋" w:hAnsi="仿宋" w:eastAsia="仿宋" w:cs="仿宋"/>
          <w:b w:val="0"/>
          <w:bCs w:val="0"/>
          <w:sz w:val="24"/>
          <w:szCs w:val="24"/>
          <w:highlight w:val="none"/>
          <w:lang w:eastAsia="zh-CN"/>
        </w:rPr>
        <w:t>后果由乙方承担</w:t>
      </w:r>
      <w:r>
        <w:rPr>
          <w:rFonts w:hint="eastAsia" w:ascii="仿宋" w:hAnsi="仿宋" w:eastAsia="仿宋" w:cs="仿宋"/>
          <w:b w:val="0"/>
          <w:bCs w:val="0"/>
          <w:sz w:val="24"/>
          <w:szCs w:val="24"/>
          <w:highlight w:val="none"/>
        </w:rPr>
        <w:t>。</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7.</w:t>
      </w:r>
      <w:r>
        <w:rPr>
          <w:rFonts w:hint="eastAsia" w:ascii="仿宋" w:hAnsi="仿宋" w:eastAsia="仿宋" w:cs="仿宋"/>
          <w:b w:val="0"/>
          <w:bCs w:val="0"/>
          <w:sz w:val="24"/>
          <w:szCs w:val="24"/>
          <w:highlight w:val="none"/>
        </w:rPr>
        <w:t>乙方承诺，不将承租的项目部分或全部转包给其他单位，因违规转包而导致的一切后果由乙方自行承担。</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8.</w:t>
      </w:r>
      <w:r>
        <w:rPr>
          <w:rFonts w:hint="eastAsia" w:ascii="仿宋" w:hAnsi="仿宋" w:eastAsia="仿宋" w:cs="仿宋"/>
          <w:b w:val="0"/>
          <w:bCs w:val="0"/>
          <w:sz w:val="24"/>
          <w:szCs w:val="24"/>
          <w:highlight w:val="none"/>
        </w:rPr>
        <w:t>积极支持配合和参加甲方组织的消防安全防范活动，自觉培养消防意识宣传消防重要性。进行经常性的防火安全检查，对发现的火险隐患必须采取应急措施。</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w:t>
      </w:r>
      <w:r>
        <w:rPr>
          <w:rFonts w:hint="eastAsia" w:ascii="仿宋" w:hAnsi="仿宋" w:eastAsia="仿宋" w:cs="仿宋"/>
          <w:b w:val="0"/>
          <w:bCs w:val="0"/>
          <w:sz w:val="24"/>
          <w:szCs w:val="24"/>
          <w:highlight w:val="none"/>
          <w:lang w:val="en-US" w:eastAsia="zh-CN"/>
        </w:rPr>
        <w:t>9.</w:t>
      </w:r>
      <w:r>
        <w:rPr>
          <w:rFonts w:hint="eastAsia" w:ascii="仿宋" w:hAnsi="仿宋" w:eastAsia="仿宋" w:cs="仿宋"/>
          <w:b w:val="0"/>
          <w:bCs w:val="0"/>
          <w:sz w:val="24"/>
          <w:szCs w:val="24"/>
          <w:highlight w:val="none"/>
        </w:rPr>
        <w:t>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20.</w:t>
      </w:r>
      <w:r>
        <w:rPr>
          <w:rFonts w:hint="eastAsia" w:ascii="仿宋" w:hAnsi="仿宋" w:eastAsia="仿宋" w:cs="仿宋"/>
          <w:b w:val="0"/>
          <w:bCs w:val="0"/>
          <w:sz w:val="24"/>
          <w:szCs w:val="24"/>
          <w:highlight w:val="none"/>
        </w:rPr>
        <w:t>乙方应遵守装修工程消防安全管理规定和工程施工安全技术规范，在作业范围内消防灭火器材的配备及日常的维护由乙方负责，应确保消防器材及设施完好有效。</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w:t>
      </w:r>
      <w:r>
        <w:rPr>
          <w:rFonts w:hint="eastAsia" w:ascii="仿宋" w:hAnsi="仿宋" w:eastAsia="仿宋" w:cs="仿宋"/>
          <w:b w:val="0"/>
          <w:bCs w:val="0"/>
          <w:sz w:val="24"/>
          <w:szCs w:val="24"/>
          <w:highlight w:val="none"/>
          <w:lang w:val="en-US" w:eastAsia="zh-CN"/>
        </w:rPr>
        <w:t>1.</w:t>
      </w:r>
      <w:r>
        <w:rPr>
          <w:rFonts w:hint="eastAsia" w:ascii="仿宋" w:hAnsi="仿宋" w:eastAsia="仿宋" w:cs="仿宋"/>
          <w:b w:val="0"/>
          <w:bCs w:val="0"/>
          <w:sz w:val="24"/>
          <w:szCs w:val="24"/>
          <w:highlight w:val="none"/>
        </w:rPr>
        <w:t>乙方作业区域发生火灾事故时能冷静准确向119报警，并能灭火、指引和协助他人逃生。必须立即采取有效措施防止事故扩大，组织人员抢救并保护现场，并立即向甲方报告。</w:t>
      </w:r>
    </w:p>
    <w:p>
      <w:pPr>
        <w:pStyle w:val="27"/>
        <w:spacing w:line="300" w:lineRule="auto"/>
        <w:ind w:firstLine="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pPr>
        <w:pStyle w:val="27"/>
        <w:spacing w:line="300" w:lineRule="auto"/>
        <w:ind w:firstLine="0"/>
        <w:rPr>
          <w:rFonts w:hint="eastAsia" w:ascii="仿宋" w:hAnsi="仿宋" w:eastAsia="仿宋" w:cs="仿宋"/>
          <w:sz w:val="24"/>
          <w:highlight w:val="none"/>
        </w:rPr>
      </w:pPr>
      <w:r>
        <w:rPr>
          <w:rFonts w:hint="eastAsia" w:ascii="仿宋" w:hAnsi="仿宋" w:eastAsia="仿宋" w:cs="仿宋"/>
          <w:sz w:val="24"/>
          <w:highlight w:val="none"/>
        </w:rPr>
        <w:t>止事故扩大。</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乙方承诺指定专人（联系人、安全员：        ；联系方式        ：）负责作业过程中的安全管理，负责与甲方进行安全管理工作的对接，配合甲方统一协调管理。</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二、其他相关手续办理</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乙方进入甲方厂区进行施工，办理其他相关手续，应遵守以下约定：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1.进厂手续：甲方与乙方的施工合同签订后，乙方单位持相关的资质材料，按照甲方管理制度办理施工手续后 ,方可进行作业。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3.入厂安全教育：乙方进入甲方厂区前应对其施工人员进行安全教育并提供教育培训的相关资料，到甲方办理《施工许可证》。</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三、违约责任</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因乙方人员或车辆违反有关法律、法规、规章、规范性文件、甲方有关管理规定以及本协议约定，造成的一切后果和损失，由乙方承担全部责任并赔偿甲方之损失。</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四、争议解决</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本协议履行过程中产生的争议，双方协商解决，协商不成的提交甲方所在地法院诉讼解决。</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五、附则</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1.本协议自双方签署后生效</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rPr>
        <w:t>本协议作为执行</w:t>
      </w:r>
      <w:r>
        <w:rPr>
          <w:rFonts w:hint="eastAsia" w:ascii="仿宋" w:hAnsi="仿宋" w:eastAsia="仿宋" w:cs="仿宋"/>
          <w:b w:val="0"/>
          <w:bCs w:val="0"/>
          <w:sz w:val="24"/>
          <w:szCs w:val="24"/>
          <w:highlight w:val="none"/>
          <w:lang w:val="en-US" w:eastAsia="zh-CN"/>
        </w:rPr>
        <w:t>甲乙双方</w:t>
      </w:r>
      <w:r>
        <w:rPr>
          <w:rFonts w:hint="eastAsia" w:ascii="仿宋" w:hAnsi="仿宋" w:eastAsia="仿宋" w:cs="仿宋"/>
          <w:b w:val="0"/>
          <w:bCs w:val="0"/>
          <w:sz w:val="24"/>
          <w:szCs w:val="24"/>
          <w:highlight w:val="none"/>
        </w:rPr>
        <w:t>采购协议</w:t>
      </w:r>
      <w:r>
        <w:rPr>
          <w:rFonts w:hint="eastAsia" w:ascii="仿宋" w:hAnsi="仿宋" w:eastAsia="仿宋" w:cs="仿宋"/>
          <w:b w:val="0"/>
          <w:bCs w:val="0"/>
          <w:sz w:val="24"/>
          <w:szCs w:val="24"/>
          <w:highlight w:val="none"/>
          <w:lang w:val="en-US" w:eastAsia="zh-CN"/>
        </w:rPr>
        <w:t>或其他合作协议</w:t>
      </w:r>
      <w:r>
        <w:rPr>
          <w:rFonts w:hint="eastAsia" w:ascii="仿宋" w:hAnsi="仿宋" w:eastAsia="仿宋" w:cs="仿宋"/>
          <w:b w:val="0"/>
          <w:bCs w:val="0"/>
          <w:sz w:val="24"/>
          <w:szCs w:val="24"/>
          <w:highlight w:val="none"/>
        </w:rPr>
        <w:t>的附件，此协议在双方合作期间有效</w:t>
      </w:r>
      <w:r>
        <w:rPr>
          <w:rFonts w:hint="eastAsia" w:ascii="仿宋" w:hAnsi="仿宋" w:eastAsia="仿宋" w:cs="仿宋"/>
          <w:b w:val="0"/>
          <w:bCs w:val="0"/>
          <w:sz w:val="24"/>
          <w:szCs w:val="24"/>
          <w:highlight w:val="none"/>
          <w:lang w:eastAsia="zh-CN"/>
        </w:rPr>
        <w:t>；</w:t>
      </w:r>
      <w:r>
        <w:rPr>
          <w:rFonts w:hint="eastAsia" w:ascii="仿宋" w:hAnsi="仿宋" w:eastAsia="仿宋" w:cs="仿宋"/>
          <w:b w:val="0"/>
          <w:bCs w:val="0"/>
          <w:sz w:val="24"/>
          <w:szCs w:val="24"/>
          <w:highlight w:val="none"/>
          <w:lang w:val="en-US" w:eastAsia="zh-CN"/>
        </w:rPr>
        <w:t>本协议生效前甲乙双方未签署《相关方安全协议》但实际已存在供应采购等业务合作关系并进入甲方厂区/园区的，甲乙双方同意有关业务合作适用本协议的所有条款约定。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2.本协议附件与主协议具有相同的法律效力。在本协议有效期内，双方就未尽事宜达成补充协议的，补充协议与本协议具有同等法律效力。</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3.甲方与乙方签订本协议时，已向乙方告知甲方的各项安全管理规定。乙方已充分了解并知悉甲方的各项安全管理规定及内容，并承诺严格遵守。</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4.按照《安全生产法》规定，乙方如有不签订本协议和未执行协议擅自在甲方厂区内施工的情况，乙方均属违章作业。</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27"/>
        <w:spacing w:line="300" w:lineRule="auto"/>
        <w:ind w:firstLine="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6</w:t>
      </w:r>
      <w:r>
        <w:rPr>
          <w:rFonts w:hint="eastAsia" w:ascii="仿宋" w:hAnsi="仿宋" w:eastAsia="仿宋" w:cs="仿宋"/>
          <w:b w:val="0"/>
          <w:bCs w:val="0"/>
          <w:sz w:val="24"/>
          <w:szCs w:val="24"/>
          <w:highlight w:val="none"/>
        </w:rPr>
        <w:t>.本协议应与具体项目合同同时签订。一式四份，甲乙双方各两份。</w:t>
      </w:r>
    </w:p>
    <w:p>
      <w:pPr>
        <w:pStyle w:val="27"/>
        <w:spacing w:line="300" w:lineRule="auto"/>
        <w:ind w:firstLine="0"/>
        <w:rPr>
          <w:rFonts w:hint="eastAsia" w:ascii="仿宋" w:hAnsi="仿宋" w:eastAsia="仿宋" w:cs="仿宋"/>
          <w:b w:val="0"/>
          <w:bCs w:val="0"/>
          <w:sz w:val="24"/>
          <w:szCs w:val="24"/>
          <w:highlight w:val="none"/>
        </w:rPr>
      </w:pPr>
    </w:p>
    <w:p>
      <w:pPr>
        <w:pStyle w:val="27"/>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甲方（盖章）：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乙方（盖章）：</w:t>
      </w:r>
    </w:p>
    <w:p>
      <w:pPr>
        <w:pStyle w:val="27"/>
        <w:spacing w:line="300" w:lineRule="auto"/>
        <w:ind w:firstLine="480" w:firstLineChars="200"/>
        <w:rPr>
          <w:rFonts w:hint="eastAsia" w:ascii="仿宋" w:hAnsi="仿宋" w:eastAsia="仿宋" w:cs="仿宋"/>
          <w:b w:val="0"/>
          <w:bCs w:val="0"/>
          <w:sz w:val="24"/>
          <w:szCs w:val="24"/>
          <w:highlight w:val="none"/>
        </w:rPr>
      </w:pPr>
    </w:p>
    <w:p>
      <w:pPr>
        <w:pStyle w:val="27"/>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lang w:val="en-US" w:eastAsia="zh-CN"/>
        </w:rPr>
        <w:t>授权</w:t>
      </w:r>
      <w:r>
        <w:rPr>
          <w:rFonts w:hint="eastAsia" w:ascii="仿宋" w:hAnsi="仿宋" w:eastAsia="仿宋" w:cs="仿宋"/>
          <w:b w:val="0"/>
          <w:bCs w:val="0"/>
          <w:sz w:val="24"/>
          <w:szCs w:val="24"/>
          <w:highlight w:val="none"/>
        </w:rPr>
        <w:t xml:space="preserve">代表（签字）：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w:t>
      </w:r>
      <w:r>
        <w:rPr>
          <w:rFonts w:hint="eastAsia" w:ascii="仿宋" w:hAnsi="仿宋" w:eastAsia="仿宋" w:cs="仿宋"/>
          <w:b w:val="0"/>
          <w:bCs w:val="0"/>
          <w:sz w:val="24"/>
          <w:szCs w:val="24"/>
          <w:highlight w:val="none"/>
          <w:lang w:eastAsia="zh-CN"/>
        </w:rPr>
        <w:t>授权</w:t>
      </w:r>
      <w:r>
        <w:rPr>
          <w:rFonts w:hint="eastAsia" w:ascii="仿宋" w:hAnsi="仿宋" w:eastAsia="仿宋" w:cs="仿宋"/>
          <w:b w:val="0"/>
          <w:bCs w:val="0"/>
          <w:sz w:val="24"/>
          <w:szCs w:val="24"/>
          <w:highlight w:val="none"/>
        </w:rPr>
        <w:t>代表（签字）：</w:t>
      </w:r>
    </w:p>
    <w:p>
      <w:pPr>
        <w:pStyle w:val="27"/>
        <w:spacing w:line="300" w:lineRule="auto"/>
        <w:ind w:firstLine="480" w:firstLineChars="200"/>
        <w:rPr>
          <w:rFonts w:hint="eastAsia" w:ascii="仿宋" w:hAnsi="仿宋" w:eastAsia="仿宋" w:cs="仿宋"/>
          <w:b w:val="0"/>
          <w:bCs w:val="0"/>
          <w:sz w:val="24"/>
          <w:szCs w:val="24"/>
          <w:highlight w:val="none"/>
        </w:rPr>
      </w:pPr>
    </w:p>
    <w:p>
      <w:pPr>
        <w:spacing w:line="300" w:lineRule="auto"/>
        <w:ind w:firstLine="480" w:firstLineChars="200"/>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 xml:space="preserve">年   月   日          </w:t>
      </w:r>
      <w:r>
        <w:rPr>
          <w:rFonts w:hint="eastAsia" w:ascii="仿宋" w:hAnsi="仿宋" w:eastAsia="仿宋" w:cs="仿宋"/>
          <w:b w:val="0"/>
          <w:bCs w:val="0"/>
          <w:sz w:val="24"/>
          <w:szCs w:val="24"/>
          <w:highlight w:val="none"/>
          <w:lang w:val="en-US" w:eastAsia="zh-CN"/>
        </w:rPr>
        <w:t xml:space="preserve">       </w:t>
      </w:r>
      <w:r>
        <w:rPr>
          <w:rFonts w:hint="eastAsia" w:ascii="仿宋" w:hAnsi="仿宋" w:eastAsia="仿宋" w:cs="仿宋"/>
          <w:b w:val="0"/>
          <w:bCs w:val="0"/>
          <w:sz w:val="24"/>
          <w:szCs w:val="24"/>
          <w:highlight w:val="none"/>
        </w:rPr>
        <w:t xml:space="preserve">    年   月   日</w:t>
      </w:r>
    </w:p>
    <w:p>
      <w:pPr>
        <w:pStyle w:val="2"/>
        <w:rPr>
          <w:highlight w:val="none"/>
        </w:rPr>
      </w:pPr>
    </w:p>
    <w:p>
      <w:pPr>
        <w:rPr>
          <w:rFonts w:hint="eastAsia"/>
          <w:sz w:val="44"/>
          <w:szCs w:val="44"/>
          <w:highlight w:val="none"/>
        </w:rPr>
      </w:pPr>
      <w:r>
        <w:rPr>
          <w:rFonts w:hint="eastAsia"/>
          <w:sz w:val="44"/>
          <w:szCs w:val="44"/>
          <w:highlight w:val="none"/>
        </w:rPr>
        <w:br w:type="page"/>
      </w:r>
    </w:p>
    <w:bookmarkEnd w:id="26"/>
    <w:bookmarkEnd w:id="27"/>
    <w:p>
      <w:pPr>
        <w:pStyle w:val="16"/>
        <w:rPr>
          <w:rFonts w:hint="eastAsia"/>
          <w:iCs/>
          <w:sz w:val="44"/>
          <w:szCs w:val="44"/>
          <w:highlight w:val="none"/>
        </w:rPr>
      </w:pPr>
      <w:r>
        <w:rPr>
          <w:rFonts w:hint="eastAsia"/>
          <w:sz w:val="44"/>
          <w:szCs w:val="44"/>
          <w:highlight w:val="none"/>
        </w:rPr>
        <w:t>第五章</w:t>
      </w:r>
      <w:r>
        <w:rPr>
          <w:sz w:val="44"/>
          <w:szCs w:val="44"/>
          <w:highlight w:val="none"/>
        </w:rPr>
        <w:t xml:space="preserve">  </w:t>
      </w:r>
      <w:r>
        <w:rPr>
          <w:rFonts w:hint="eastAsia" w:eastAsia="宋体" w:cs="Times New Roman"/>
          <w:b/>
          <w:bCs/>
          <w:sz w:val="44"/>
          <w:szCs w:val="44"/>
          <w:highlight w:val="none"/>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pPr>
        <w:snapToGrid w:val="0"/>
        <w:spacing w:line="312" w:lineRule="auto"/>
        <w:rPr>
          <w:highlight w:val="none"/>
        </w:rPr>
      </w:pPr>
      <w:r>
        <w:rPr>
          <w:highlight w:val="none"/>
        </w:rP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5"/>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pPr>
        <w:snapToGrid w:val="0"/>
        <w:spacing w:line="312" w:lineRule="auto"/>
        <w:rPr>
          <w:highlight w:val="none"/>
        </w:rPr>
      </w:pPr>
      <w:r>
        <w:rPr>
          <w:highlight w:val="none"/>
        </w:rP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6"/>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pPr>
        <w:snapToGrid w:val="0"/>
        <w:spacing w:line="312" w:lineRule="auto"/>
        <w:rPr>
          <w:highlight w:val="none"/>
        </w:rPr>
      </w:pPr>
      <w:r>
        <w:rPr>
          <w:highlight w:val="none"/>
        </w:rP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7"/>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pPr>
        <w:snapToGrid w:val="0"/>
        <w:spacing w:line="312" w:lineRule="auto"/>
        <w:rPr>
          <w:highlight w:val="none"/>
        </w:rPr>
      </w:pPr>
      <w:r>
        <w:rPr>
          <w:highlight w:val="none"/>
        </w:rP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8"/>
                    <a:stretch>
                      <a:fillRect/>
                    </a:stretch>
                  </pic:blipFill>
                  <pic:spPr>
                    <a:xfrm>
                      <a:off x="0" y="0"/>
                      <a:ext cx="5760085" cy="2853055"/>
                    </a:xfrm>
                    <a:prstGeom prst="rect">
                      <a:avLst/>
                    </a:prstGeom>
                    <a:noFill/>
                    <a:ln>
                      <a:noFill/>
                    </a:ln>
                  </pic:spPr>
                </pic:pic>
              </a:graphicData>
            </a:graphic>
          </wp:inline>
        </w:drawing>
      </w:r>
    </w:p>
    <w:p>
      <w:pPr>
        <w:numPr>
          <w:ilvl w:val="0"/>
          <w:numId w:val="8"/>
        </w:numPr>
        <w:snapToGrid/>
        <w:spacing w:before="0" w:after="0" w:line="360" w:lineRule="auto"/>
        <w:ind w:left="0" w:right="0" w:firstLine="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按要求填写所有信息，注意非生产类要填写合作单位，最后提交审批</w:t>
      </w:r>
    </w:p>
    <w:p>
      <w:pPr>
        <w:pStyle w:val="5"/>
        <w:numPr>
          <w:ilvl w:val="0"/>
          <w:numId w:val="0"/>
        </w:numPr>
        <w:rPr>
          <w:rFonts w:hint="default" w:eastAsia="宋体"/>
          <w:highlight w:val="none"/>
          <w:lang w:val="en-US" w:eastAsia="zh-CN"/>
        </w:rPr>
      </w:pPr>
      <w:r>
        <w:rPr>
          <w:rFonts w:hint="eastAsia"/>
          <w:highlight w:val="none"/>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highlight w:val="none"/>
          <w:u w:val="none"/>
        </w:rPr>
      </w:pPr>
    </w:p>
    <w:p>
      <w:pPr>
        <w:snapToGrid/>
        <w:spacing w:before="0" w:after="0" w:line="240" w:lineRule="auto"/>
        <w:ind w:left="0" w:right="0" w:firstLine="0"/>
        <w:jc w:val="both"/>
        <w:rPr>
          <w:highlight w:val="none"/>
        </w:rPr>
      </w:pPr>
      <w:r>
        <w:rPr>
          <w:highlight w:val="none"/>
        </w:rP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9"/>
                    <a:stretch>
                      <a:fillRect/>
                    </a:stretch>
                  </pic:blipFill>
                  <pic:spPr>
                    <a:xfrm>
                      <a:off x="0" y="0"/>
                      <a:ext cx="5760085" cy="2809875"/>
                    </a:xfrm>
                    <a:prstGeom prst="rect">
                      <a:avLst/>
                    </a:prstGeom>
                    <a:noFill/>
                    <a:ln>
                      <a:noFill/>
                    </a:ln>
                  </pic:spPr>
                </pic:pic>
              </a:graphicData>
            </a:graphic>
          </wp:inline>
        </w:drawing>
      </w:r>
    </w:p>
    <w:p>
      <w:pPr>
        <w:pStyle w:val="10"/>
        <w:rPr>
          <w:highlight w:val="none"/>
        </w:rPr>
      </w:pPr>
      <w:r>
        <w:rPr>
          <w:highlight w:val="none"/>
        </w:rP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30"/>
                    <a:stretch>
                      <a:fillRect/>
                    </a:stretch>
                  </pic:blipFill>
                  <pic:spPr>
                    <a:xfrm>
                      <a:off x="0" y="0"/>
                      <a:ext cx="5760085" cy="2820035"/>
                    </a:xfrm>
                    <a:prstGeom prst="rect">
                      <a:avLst/>
                    </a:prstGeom>
                    <a:noFill/>
                    <a:ln>
                      <a:noFill/>
                    </a:ln>
                  </pic:spPr>
                </pic:pic>
              </a:graphicData>
            </a:graphic>
          </wp:inline>
        </w:drawing>
      </w:r>
    </w:p>
    <w:p>
      <w:pPr>
        <w:pStyle w:val="10"/>
        <w:rPr>
          <w:highlight w:val="none"/>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科技中心园区二层平台建设塑胶跑道项目</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numPr>
          <w:ilvl w:val="0"/>
          <w:numId w:val="9"/>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CGZX2025070215</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pPr>
        <w:pStyle w:val="10"/>
        <w:rPr>
          <w:highlight w:val="none"/>
        </w:rPr>
        <w:sectPr>
          <w:footerReference r:id="rId17" w:type="first"/>
          <w:headerReference r:id="rId15" w:type="default"/>
          <w:footerReference r:id="rId16" w:type="default"/>
          <w:pgSz w:w="11906" w:h="16838"/>
          <w:pgMar w:top="128" w:right="1418" w:bottom="530" w:left="1418" w:header="851" w:footer="992" w:gutter="0"/>
          <w:pgNumType w:fmt="decimal"/>
          <w:cols w:space="720" w:num="1"/>
          <w:titlePg/>
          <w:docGrid w:type="lines" w:linePitch="312" w:charSpace="0"/>
        </w:sectPr>
      </w:pPr>
    </w:p>
    <w:p>
      <w:pPr>
        <w:pStyle w:val="10"/>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Times New Roman"/>
          <w:b/>
          <w:color w:val="000000"/>
          <w:sz w:val="24"/>
          <w:szCs w:val="24"/>
          <w:highlight w:val="none"/>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24"/>
          <w:rFonts w:hint="eastAsia" w:ascii="宋体" w:hAnsi="宋体" w:eastAsia="宋体" w:cs="宋体"/>
          <w:sz w:val="24"/>
          <w:szCs w:val="24"/>
          <w:highlight w:val="none"/>
        </w:rPr>
        <w:fldChar w:fldCharType="begin"/>
      </w:r>
      <w:r>
        <w:rPr>
          <w:rStyle w:val="24"/>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24"/>
          <w:rFonts w:hint="eastAsia" w:ascii="宋体" w:hAnsi="宋体" w:eastAsia="宋体" w:cs="宋体"/>
          <w:sz w:val="24"/>
          <w:szCs w:val="24"/>
          <w:highlight w:val="none"/>
        </w:rPr>
        <w:fldChar w:fldCharType="separate"/>
      </w:r>
      <w:r>
        <w:rPr>
          <w:rStyle w:val="24"/>
          <w:rFonts w:hint="eastAsia" w:ascii="宋体" w:hAnsi="宋体" w:eastAsia="宋体" w:cs="宋体"/>
          <w:sz w:val="24"/>
          <w:szCs w:val="24"/>
          <w:highlight w:val="none"/>
        </w:rPr>
        <w:t>http</w:t>
      </w:r>
      <w:r>
        <w:rPr>
          <w:rStyle w:val="24"/>
          <w:rFonts w:hint="eastAsia" w:ascii="宋体" w:hAnsi="宋体" w:cs="宋体"/>
          <w:sz w:val="24"/>
          <w:szCs w:val="24"/>
          <w:highlight w:val="none"/>
          <w:lang w:val="en-US" w:eastAsia="zh-CN"/>
        </w:rPr>
        <w:t>s</w:t>
      </w:r>
      <w:r>
        <w:rPr>
          <w:rStyle w:val="24"/>
          <w:rFonts w:hint="eastAsia" w:ascii="宋体" w:hAnsi="宋体" w:eastAsia="宋体" w:cs="宋体"/>
          <w:sz w:val="24"/>
          <w:szCs w:val="24"/>
          <w:highlight w:val="none"/>
        </w:rPr>
        <w:t>://ecaitong.sinotruk.com:8012/</w:t>
      </w:r>
      <w:r>
        <w:rPr>
          <w:rStyle w:val="24"/>
          <w:rFonts w:hint="eastAsia" w:ascii="宋体" w:hAnsi="宋体" w:eastAsia="宋体" w:cs="宋体"/>
          <w:sz w:val="24"/>
          <w:szCs w:val="24"/>
          <w:highlight w:val="none"/>
        </w:rPr>
        <w:fldChar w:fldCharType="end"/>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p>
    <w:p>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highlight w:val="none"/>
        </w:rPr>
      </w:pPr>
      <w:r>
        <w:rPr>
          <w:highlight w:val="none"/>
        </w:rP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31"/>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2"/>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rPr>
          <w:b/>
          <w:bCs/>
          <w:sz w:val="28"/>
          <w:szCs w:val="28"/>
          <w:highlight w:val="none"/>
        </w:rPr>
      </w:pPr>
      <w:r>
        <w:rPr>
          <w:rFonts w:hint="eastAsia"/>
          <w:b/>
          <w:bCs/>
          <w:sz w:val="28"/>
          <w:szCs w:val="28"/>
          <w:highlight w:val="none"/>
        </w:rPr>
        <w:t>请注意，投标报价单位为万元含税</w:t>
      </w:r>
    </w:p>
    <w:p>
      <w:pPr>
        <w:pStyle w:val="3"/>
        <w:rPr>
          <w:highlight w:val="none"/>
        </w:rPr>
      </w:pP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3"/>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highlight w:val="none"/>
        </w:rP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4"/>
                    <a:stretch>
                      <a:fillRect/>
                    </a:stretch>
                  </pic:blipFill>
                  <pic:spPr>
                    <a:xfrm>
                      <a:off x="0" y="0"/>
                      <a:ext cx="5502910" cy="2550795"/>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rPr>
          <w:b/>
          <w:bCs/>
          <w:sz w:val="28"/>
          <w:szCs w:val="28"/>
          <w:highlight w:val="none"/>
        </w:rPr>
      </w:pPr>
      <w:r>
        <w:rPr>
          <w:rFonts w:hint="eastAsia"/>
          <w:b/>
          <w:bCs/>
          <w:sz w:val="28"/>
          <w:szCs w:val="28"/>
          <w:highlight w:val="none"/>
        </w:rPr>
        <w:t>请注意，报价单位为万元含税</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5"/>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hint="eastAsia" w:hAnsi="宋体"/>
          <w:b/>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pPr>
        <w:rPr>
          <w:highlight w:val="none"/>
        </w:rPr>
      </w:pPr>
      <w:r>
        <w:rPr>
          <w:highlight w:val="none"/>
        </w:rP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6"/>
                    <a:stretch>
                      <a:fillRect/>
                    </a:stretch>
                  </pic:blipFill>
                  <pic:spPr>
                    <a:xfrm>
                      <a:off x="0" y="0"/>
                      <a:ext cx="4808220" cy="1975485"/>
                    </a:xfrm>
                    <a:prstGeom prst="rect">
                      <a:avLst/>
                    </a:prstGeom>
                  </pic:spPr>
                </pic:pic>
              </a:graphicData>
            </a:graphic>
          </wp:inline>
        </w:drawing>
      </w:r>
      <w:r>
        <w:rPr>
          <w:highlight w:val="none"/>
        </w:rP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7"/>
                    <a:stretch>
                      <a:fillRect/>
                    </a:stretch>
                  </pic:blipFill>
                  <pic:spPr>
                    <a:xfrm>
                      <a:off x="0" y="0"/>
                      <a:ext cx="4883785" cy="2115820"/>
                    </a:xfrm>
                    <a:prstGeom prst="rect">
                      <a:avLst/>
                    </a:prstGeom>
                  </pic:spPr>
                </pic:pic>
              </a:graphicData>
            </a:graphic>
          </wp:inline>
        </w:drawing>
      </w:r>
    </w:p>
    <w:p>
      <w:pPr>
        <w:rPr>
          <w:highlight w:val="none"/>
        </w:rPr>
      </w:pPr>
      <w:r>
        <w:rPr>
          <w:rFonts w:hint="eastAsia"/>
          <w:highlight w:val="none"/>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highlight w:val="none"/>
          <w:u w:val="none"/>
        </w:rPr>
      </w:pPr>
      <w:r>
        <w:rPr>
          <w:rFonts w:hint="eastAsia" w:ascii="宋体" w:hAnsi="宋体" w:eastAsia="宋体" w:cs="宋体"/>
          <w:b/>
          <w:bCs/>
          <w:i w:val="0"/>
          <w:strike w:val="0"/>
          <w:color w:val="000000"/>
          <w:sz w:val="24"/>
          <w:szCs w:val="24"/>
          <w:highlight w:val="none"/>
          <w:u w:val="none"/>
          <w:lang w:val="en-US" w:eastAsia="zh-CN"/>
        </w:rPr>
        <w:t>7、</w:t>
      </w:r>
      <w:r>
        <w:rPr>
          <w:rFonts w:hint="eastAsia" w:ascii="宋体" w:hAnsi="宋体" w:eastAsia="宋体" w:cs="宋体"/>
          <w:b/>
          <w:bCs/>
          <w:i w:val="0"/>
          <w:strike w:val="0"/>
          <w:color w:val="000000"/>
          <w:sz w:val="24"/>
          <w:szCs w:val="24"/>
          <w:highlight w:val="none"/>
          <w:u w:val="none"/>
        </w:rPr>
        <w:t>评标纪律</w:t>
      </w:r>
    </w:p>
    <w:p>
      <w:pPr>
        <w:rPr>
          <w:highlight w:val="none"/>
        </w:rPr>
      </w:pPr>
      <w:r>
        <w:rPr>
          <w:highlight w:val="none"/>
        </w:rPr>
        <w:t>路径：招投标中心-非生产类招投标-</w:t>
      </w:r>
      <w:r>
        <w:rPr>
          <w:rFonts w:hint="eastAsia"/>
          <w:highlight w:val="none"/>
        </w:rPr>
        <w:t>供应商投标</w:t>
      </w:r>
    </w:p>
    <w:p>
      <w:pPr>
        <w:rPr>
          <w:rFonts w:hint="eastAsia"/>
          <w:highlight w:val="none"/>
        </w:rPr>
      </w:pPr>
      <w:r>
        <w:rPr>
          <w:rFonts w:hint="eastAsia"/>
          <w:highlight w:val="none"/>
        </w:rPr>
        <w:t>供应商投标时会弹窗展示评标纪律，要求供应商勾选我已阅知并保证遵守评标记录之后点击确定按钮进入投标界面。</w:t>
      </w:r>
    </w:p>
    <w:p>
      <w:pPr>
        <w:rPr>
          <w:rFonts w:hint="eastAsia"/>
          <w:highlight w:val="none"/>
        </w:rPr>
      </w:pPr>
      <w:r>
        <w:rPr>
          <w:highlight w:val="none"/>
        </w:rP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8"/>
                    <a:stretch>
                      <a:fillRect/>
                    </a:stretch>
                  </pic:blipFill>
                  <pic:spPr>
                    <a:xfrm>
                      <a:off x="0" y="0"/>
                      <a:ext cx="5502910" cy="6014085"/>
                    </a:xfrm>
                    <a:prstGeom prst="rect">
                      <a:avLst/>
                    </a:prstGeom>
                  </pic:spPr>
                </pic:pic>
              </a:graphicData>
            </a:graphic>
          </wp:inline>
        </w:drawing>
      </w:r>
    </w:p>
    <w:p>
      <w:pPr>
        <w:rPr>
          <w:highlight w:val="none"/>
        </w:rPr>
      </w:pPr>
    </w:p>
    <w:p>
      <w:pPr>
        <w:rPr>
          <w:highlight w:val="none"/>
        </w:rPr>
      </w:pPr>
    </w:p>
    <w:sectPr>
      <w:footerReference r:id="rId21" w:type="first"/>
      <w:headerReference r:id="rId18" w:type="default"/>
      <w:footerReference r:id="rId19" w:type="default"/>
      <w:footerReference r:id="rId20"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831"/>
        <w:tab w:val="center" w:pos="4535"/>
        <w:tab w:val="clear" w:pos="4153"/>
        <w:tab w:val="clear" w:pos="8306"/>
      </w:tabs>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center" w:y="1"/>
      <w:rPr>
        <w:rStyle w:val="22"/>
      </w:rPr>
    </w:pPr>
    <w:r>
      <w:fldChar w:fldCharType="begin"/>
    </w:r>
    <w:r>
      <w:rPr>
        <w:rStyle w:val="22"/>
      </w:rPr>
      <w:instrText xml:space="preserve">PAGE  </w:instrText>
    </w:r>
    <w:r>
      <w:fldChar w:fldCharType="separate"/>
    </w:r>
    <w:r>
      <w:rPr>
        <w:rStyle w:val="22"/>
      </w:rPr>
      <w:t>0</w:t>
    </w:r>
    <w:r>
      <w:fldChar w:fldCharType="end"/>
    </w:r>
  </w:p>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79"/>
        <w:tab w:val="clear" w:pos="4153"/>
        <w:tab w:val="clear" w:pos="8306"/>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11"/>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1"/>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8z7AMo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8z7AMoBAACbAwAADgAAAAAAAAABACAAAAAeAQAAZHJzL2Uyb0Rv&#10;Yy54bWxQSwUGAAAAAAYABgBZAQAAWgU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11"/>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CECC6"/>
    <w:multiLevelType w:val="singleLevel"/>
    <w:tmpl w:val="81CCECC6"/>
    <w:lvl w:ilvl="0" w:tentative="0">
      <w:start w:val="5"/>
      <w:numFmt w:val="decimal"/>
      <w:suff w:val="nothing"/>
      <w:lvlText w:val="（%1）"/>
      <w:lvlJc w:val="left"/>
      <w:pPr>
        <w:ind w:left="20"/>
      </w:pPr>
    </w:lvl>
  </w:abstractNum>
  <w:abstractNum w:abstractNumId="1">
    <w:nsid w:val="B0E9AD5F"/>
    <w:multiLevelType w:val="singleLevel"/>
    <w:tmpl w:val="B0E9AD5F"/>
    <w:lvl w:ilvl="0" w:tentative="0">
      <w:start w:val="4"/>
      <w:numFmt w:val="chineseCounting"/>
      <w:suff w:val="space"/>
      <w:lvlText w:val="第%1章"/>
      <w:lvlJc w:val="left"/>
      <w:rPr>
        <w:rFonts w:hint="eastAsia"/>
      </w:rPr>
    </w:lvl>
  </w:abstractNum>
  <w:abstractNum w:abstractNumId="2">
    <w:nsid w:val="C14081AA"/>
    <w:multiLevelType w:val="singleLevel"/>
    <w:tmpl w:val="C14081AA"/>
    <w:lvl w:ilvl="0" w:tentative="0">
      <w:start w:val="4"/>
      <w:numFmt w:val="decimal"/>
      <w:lvlText w:val="%1."/>
      <w:lvlJc w:val="left"/>
      <w:pPr>
        <w:tabs>
          <w:tab w:val="left" w:pos="312"/>
        </w:tabs>
      </w:pPr>
    </w:lvl>
  </w:abstractNum>
  <w:abstractNum w:abstractNumId="3">
    <w:nsid w:val="FF45EBF2"/>
    <w:multiLevelType w:val="singleLevel"/>
    <w:tmpl w:val="FF45EBF2"/>
    <w:lvl w:ilvl="0" w:tentative="0">
      <w:start w:val="1"/>
      <w:numFmt w:val="decimal"/>
      <w:lvlText w:val="%1."/>
      <w:lvlJc w:val="left"/>
      <w:pPr>
        <w:tabs>
          <w:tab w:val="left" w:pos="312"/>
        </w:tabs>
      </w:pPr>
    </w:lvl>
  </w:abstractNum>
  <w:abstractNum w:abstractNumId="4">
    <w:nsid w:val="033F3A67"/>
    <w:multiLevelType w:val="singleLevel"/>
    <w:tmpl w:val="033F3A67"/>
    <w:lvl w:ilvl="0" w:tentative="0">
      <w:start w:val="5"/>
      <w:numFmt w:val="chineseCounting"/>
      <w:suff w:val="nothing"/>
      <w:lvlText w:val="%1、"/>
      <w:lvlJc w:val="left"/>
      <w:rPr>
        <w:rFonts w:hint="eastAsia"/>
      </w:rPr>
    </w:lvl>
  </w:abstractNum>
  <w:abstractNum w:abstractNumId="5">
    <w:nsid w:val="12EDC6E6"/>
    <w:multiLevelType w:val="singleLevel"/>
    <w:tmpl w:val="12EDC6E6"/>
    <w:lvl w:ilvl="0" w:tentative="0">
      <w:start w:val="6"/>
      <w:numFmt w:val="chineseCounting"/>
      <w:suff w:val="space"/>
      <w:lvlText w:val="%1、"/>
      <w:lvlJc w:val="left"/>
      <w:rPr>
        <w:rFonts w:hint="eastAsia"/>
      </w:r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6A45DB5C"/>
    <w:multiLevelType w:val="singleLevel"/>
    <w:tmpl w:val="6A45DB5C"/>
    <w:lvl w:ilvl="0" w:tentative="0">
      <w:start w:val="1"/>
      <w:numFmt w:val="decimal"/>
      <w:suff w:val="nothing"/>
      <w:lvlText w:val="（%1）"/>
      <w:lvlJc w:val="left"/>
    </w:lvl>
  </w:abstractNum>
  <w:abstractNum w:abstractNumId="8">
    <w:nsid w:val="736B406B"/>
    <w:multiLevelType w:val="singleLevel"/>
    <w:tmpl w:val="736B406B"/>
    <w:lvl w:ilvl="0" w:tentative="0">
      <w:start w:val="5"/>
      <w:numFmt w:val="decimal"/>
      <w:lvlText w:val="%1."/>
      <w:lvlJc w:val="left"/>
      <w:pPr>
        <w:tabs>
          <w:tab w:val="left" w:pos="312"/>
        </w:tabs>
      </w:pPr>
    </w:lvl>
  </w:abstractNum>
  <w:num w:numId="1">
    <w:abstractNumId w:val="2"/>
  </w:num>
  <w:num w:numId="2">
    <w:abstractNumId w:val="0"/>
  </w:num>
  <w:num w:numId="3">
    <w:abstractNumId w:val="4"/>
  </w:num>
  <w:num w:numId="4">
    <w:abstractNumId w:val="6"/>
  </w:num>
  <w:num w:numId="5">
    <w:abstractNumId w:val="1"/>
  </w:num>
  <w:num w:numId="6">
    <w:abstractNumId w:val="7"/>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4YTI0YzJhYzYxYzI5YzBmYTU4ODEyZGMxMGM0MmYifQ=="/>
  </w:docVars>
  <w:rsids>
    <w:rsidRoot w:val="00000000"/>
    <w:rsid w:val="00100BA1"/>
    <w:rsid w:val="00303B0D"/>
    <w:rsid w:val="004A7F2C"/>
    <w:rsid w:val="004F2EE2"/>
    <w:rsid w:val="00B76409"/>
    <w:rsid w:val="00C14B91"/>
    <w:rsid w:val="00CD3536"/>
    <w:rsid w:val="00D447DE"/>
    <w:rsid w:val="00D747EA"/>
    <w:rsid w:val="010A6538"/>
    <w:rsid w:val="010D6D01"/>
    <w:rsid w:val="010F4D4C"/>
    <w:rsid w:val="011E3D92"/>
    <w:rsid w:val="01303E14"/>
    <w:rsid w:val="01310FE2"/>
    <w:rsid w:val="014063FE"/>
    <w:rsid w:val="016A347B"/>
    <w:rsid w:val="01762172"/>
    <w:rsid w:val="017C6106"/>
    <w:rsid w:val="018856AF"/>
    <w:rsid w:val="019078AB"/>
    <w:rsid w:val="019B53E2"/>
    <w:rsid w:val="01A74ECD"/>
    <w:rsid w:val="01B91719"/>
    <w:rsid w:val="01D4523A"/>
    <w:rsid w:val="01D95CA3"/>
    <w:rsid w:val="01E06C1D"/>
    <w:rsid w:val="01F66ABD"/>
    <w:rsid w:val="0209149A"/>
    <w:rsid w:val="021E46FE"/>
    <w:rsid w:val="02246E13"/>
    <w:rsid w:val="02322A9A"/>
    <w:rsid w:val="02370032"/>
    <w:rsid w:val="023723A1"/>
    <w:rsid w:val="023F2212"/>
    <w:rsid w:val="027A149C"/>
    <w:rsid w:val="02804E4A"/>
    <w:rsid w:val="028E769D"/>
    <w:rsid w:val="02C753AC"/>
    <w:rsid w:val="02DC1130"/>
    <w:rsid w:val="02E729B7"/>
    <w:rsid w:val="03140FF8"/>
    <w:rsid w:val="032441FD"/>
    <w:rsid w:val="032514D7"/>
    <w:rsid w:val="032F316C"/>
    <w:rsid w:val="033311CF"/>
    <w:rsid w:val="03350B0D"/>
    <w:rsid w:val="03660724"/>
    <w:rsid w:val="036970F4"/>
    <w:rsid w:val="03991DF6"/>
    <w:rsid w:val="03D21C41"/>
    <w:rsid w:val="03E941FA"/>
    <w:rsid w:val="03EF7708"/>
    <w:rsid w:val="03FF072D"/>
    <w:rsid w:val="041A70FC"/>
    <w:rsid w:val="04246808"/>
    <w:rsid w:val="045509B6"/>
    <w:rsid w:val="046F7568"/>
    <w:rsid w:val="048905B6"/>
    <w:rsid w:val="049B18BB"/>
    <w:rsid w:val="04CC2ABA"/>
    <w:rsid w:val="04D84F29"/>
    <w:rsid w:val="04F608A4"/>
    <w:rsid w:val="0531118C"/>
    <w:rsid w:val="056B0CB0"/>
    <w:rsid w:val="058777E5"/>
    <w:rsid w:val="05935543"/>
    <w:rsid w:val="05A05628"/>
    <w:rsid w:val="05BE41F5"/>
    <w:rsid w:val="05C74A0B"/>
    <w:rsid w:val="05DD1532"/>
    <w:rsid w:val="05EE6337"/>
    <w:rsid w:val="05FC1AF2"/>
    <w:rsid w:val="06247323"/>
    <w:rsid w:val="062607CE"/>
    <w:rsid w:val="06281F2C"/>
    <w:rsid w:val="066906E0"/>
    <w:rsid w:val="0680729D"/>
    <w:rsid w:val="068416E6"/>
    <w:rsid w:val="06C15190"/>
    <w:rsid w:val="06C90C44"/>
    <w:rsid w:val="06D0104C"/>
    <w:rsid w:val="06D56408"/>
    <w:rsid w:val="06DE555D"/>
    <w:rsid w:val="06F537E7"/>
    <w:rsid w:val="0744651C"/>
    <w:rsid w:val="07515A88"/>
    <w:rsid w:val="07C95879"/>
    <w:rsid w:val="07DD6810"/>
    <w:rsid w:val="07E21F39"/>
    <w:rsid w:val="07E5385B"/>
    <w:rsid w:val="080A7ACF"/>
    <w:rsid w:val="085366AF"/>
    <w:rsid w:val="085A3822"/>
    <w:rsid w:val="08707B51"/>
    <w:rsid w:val="0897720D"/>
    <w:rsid w:val="08A97E88"/>
    <w:rsid w:val="08CB0CA3"/>
    <w:rsid w:val="08DA5578"/>
    <w:rsid w:val="08F17E57"/>
    <w:rsid w:val="091D0DD3"/>
    <w:rsid w:val="092951B8"/>
    <w:rsid w:val="09656DCF"/>
    <w:rsid w:val="0966277A"/>
    <w:rsid w:val="0991077D"/>
    <w:rsid w:val="099E3CC2"/>
    <w:rsid w:val="09CB6896"/>
    <w:rsid w:val="09CE2D8D"/>
    <w:rsid w:val="09D43B87"/>
    <w:rsid w:val="0A0C1573"/>
    <w:rsid w:val="0A2E2EE2"/>
    <w:rsid w:val="0A3B7FD7"/>
    <w:rsid w:val="0A5F1181"/>
    <w:rsid w:val="0A6A7A54"/>
    <w:rsid w:val="0A84735B"/>
    <w:rsid w:val="0AA12430"/>
    <w:rsid w:val="0AC21E85"/>
    <w:rsid w:val="0AC42E9F"/>
    <w:rsid w:val="0ADD50EF"/>
    <w:rsid w:val="0AE778EA"/>
    <w:rsid w:val="0B0E675C"/>
    <w:rsid w:val="0B186678"/>
    <w:rsid w:val="0B656AE3"/>
    <w:rsid w:val="0B8E7D66"/>
    <w:rsid w:val="0BC347EF"/>
    <w:rsid w:val="0BC90AF4"/>
    <w:rsid w:val="0BD171ED"/>
    <w:rsid w:val="0BE36CD9"/>
    <w:rsid w:val="0BF978D5"/>
    <w:rsid w:val="0C175FAD"/>
    <w:rsid w:val="0C2C1B67"/>
    <w:rsid w:val="0C634800"/>
    <w:rsid w:val="0C842999"/>
    <w:rsid w:val="0CB40DE6"/>
    <w:rsid w:val="0CC06DF7"/>
    <w:rsid w:val="0CEA1BC0"/>
    <w:rsid w:val="0D3450A6"/>
    <w:rsid w:val="0D3503A2"/>
    <w:rsid w:val="0D3D5EE8"/>
    <w:rsid w:val="0D7116ED"/>
    <w:rsid w:val="0D8A759A"/>
    <w:rsid w:val="0DAE649D"/>
    <w:rsid w:val="0DAF0B09"/>
    <w:rsid w:val="0DB735A4"/>
    <w:rsid w:val="0DC67D96"/>
    <w:rsid w:val="0DDE3227"/>
    <w:rsid w:val="0DED507E"/>
    <w:rsid w:val="0E0A3098"/>
    <w:rsid w:val="0E0D1416"/>
    <w:rsid w:val="0E1B1D7D"/>
    <w:rsid w:val="0E1F0E1E"/>
    <w:rsid w:val="0E411696"/>
    <w:rsid w:val="0E503D48"/>
    <w:rsid w:val="0E63197E"/>
    <w:rsid w:val="0E873A8E"/>
    <w:rsid w:val="0E9B50A9"/>
    <w:rsid w:val="0EBD640E"/>
    <w:rsid w:val="0EDB6947"/>
    <w:rsid w:val="0F014D68"/>
    <w:rsid w:val="0F0E5336"/>
    <w:rsid w:val="0F1139A8"/>
    <w:rsid w:val="0F15109A"/>
    <w:rsid w:val="0F5F3EF3"/>
    <w:rsid w:val="0F60615C"/>
    <w:rsid w:val="0F7E2E38"/>
    <w:rsid w:val="0F900C4F"/>
    <w:rsid w:val="0F97640B"/>
    <w:rsid w:val="0FD37BD9"/>
    <w:rsid w:val="0FDB4665"/>
    <w:rsid w:val="0FE81DDF"/>
    <w:rsid w:val="10791037"/>
    <w:rsid w:val="10995A58"/>
    <w:rsid w:val="10A510D3"/>
    <w:rsid w:val="10B95E90"/>
    <w:rsid w:val="10EC25B9"/>
    <w:rsid w:val="1134315E"/>
    <w:rsid w:val="11414485"/>
    <w:rsid w:val="11604C92"/>
    <w:rsid w:val="1169095A"/>
    <w:rsid w:val="117178E7"/>
    <w:rsid w:val="11885FE2"/>
    <w:rsid w:val="11D706B9"/>
    <w:rsid w:val="11EA1373"/>
    <w:rsid w:val="11F5112B"/>
    <w:rsid w:val="11F9177F"/>
    <w:rsid w:val="12210BBD"/>
    <w:rsid w:val="12820395"/>
    <w:rsid w:val="12976F0D"/>
    <w:rsid w:val="12D73086"/>
    <w:rsid w:val="12DA3560"/>
    <w:rsid w:val="12F44864"/>
    <w:rsid w:val="12FF0144"/>
    <w:rsid w:val="13256E2C"/>
    <w:rsid w:val="13535D9B"/>
    <w:rsid w:val="13880B22"/>
    <w:rsid w:val="139B6F6C"/>
    <w:rsid w:val="13A03242"/>
    <w:rsid w:val="13BB7933"/>
    <w:rsid w:val="13C03A3F"/>
    <w:rsid w:val="13C0517C"/>
    <w:rsid w:val="13CF2A82"/>
    <w:rsid w:val="13D75FE4"/>
    <w:rsid w:val="13ED651F"/>
    <w:rsid w:val="140F7DA7"/>
    <w:rsid w:val="143A1985"/>
    <w:rsid w:val="144B7979"/>
    <w:rsid w:val="14522767"/>
    <w:rsid w:val="145634FD"/>
    <w:rsid w:val="1457163D"/>
    <w:rsid w:val="147A1053"/>
    <w:rsid w:val="147D4ABC"/>
    <w:rsid w:val="14836151"/>
    <w:rsid w:val="149176F2"/>
    <w:rsid w:val="14A163F2"/>
    <w:rsid w:val="14B20F69"/>
    <w:rsid w:val="14C45D91"/>
    <w:rsid w:val="14D37DB8"/>
    <w:rsid w:val="150A2E69"/>
    <w:rsid w:val="15334487"/>
    <w:rsid w:val="15380A96"/>
    <w:rsid w:val="153E27FD"/>
    <w:rsid w:val="156C070E"/>
    <w:rsid w:val="15736D56"/>
    <w:rsid w:val="159F65AC"/>
    <w:rsid w:val="15B00359"/>
    <w:rsid w:val="15BE0F83"/>
    <w:rsid w:val="15CA5E3E"/>
    <w:rsid w:val="15D860E5"/>
    <w:rsid w:val="15E8637F"/>
    <w:rsid w:val="15EA028F"/>
    <w:rsid w:val="15FA2BC8"/>
    <w:rsid w:val="163A1C14"/>
    <w:rsid w:val="163E4FD8"/>
    <w:rsid w:val="16557DFE"/>
    <w:rsid w:val="16A477CB"/>
    <w:rsid w:val="16B22503"/>
    <w:rsid w:val="16B34B25"/>
    <w:rsid w:val="16B66AC3"/>
    <w:rsid w:val="16B9425F"/>
    <w:rsid w:val="17215F32"/>
    <w:rsid w:val="172346CE"/>
    <w:rsid w:val="17555D82"/>
    <w:rsid w:val="1791722F"/>
    <w:rsid w:val="17AD77C6"/>
    <w:rsid w:val="17BA1773"/>
    <w:rsid w:val="17D81CA0"/>
    <w:rsid w:val="17EF33B1"/>
    <w:rsid w:val="17F60179"/>
    <w:rsid w:val="180A74EF"/>
    <w:rsid w:val="184E428A"/>
    <w:rsid w:val="185C4947"/>
    <w:rsid w:val="18716A45"/>
    <w:rsid w:val="188A52FE"/>
    <w:rsid w:val="188C35EE"/>
    <w:rsid w:val="188F53F8"/>
    <w:rsid w:val="18A76C55"/>
    <w:rsid w:val="18C64FE3"/>
    <w:rsid w:val="18D91D0B"/>
    <w:rsid w:val="18E06756"/>
    <w:rsid w:val="18F029FA"/>
    <w:rsid w:val="18FC541C"/>
    <w:rsid w:val="19123DC4"/>
    <w:rsid w:val="191373BD"/>
    <w:rsid w:val="19241D0A"/>
    <w:rsid w:val="19621BDB"/>
    <w:rsid w:val="19710E11"/>
    <w:rsid w:val="19715915"/>
    <w:rsid w:val="1991739F"/>
    <w:rsid w:val="1994388E"/>
    <w:rsid w:val="19A62CF8"/>
    <w:rsid w:val="19AE0FED"/>
    <w:rsid w:val="1A0F1FAD"/>
    <w:rsid w:val="1A201D29"/>
    <w:rsid w:val="1A2A2B7C"/>
    <w:rsid w:val="1A3109EA"/>
    <w:rsid w:val="1A444830"/>
    <w:rsid w:val="1A4B1C44"/>
    <w:rsid w:val="1A646357"/>
    <w:rsid w:val="1A656AC5"/>
    <w:rsid w:val="1A6E5932"/>
    <w:rsid w:val="1A736498"/>
    <w:rsid w:val="1A8213DE"/>
    <w:rsid w:val="1A866A6C"/>
    <w:rsid w:val="1A8C36D0"/>
    <w:rsid w:val="1AAD7613"/>
    <w:rsid w:val="1ADA0F99"/>
    <w:rsid w:val="1AE93EB4"/>
    <w:rsid w:val="1AF1095B"/>
    <w:rsid w:val="1AF277CF"/>
    <w:rsid w:val="1AF95B35"/>
    <w:rsid w:val="1B475EFF"/>
    <w:rsid w:val="1B63604D"/>
    <w:rsid w:val="1B72073F"/>
    <w:rsid w:val="1B7528DA"/>
    <w:rsid w:val="1B804E3C"/>
    <w:rsid w:val="1B9C027D"/>
    <w:rsid w:val="1BE83DD7"/>
    <w:rsid w:val="1C1F4A39"/>
    <w:rsid w:val="1C2673BA"/>
    <w:rsid w:val="1C2A0960"/>
    <w:rsid w:val="1C4F60A6"/>
    <w:rsid w:val="1C517F83"/>
    <w:rsid w:val="1C7D1E5D"/>
    <w:rsid w:val="1C9978FC"/>
    <w:rsid w:val="1C9D67EC"/>
    <w:rsid w:val="1CAC2905"/>
    <w:rsid w:val="1CC95A09"/>
    <w:rsid w:val="1CD221A8"/>
    <w:rsid w:val="1CE40726"/>
    <w:rsid w:val="1CFA1018"/>
    <w:rsid w:val="1CFC5BC9"/>
    <w:rsid w:val="1D0D29EF"/>
    <w:rsid w:val="1D0E64DC"/>
    <w:rsid w:val="1D320E99"/>
    <w:rsid w:val="1D5D36B2"/>
    <w:rsid w:val="1D6304CC"/>
    <w:rsid w:val="1D9C2528"/>
    <w:rsid w:val="1DA801B1"/>
    <w:rsid w:val="1DDB2E4B"/>
    <w:rsid w:val="1DE94132"/>
    <w:rsid w:val="1DF431D5"/>
    <w:rsid w:val="1DF57F21"/>
    <w:rsid w:val="1DFB128B"/>
    <w:rsid w:val="1DFC5003"/>
    <w:rsid w:val="1E081AD2"/>
    <w:rsid w:val="1E1422D9"/>
    <w:rsid w:val="1E1F230F"/>
    <w:rsid w:val="1E3C74A0"/>
    <w:rsid w:val="1E3E442F"/>
    <w:rsid w:val="1E4C7D5F"/>
    <w:rsid w:val="1E6530AD"/>
    <w:rsid w:val="1E676E3A"/>
    <w:rsid w:val="1F0770FC"/>
    <w:rsid w:val="1F120F82"/>
    <w:rsid w:val="1F1B2E60"/>
    <w:rsid w:val="1F602E17"/>
    <w:rsid w:val="1F807CE3"/>
    <w:rsid w:val="1F856491"/>
    <w:rsid w:val="1FA140B4"/>
    <w:rsid w:val="1FC11EA9"/>
    <w:rsid w:val="1FEA75D2"/>
    <w:rsid w:val="202E6EC5"/>
    <w:rsid w:val="203E1903"/>
    <w:rsid w:val="203E7B55"/>
    <w:rsid w:val="206750B4"/>
    <w:rsid w:val="207829CC"/>
    <w:rsid w:val="20845366"/>
    <w:rsid w:val="20863CB7"/>
    <w:rsid w:val="208E5FEE"/>
    <w:rsid w:val="20BE2CEC"/>
    <w:rsid w:val="20D32E33"/>
    <w:rsid w:val="20E27442"/>
    <w:rsid w:val="20FA0881"/>
    <w:rsid w:val="21015A43"/>
    <w:rsid w:val="213B5591"/>
    <w:rsid w:val="213D75A7"/>
    <w:rsid w:val="21B512F2"/>
    <w:rsid w:val="21BA320B"/>
    <w:rsid w:val="21C87FE5"/>
    <w:rsid w:val="21F72D73"/>
    <w:rsid w:val="2215799A"/>
    <w:rsid w:val="221D39E7"/>
    <w:rsid w:val="2224254C"/>
    <w:rsid w:val="223C1E72"/>
    <w:rsid w:val="224C1CF5"/>
    <w:rsid w:val="22513B6F"/>
    <w:rsid w:val="22615D46"/>
    <w:rsid w:val="22773469"/>
    <w:rsid w:val="22B91F7C"/>
    <w:rsid w:val="22BA6FF4"/>
    <w:rsid w:val="22BE6D2B"/>
    <w:rsid w:val="22F421EE"/>
    <w:rsid w:val="230B6ABD"/>
    <w:rsid w:val="231352C9"/>
    <w:rsid w:val="231B74DC"/>
    <w:rsid w:val="231D4366"/>
    <w:rsid w:val="235C0FB9"/>
    <w:rsid w:val="23605A2D"/>
    <w:rsid w:val="23866924"/>
    <w:rsid w:val="23B61577"/>
    <w:rsid w:val="23D45DC2"/>
    <w:rsid w:val="23EC153B"/>
    <w:rsid w:val="2408233F"/>
    <w:rsid w:val="241E1686"/>
    <w:rsid w:val="246D7FA6"/>
    <w:rsid w:val="24AE34FB"/>
    <w:rsid w:val="24B65C29"/>
    <w:rsid w:val="24D36E41"/>
    <w:rsid w:val="24DE1906"/>
    <w:rsid w:val="24F22CA8"/>
    <w:rsid w:val="253A4D8F"/>
    <w:rsid w:val="25496D80"/>
    <w:rsid w:val="25670AE2"/>
    <w:rsid w:val="258C5AFE"/>
    <w:rsid w:val="25BC1216"/>
    <w:rsid w:val="25E537C6"/>
    <w:rsid w:val="26297308"/>
    <w:rsid w:val="262D66A1"/>
    <w:rsid w:val="264A194A"/>
    <w:rsid w:val="26644B8A"/>
    <w:rsid w:val="26801254"/>
    <w:rsid w:val="26C423E8"/>
    <w:rsid w:val="26E11783"/>
    <w:rsid w:val="26F24C45"/>
    <w:rsid w:val="27085698"/>
    <w:rsid w:val="2717462E"/>
    <w:rsid w:val="27473FB0"/>
    <w:rsid w:val="27565784"/>
    <w:rsid w:val="278F1801"/>
    <w:rsid w:val="27A04C51"/>
    <w:rsid w:val="27BD1CA7"/>
    <w:rsid w:val="27ED6C10"/>
    <w:rsid w:val="281533CB"/>
    <w:rsid w:val="28173404"/>
    <w:rsid w:val="285A74F6"/>
    <w:rsid w:val="287C2A5C"/>
    <w:rsid w:val="288D78CB"/>
    <w:rsid w:val="28F6717A"/>
    <w:rsid w:val="28FE0C10"/>
    <w:rsid w:val="291D0C4F"/>
    <w:rsid w:val="29697377"/>
    <w:rsid w:val="29E452C9"/>
    <w:rsid w:val="2A1D3477"/>
    <w:rsid w:val="2A330B11"/>
    <w:rsid w:val="2A436034"/>
    <w:rsid w:val="2A4D29E9"/>
    <w:rsid w:val="2AA52955"/>
    <w:rsid w:val="2AAB5908"/>
    <w:rsid w:val="2AD72263"/>
    <w:rsid w:val="2AFE381C"/>
    <w:rsid w:val="2B023C9F"/>
    <w:rsid w:val="2B0C3E73"/>
    <w:rsid w:val="2B2F6A18"/>
    <w:rsid w:val="2B33470F"/>
    <w:rsid w:val="2B36455A"/>
    <w:rsid w:val="2B606BD1"/>
    <w:rsid w:val="2B7A10E2"/>
    <w:rsid w:val="2B836D64"/>
    <w:rsid w:val="2B8B0A09"/>
    <w:rsid w:val="2BAA609E"/>
    <w:rsid w:val="2BB638B4"/>
    <w:rsid w:val="2BEB34D5"/>
    <w:rsid w:val="2BFD3BD7"/>
    <w:rsid w:val="2C135FAF"/>
    <w:rsid w:val="2C1B6F9C"/>
    <w:rsid w:val="2C233D76"/>
    <w:rsid w:val="2C3952BE"/>
    <w:rsid w:val="2C4F2094"/>
    <w:rsid w:val="2C5C4EF8"/>
    <w:rsid w:val="2C730B86"/>
    <w:rsid w:val="2C755993"/>
    <w:rsid w:val="2C956634"/>
    <w:rsid w:val="2CBA7DB9"/>
    <w:rsid w:val="2CC7011F"/>
    <w:rsid w:val="2CDF7BB7"/>
    <w:rsid w:val="2CFA6FE6"/>
    <w:rsid w:val="2CFF5097"/>
    <w:rsid w:val="2D1C121E"/>
    <w:rsid w:val="2D536E8E"/>
    <w:rsid w:val="2D58497B"/>
    <w:rsid w:val="2D616C31"/>
    <w:rsid w:val="2D653489"/>
    <w:rsid w:val="2D9C4F6B"/>
    <w:rsid w:val="2D9D122B"/>
    <w:rsid w:val="2D9E479A"/>
    <w:rsid w:val="2D9E4FAE"/>
    <w:rsid w:val="2DB80F46"/>
    <w:rsid w:val="2DD510E9"/>
    <w:rsid w:val="2E01095F"/>
    <w:rsid w:val="2E03010C"/>
    <w:rsid w:val="2E220AB6"/>
    <w:rsid w:val="2E3507E9"/>
    <w:rsid w:val="2E365601"/>
    <w:rsid w:val="2E3859E0"/>
    <w:rsid w:val="2E825B55"/>
    <w:rsid w:val="2EA75524"/>
    <w:rsid w:val="2EB84EF4"/>
    <w:rsid w:val="2EE15DF5"/>
    <w:rsid w:val="2EFD5C1D"/>
    <w:rsid w:val="2F3A13A6"/>
    <w:rsid w:val="2F5408D5"/>
    <w:rsid w:val="2F83655C"/>
    <w:rsid w:val="2F8B574F"/>
    <w:rsid w:val="2FD65A3F"/>
    <w:rsid w:val="300645B8"/>
    <w:rsid w:val="302B680E"/>
    <w:rsid w:val="304212CA"/>
    <w:rsid w:val="306C6018"/>
    <w:rsid w:val="309858B4"/>
    <w:rsid w:val="30BA4FD6"/>
    <w:rsid w:val="30CD355F"/>
    <w:rsid w:val="30FA3FE7"/>
    <w:rsid w:val="312A215B"/>
    <w:rsid w:val="31404861"/>
    <w:rsid w:val="31475660"/>
    <w:rsid w:val="31787515"/>
    <w:rsid w:val="318D33AD"/>
    <w:rsid w:val="319A40D3"/>
    <w:rsid w:val="31AC44CD"/>
    <w:rsid w:val="31C01C77"/>
    <w:rsid w:val="31CB6BC1"/>
    <w:rsid w:val="31D32E7B"/>
    <w:rsid w:val="31F36A80"/>
    <w:rsid w:val="320D50ED"/>
    <w:rsid w:val="32216010"/>
    <w:rsid w:val="323352EB"/>
    <w:rsid w:val="323414F3"/>
    <w:rsid w:val="326E73BC"/>
    <w:rsid w:val="32760A30"/>
    <w:rsid w:val="32760FED"/>
    <w:rsid w:val="327F0106"/>
    <w:rsid w:val="32930A79"/>
    <w:rsid w:val="329F1203"/>
    <w:rsid w:val="32BE2081"/>
    <w:rsid w:val="32DD144F"/>
    <w:rsid w:val="33045A37"/>
    <w:rsid w:val="330843A0"/>
    <w:rsid w:val="332735FA"/>
    <w:rsid w:val="334119DE"/>
    <w:rsid w:val="335039CF"/>
    <w:rsid w:val="33693853"/>
    <w:rsid w:val="33BB60DF"/>
    <w:rsid w:val="33D4015C"/>
    <w:rsid w:val="33F269F0"/>
    <w:rsid w:val="342F4984"/>
    <w:rsid w:val="347F6C2F"/>
    <w:rsid w:val="348E22F7"/>
    <w:rsid w:val="349C5100"/>
    <w:rsid w:val="34DA5BA9"/>
    <w:rsid w:val="34FD2D47"/>
    <w:rsid w:val="34FD7B87"/>
    <w:rsid w:val="3529097C"/>
    <w:rsid w:val="35586B6B"/>
    <w:rsid w:val="35635603"/>
    <w:rsid w:val="35DE35A3"/>
    <w:rsid w:val="35E30136"/>
    <w:rsid w:val="35F268C9"/>
    <w:rsid w:val="36177645"/>
    <w:rsid w:val="362E06C5"/>
    <w:rsid w:val="363126E0"/>
    <w:rsid w:val="367C127F"/>
    <w:rsid w:val="367F32BF"/>
    <w:rsid w:val="36E83F1F"/>
    <w:rsid w:val="372B2027"/>
    <w:rsid w:val="37351310"/>
    <w:rsid w:val="374F3F98"/>
    <w:rsid w:val="37BF7375"/>
    <w:rsid w:val="37FA13BA"/>
    <w:rsid w:val="380D1E8F"/>
    <w:rsid w:val="384A4EB9"/>
    <w:rsid w:val="38536423"/>
    <w:rsid w:val="387C7014"/>
    <w:rsid w:val="388A2B30"/>
    <w:rsid w:val="389D2D1E"/>
    <w:rsid w:val="389E00F3"/>
    <w:rsid w:val="38D1110E"/>
    <w:rsid w:val="38DD71B9"/>
    <w:rsid w:val="38E13989"/>
    <w:rsid w:val="38FD63A7"/>
    <w:rsid w:val="38FE5C7B"/>
    <w:rsid w:val="39047736"/>
    <w:rsid w:val="39370C74"/>
    <w:rsid w:val="39372984"/>
    <w:rsid w:val="393F10AB"/>
    <w:rsid w:val="394E081F"/>
    <w:rsid w:val="397A0A14"/>
    <w:rsid w:val="39A242C2"/>
    <w:rsid w:val="39B7482F"/>
    <w:rsid w:val="39E814B8"/>
    <w:rsid w:val="3A314322"/>
    <w:rsid w:val="3A425B8B"/>
    <w:rsid w:val="3A537483"/>
    <w:rsid w:val="3A8F1410"/>
    <w:rsid w:val="3AA34D2C"/>
    <w:rsid w:val="3AC1227E"/>
    <w:rsid w:val="3ADD1FEC"/>
    <w:rsid w:val="3AF64167"/>
    <w:rsid w:val="3B534E72"/>
    <w:rsid w:val="3B7712FB"/>
    <w:rsid w:val="3B997928"/>
    <w:rsid w:val="3BA94143"/>
    <w:rsid w:val="3BAA5C47"/>
    <w:rsid w:val="3BB865B6"/>
    <w:rsid w:val="3BC736A9"/>
    <w:rsid w:val="3BFD126C"/>
    <w:rsid w:val="3C100912"/>
    <w:rsid w:val="3C131A3E"/>
    <w:rsid w:val="3C1456F3"/>
    <w:rsid w:val="3C526944"/>
    <w:rsid w:val="3C627683"/>
    <w:rsid w:val="3C6A3B26"/>
    <w:rsid w:val="3C73403C"/>
    <w:rsid w:val="3C7C5835"/>
    <w:rsid w:val="3C834E15"/>
    <w:rsid w:val="3CC358A1"/>
    <w:rsid w:val="3CD9614C"/>
    <w:rsid w:val="3CDF5B62"/>
    <w:rsid w:val="3CE73FFB"/>
    <w:rsid w:val="3D030D52"/>
    <w:rsid w:val="3D2739F3"/>
    <w:rsid w:val="3D2924E6"/>
    <w:rsid w:val="3D600CB3"/>
    <w:rsid w:val="3DAE1A1E"/>
    <w:rsid w:val="3DBB3E73"/>
    <w:rsid w:val="3DBF1E7D"/>
    <w:rsid w:val="3DBF29D9"/>
    <w:rsid w:val="3DD5415F"/>
    <w:rsid w:val="3DE22C8D"/>
    <w:rsid w:val="3DE5680E"/>
    <w:rsid w:val="3E1201FF"/>
    <w:rsid w:val="3E19763A"/>
    <w:rsid w:val="3E435A8F"/>
    <w:rsid w:val="3E8310FD"/>
    <w:rsid w:val="3E846626"/>
    <w:rsid w:val="3EB8732B"/>
    <w:rsid w:val="3ED731F7"/>
    <w:rsid w:val="3EDA1A42"/>
    <w:rsid w:val="3F081602"/>
    <w:rsid w:val="3F0C10F2"/>
    <w:rsid w:val="3F0D3BB8"/>
    <w:rsid w:val="3F134656"/>
    <w:rsid w:val="3F5151B2"/>
    <w:rsid w:val="3F6C08A3"/>
    <w:rsid w:val="3F7C1235"/>
    <w:rsid w:val="3F862B98"/>
    <w:rsid w:val="3F9609BC"/>
    <w:rsid w:val="3FA806EF"/>
    <w:rsid w:val="3FAC7B6B"/>
    <w:rsid w:val="3FD634AE"/>
    <w:rsid w:val="3FED73CA"/>
    <w:rsid w:val="3FFF0D63"/>
    <w:rsid w:val="400062BA"/>
    <w:rsid w:val="400D7496"/>
    <w:rsid w:val="403E177F"/>
    <w:rsid w:val="406229AA"/>
    <w:rsid w:val="407D38D8"/>
    <w:rsid w:val="409967C5"/>
    <w:rsid w:val="40B12BC3"/>
    <w:rsid w:val="40B82BB4"/>
    <w:rsid w:val="40D10841"/>
    <w:rsid w:val="40ED2D73"/>
    <w:rsid w:val="410105D3"/>
    <w:rsid w:val="41022FD4"/>
    <w:rsid w:val="41455B37"/>
    <w:rsid w:val="415E2870"/>
    <w:rsid w:val="41885D55"/>
    <w:rsid w:val="418E5F2D"/>
    <w:rsid w:val="419C71F1"/>
    <w:rsid w:val="41DA38C5"/>
    <w:rsid w:val="41E71E7C"/>
    <w:rsid w:val="41E74AF3"/>
    <w:rsid w:val="420C31B7"/>
    <w:rsid w:val="42107D29"/>
    <w:rsid w:val="422407FA"/>
    <w:rsid w:val="42330CA9"/>
    <w:rsid w:val="424220D4"/>
    <w:rsid w:val="42495E5B"/>
    <w:rsid w:val="425863FC"/>
    <w:rsid w:val="42A04B7C"/>
    <w:rsid w:val="42AB25D2"/>
    <w:rsid w:val="42F531E7"/>
    <w:rsid w:val="43214E84"/>
    <w:rsid w:val="432D4169"/>
    <w:rsid w:val="433C4B7C"/>
    <w:rsid w:val="43466D40"/>
    <w:rsid w:val="436D237B"/>
    <w:rsid w:val="439023E7"/>
    <w:rsid w:val="44390A1E"/>
    <w:rsid w:val="445D316D"/>
    <w:rsid w:val="445F33CE"/>
    <w:rsid w:val="44773C85"/>
    <w:rsid w:val="448C6744"/>
    <w:rsid w:val="44B862B6"/>
    <w:rsid w:val="44CB55AC"/>
    <w:rsid w:val="4505352E"/>
    <w:rsid w:val="450B04D3"/>
    <w:rsid w:val="450D1720"/>
    <w:rsid w:val="45124F88"/>
    <w:rsid w:val="454D61D6"/>
    <w:rsid w:val="455065A2"/>
    <w:rsid w:val="455C6204"/>
    <w:rsid w:val="45725A27"/>
    <w:rsid w:val="459040FF"/>
    <w:rsid w:val="459D6299"/>
    <w:rsid w:val="45B13548"/>
    <w:rsid w:val="45B24C53"/>
    <w:rsid w:val="45CA7936"/>
    <w:rsid w:val="45CB4558"/>
    <w:rsid w:val="45FD03CB"/>
    <w:rsid w:val="46001DBB"/>
    <w:rsid w:val="460A1A42"/>
    <w:rsid w:val="461B2CEA"/>
    <w:rsid w:val="46344BC0"/>
    <w:rsid w:val="464F558D"/>
    <w:rsid w:val="46763C96"/>
    <w:rsid w:val="46912964"/>
    <w:rsid w:val="46AA422C"/>
    <w:rsid w:val="46AB6778"/>
    <w:rsid w:val="46DF0E9A"/>
    <w:rsid w:val="4712301E"/>
    <w:rsid w:val="471D19C3"/>
    <w:rsid w:val="475A49C5"/>
    <w:rsid w:val="476D4A88"/>
    <w:rsid w:val="4776384A"/>
    <w:rsid w:val="478A5DE8"/>
    <w:rsid w:val="47994B3E"/>
    <w:rsid w:val="47AE7191"/>
    <w:rsid w:val="47C50090"/>
    <w:rsid w:val="47CA56A6"/>
    <w:rsid w:val="47E349BA"/>
    <w:rsid w:val="47ED5331"/>
    <w:rsid w:val="47F1517F"/>
    <w:rsid w:val="48166B3E"/>
    <w:rsid w:val="483D6838"/>
    <w:rsid w:val="48460BD4"/>
    <w:rsid w:val="484E7132"/>
    <w:rsid w:val="488010FC"/>
    <w:rsid w:val="489C0AB3"/>
    <w:rsid w:val="48B16866"/>
    <w:rsid w:val="48B9571B"/>
    <w:rsid w:val="48F50E49"/>
    <w:rsid w:val="48FE5E63"/>
    <w:rsid w:val="490E1333"/>
    <w:rsid w:val="49374D2F"/>
    <w:rsid w:val="493B7FA3"/>
    <w:rsid w:val="494B1C31"/>
    <w:rsid w:val="496822F3"/>
    <w:rsid w:val="49780393"/>
    <w:rsid w:val="4988722B"/>
    <w:rsid w:val="49B60A7B"/>
    <w:rsid w:val="49CD147E"/>
    <w:rsid w:val="49E7021F"/>
    <w:rsid w:val="4A4A20C3"/>
    <w:rsid w:val="4A4A6F73"/>
    <w:rsid w:val="4A5B5B87"/>
    <w:rsid w:val="4A6C41E8"/>
    <w:rsid w:val="4A7A2BED"/>
    <w:rsid w:val="4A9C283D"/>
    <w:rsid w:val="4ACA3C0F"/>
    <w:rsid w:val="4AD90601"/>
    <w:rsid w:val="4AEC1DD8"/>
    <w:rsid w:val="4B0A20CC"/>
    <w:rsid w:val="4B125CE2"/>
    <w:rsid w:val="4B130351"/>
    <w:rsid w:val="4B305EF3"/>
    <w:rsid w:val="4B6B5CA5"/>
    <w:rsid w:val="4B8B7204"/>
    <w:rsid w:val="4B9B5375"/>
    <w:rsid w:val="4BA2243C"/>
    <w:rsid w:val="4BE531B2"/>
    <w:rsid w:val="4BFB077B"/>
    <w:rsid w:val="4C016EB6"/>
    <w:rsid w:val="4C252316"/>
    <w:rsid w:val="4C3752D5"/>
    <w:rsid w:val="4C53598B"/>
    <w:rsid w:val="4C6A25EE"/>
    <w:rsid w:val="4C6C740C"/>
    <w:rsid w:val="4C8178DF"/>
    <w:rsid w:val="4CB93B0D"/>
    <w:rsid w:val="4CFB4554"/>
    <w:rsid w:val="4D01075E"/>
    <w:rsid w:val="4D1656C9"/>
    <w:rsid w:val="4D45368A"/>
    <w:rsid w:val="4D491763"/>
    <w:rsid w:val="4D5F117A"/>
    <w:rsid w:val="4D6C0257"/>
    <w:rsid w:val="4D7022F0"/>
    <w:rsid w:val="4D73058E"/>
    <w:rsid w:val="4D9965A1"/>
    <w:rsid w:val="4D9F3131"/>
    <w:rsid w:val="4DB01573"/>
    <w:rsid w:val="4DC31516"/>
    <w:rsid w:val="4DF06083"/>
    <w:rsid w:val="4E165819"/>
    <w:rsid w:val="4E400D3E"/>
    <w:rsid w:val="4E62088E"/>
    <w:rsid w:val="4E654D68"/>
    <w:rsid w:val="4EAA4AAC"/>
    <w:rsid w:val="4EC51746"/>
    <w:rsid w:val="4ED845F9"/>
    <w:rsid w:val="4EDB2A04"/>
    <w:rsid w:val="4EE5726A"/>
    <w:rsid w:val="4F2935FA"/>
    <w:rsid w:val="4F30479F"/>
    <w:rsid w:val="4F5F526E"/>
    <w:rsid w:val="4F722566"/>
    <w:rsid w:val="4F807E63"/>
    <w:rsid w:val="4FC15B68"/>
    <w:rsid w:val="4FCB6BB8"/>
    <w:rsid w:val="4FDC2F48"/>
    <w:rsid w:val="4FE84F30"/>
    <w:rsid w:val="50002DC1"/>
    <w:rsid w:val="501A72E6"/>
    <w:rsid w:val="503C7D20"/>
    <w:rsid w:val="50812723"/>
    <w:rsid w:val="50A804AB"/>
    <w:rsid w:val="50BC0F04"/>
    <w:rsid w:val="50D71373"/>
    <w:rsid w:val="51025EB1"/>
    <w:rsid w:val="510E79A5"/>
    <w:rsid w:val="51203E0D"/>
    <w:rsid w:val="5126428B"/>
    <w:rsid w:val="514E19D5"/>
    <w:rsid w:val="515802E8"/>
    <w:rsid w:val="516D33FB"/>
    <w:rsid w:val="51753FA7"/>
    <w:rsid w:val="51962C61"/>
    <w:rsid w:val="5197226B"/>
    <w:rsid w:val="51986D55"/>
    <w:rsid w:val="51C92546"/>
    <w:rsid w:val="51DB26B7"/>
    <w:rsid w:val="52085A22"/>
    <w:rsid w:val="52150CE3"/>
    <w:rsid w:val="523D010F"/>
    <w:rsid w:val="525748A7"/>
    <w:rsid w:val="526A01B2"/>
    <w:rsid w:val="52905072"/>
    <w:rsid w:val="529812A1"/>
    <w:rsid w:val="52A63B47"/>
    <w:rsid w:val="52AE4D6E"/>
    <w:rsid w:val="52DA23CD"/>
    <w:rsid w:val="52FE2671"/>
    <w:rsid w:val="53092DF6"/>
    <w:rsid w:val="53093B64"/>
    <w:rsid w:val="531C63D9"/>
    <w:rsid w:val="532365B3"/>
    <w:rsid w:val="53290807"/>
    <w:rsid w:val="5338205E"/>
    <w:rsid w:val="53510468"/>
    <w:rsid w:val="53527BB3"/>
    <w:rsid w:val="537B63EF"/>
    <w:rsid w:val="53A17413"/>
    <w:rsid w:val="53B92A73"/>
    <w:rsid w:val="53C61698"/>
    <w:rsid w:val="53C9515E"/>
    <w:rsid w:val="53D27C3B"/>
    <w:rsid w:val="53DF072C"/>
    <w:rsid w:val="541D3002"/>
    <w:rsid w:val="544356C5"/>
    <w:rsid w:val="54631EC2"/>
    <w:rsid w:val="546450D5"/>
    <w:rsid w:val="547215A0"/>
    <w:rsid w:val="5474391D"/>
    <w:rsid w:val="54DF7A10"/>
    <w:rsid w:val="54E36B78"/>
    <w:rsid w:val="54F02344"/>
    <w:rsid w:val="54F40207"/>
    <w:rsid w:val="551D5015"/>
    <w:rsid w:val="55200FFC"/>
    <w:rsid w:val="55384597"/>
    <w:rsid w:val="554967A4"/>
    <w:rsid w:val="554C1DF1"/>
    <w:rsid w:val="55563F10"/>
    <w:rsid w:val="55670BDC"/>
    <w:rsid w:val="55743211"/>
    <w:rsid w:val="55833339"/>
    <w:rsid w:val="559316B9"/>
    <w:rsid w:val="55C474C6"/>
    <w:rsid w:val="55CA6663"/>
    <w:rsid w:val="55E045AF"/>
    <w:rsid w:val="55F2568F"/>
    <w:rsid w:val="55FB55C5"/>
    <w:rsid w:val="55FF05E0"/>
    <w:rsid w:val="5628772B"/>
    <w:rsid w:val="56713378"/>
    <w:rsid w:val="567C6706"/>
    <w:rsid w:val="569D43CC"/>
    <w:rsid w:val="56CB4F97"/>
    <w:rsid w:val="56EE2853"/>
    <w:rsid w:val="57331A5F"/>
    <w:rsid w:val="574F278C"/>
    <w:rsid w:val="57545232"/>
    <w:rsid w:val="57603931"/>
    <w:rsid w:val="57651CD4"/>
    <w:rsid w:val="57680A38"/>
    <w:rsid w:val="576F626A"/>
    <w:rsid w:val="577008D3"/>
    <w:rsid w:val="577C01E6"/>
    <w:rsid w:val="57B62609"/>
    <w:rsid w:val="57BD5228"/>
    <w:rsid w:val="57C17878"/>
    <w:rsid w:val="57D7442E"/>
    <w:rsid w:val="5807700A"/>
    <w:rsid w:val="58211E24"/>
    <w:rsid w:val="583E1204"/>
    <w:rsid w:val="58906498"/>
    <w:rsid w:val="58AA2D6A"/>
    <w:rsid w:val="58B02363"/>
    <w:rsid w:val="59036C6A"/>
    <w:rsid w:val="59143BCD"/>
    <w:rsid w:val="592D0F8B"/>
    <w:rsid w:val="59331108"/>
    <w:rsid w:val="59670478"/>
    <w:rsid w:val="596E7F89"/>
    <w:rsid w:val="596F6281"/>
    <w:rsid w:val="59722042"/>
    <w:rsid w:val="597D3EA4"/>
    <w:rsid w:val="5988764A"/>
    <w:rsid w:val="598F4E68"/>
    <w:rsid w:val="59AA7659"/>
    <w:rsid w:val="59E44CEE"/>
    <w:rsid w:val="5A03119E"/>
    <w:rsid w:val="5A0C1B4F"/>
    <w:rsid w:val="5A134117"/>
    <w:rsid w:val="5A2D0CE1"/>
    <w:rsid w:val="5A2E48FE"/>
    <w:rsid w:val="5A371CB1"/>
    <w:rsid w:val="5A430F55"/>
    <w:rsid w:val="5A455061"/>
    <w:rsid w:val="5A51252E"/>
    <w:rsid w:val="5A5828FD"/>
    <w:rsid w:val="5A7A6C24"/>
    <w:rsid w:val="5A7D47FA"/>
    <w:rsid w:val="5A7F45F4"/>
    <w:rsid w:val="5A8E2EAB"/>
    <w:rsid w:val="5AC52078"/>
    <w:rsid w:val="5B1C58AD"/>
    <w:rsid w:val="5B7E6DA0"/>
    <w:rsid w:val="5B7E7DD1"/>
    <w:rsid w:val="5B83529E"/>
    <w:rsid w:val="5B85620A"/>
    <w:rsid w:val="5B920779"/>
    <w:rsid w:val="5BB01BF8"/>
    <w:rsid w:val="5BC546AB"/>
    <w:rsid w:val="5BC7502B"/>
    <w:rsid w:val="5BCB77E7"/>
    <w:rsid w:val="5BE30FD5"/>
    <w:rsid w:val="5BEE3D39"/>
    <w:rsid w:val="5BF35139"/>
    <w:rsid w:val="5C083989"/>
    <w:rsid w:val="5C0F5579"/>
    <w:rsid w:val="5C187D73"/>
    <w:rsid w:val="5C361105"/>
    <w:rsid w:val="5C3F445D"/>
    <w:rsid w:val="5C4F3213"/>
    <w:rsid w:val="5C614EB7"/>
    <w:rsid w:val="5C683425"/>
    <w:rsid w:val="5CBF559E"/>
    <w:rsid w:val="5CC2624E"/>
    <w:rsid w:val="5CCB085E"/>
    <w:rsid w:val="5CD24647"/>
    <w:rsid w:val="5CDE01FB"/>
    <w:rsid w:val="5D2B27E7"/>
    <w:rsid w:val="5D4E7A36"/>
    <w:rsid w:val="5D5C2B8C"/>
    <w:rsid w:val="5D6879E4"/>
    <w:rsid w:val="5D743C61"/>
    <w:rsid w:val="5DB76275"/>
    <w:rsid w:val="5DC21086"/>
    <w:rsid w:val="5DC3621A"/>
    <w:rsid w:val="5DD53A3A"/>
    <w:rsid w:val="5E127173"/>
    <w:rsid w:val="5E1B7414"/>
    <w:rsid w:val="5E1D0EB8"/>
    <w:rsid w:val="5E211941"/>
    <w:rsid w:val="5E3706B3"/>
    <w:rsid w:val="5E6C677E"/>
    <w:rsid w:val="5E83582A"/>
    <w:rsid w:val="5EB804F7"/>
    <w:rsid w:val="5ED35BCD"/>
    <w:rsid w:val="5F02536D"/>
    <w:rsid w:val="5F227739"/>
    <w:rsid w:val="5F2E0A3F"/>
    <w:rsid w:val="5F827AE1"/>
    <w:rsid w:val="5FDE5D3B"/>
    <w:rsid w:val="5FF53A9E"/>
    <w:rsid w:val="60335F84"/>
    <w:rsid w:val="603B7746"/>
    <w:rsid w:val="60563C37"/>
    <w:rsid w:val="605A694F"/>
    <w:rsid w:val="6078689C"/>
    <w:rsid w:val="60A01243"/>
    <w:rsid w:val="60AE6D2D"/>
    <w:rsid w:val="60B665BB"/>
    <w:rsid w:val="60D84571"/>
    <w:rsid w:val="60D85A3C"/>
    <w:rsid w:val="60F86642"/>
    <w:rsid w:val="60FE61EB"/>
    <w:rsid w:val="61072A71"/>
    <w:rsid w:val="6110157B"/>
    <w:rsid w:val="611807AB"/>
    <w:rsid w:val="6132417C"/>
    <w:rsid w:val="61863E03"/>
    <w:rsid w:val="61981E07"/>
    <w:rsid w:val="619E0630"/>
    <w:rsid w:val="61A0093F"/>
    <w:rsid w:val="61D45648"/>
    <w:rsid w:val="61F31DDA"/>
    <w:rsid w:val="61F53C4A"/>
    <w:rsid w:val="620D6DAC"/>
    <w:rsid w:val="624360B3"/>
    <w:rsid w:val="624C4D00"/>
    <w:rsid w:val="624C5D09"/>
    <w:rsid w:val="62741411"/>
    <w:rsid w:val="6288012F"/>
    <w:rsid w:val="628C5A67"/>
    <w:rsid w:val="62976B71"/>
    <w:rsid w:val="62DE42A4"/>
    <w:rsid w:val="62F03988"/>
    <w:rsid w:val="6319307B"/>
    <w:rsid w:val="631E1955"/>
    <w:rsid w:val="63302D52"/>
    <w:rsid w:val="633D0FCB"/>
    <w:rsid w:val="63473BF7"/>
    <w:rsid w:val="634C3A6D"/>
    <w:rsid w:val="63584057"/>
    <w:rsid w:val="63634A02"/>
    <w:rsid w:val="6376676B"/>
    <w:rsid w:val="637D1D0F"/>
    <w:rsid w:val="639B7F99"/>
    <w:rsid w:val="639F780F"/>
    <w:rsid w:val="63A42C09"/>
    <w:rsid w:val="63B62CA6"/>
    <w:rsid w:val="63D23E09"/>
    <w:rsid w:val="63D44CF6"/>
    <w:rsid w:val="63DD630A"/>
    <w:rsid w:val="64015B4D"/>
    <w:rsid w:val="646B48B3"/>
    <w:rsid w:val="64720042"/>
    <w:rsid w:val="648D7D30"/>
    <w:rsid w:val="649F304B"/>
    <w:rsid w:val="64AA6B68"/>
    <w:rsid w:val="64DF440C"/>
    <w:rsid w:val="64E0414E"/>
    <w:rsid w:val="64E240D7"/>
    <w:rsid w:val="64FA153B"/>
    <w:rsid w:val="64FD1B9E"/>
    <w:rsid w:val="650637AD"/>
    <w:rsid w:val="656E29F6"/>
    <w:rsid w:val="65782887"/>
    <w:rsid w:val="657C16AB"/>
    <w:rsid w:val="659506B8"/>
    <w:rsid w:val="659B647C"/>
    <w:rsid w:val="65FA7647"/>
    <w:rsid w:val="65FB36BB"/>
    <w:rsid w:val="65FE2C10"/>
    <w:rsid w:val="660109D5"/>
    <w:rsid w:val="66100C18"/>
    <w:rsid w:val="66154481"/>
    <w:rsid w:val="661A55F3"/>
    <w:rsid w:val="661A65B0"/>
    <w:rsid w:val="66437CA8"/>
    <w:rsid w:val="66597569"/>
    <w:rsid w:val="66611474"/>
    <w:rsid w:val="66774BF1"/>
    <w:rsid w:val="6681025D"/>
    <w:rsid w:val="66874CFB"/>
    <w:rsid w:val="66976C44"/>
    <w:rsid w:val="66B12CDA"/>
    <w:rsid w:val="66B834A9"/>
    <w:rsid w:val="66D71736"/>
    <w:rsid w:val="66D9301B"/>
    <w:rsid w:val="66E24AD6"/>
    <w:rsid w:val="66E25F27"/>
    <w:rsid w:val="66E46D33"/>
    <w:rsid w:val="66E738EA"/>
    <w:rsid w:val="66F343CA"/>
    <w:rsid w:val="670A5758"/>
    <w:rsid w:val="671416A5"/>
    <w:rsid w:val="671F55B7"/>
    <w:rsid w:val="67351044"/>
    <w:rsid w:val="67452FD4"/>
    <w:rsid w:val="67486456"/>
    <w:rsid w:val="674F2330"/>
    <w:rsid w:val="67640D83"/>
    <w:rsid w:val="676E4A29"/>
    <w:rsid w:val="6780592A"/>
    <w:rsid w:val="67A755AC"/>
    <w:rsid w:val="67C63C85"/>
    <w:rsid w:val="67EA12D9"/>
    <w:rsid w:val="680726BA"/>
    <w:rsid w:val="68107747"/>
    <w:rsid w:val="683E10BF"/>
    <w:rsid w:val="68506E3A"/>
    <w:rsid w:val="685E5C6B"/>
    <w:rsid w:val="68710230"/>
    <w:rsid w:val="687A273F"/>
    <w:rsid w:val="68856E84"/>
    <w:rsid w:val="68921D55"/>
    <w:rsid w:val="68A613C0"/>
    <w:rsid w:val="68B22991"/>
    <w:rsid w:val="69012A9A"/>
    <w:rsid w:val="696F3C02"/>
    <w:rsid w:val="697524A5"/>
    <w:rsid w:val="69912070"/>
    <w:rsid w:val="69947CAB"/>
    <w:rsid w:val="69A21587"/>
    <w:rsid w:val="69A63060"/>
    <w:rsid w:val="69C73CE4"/>
    <w:rsid w:val="69D0066A"/>
    <w:rsid w:val="69D15A6B"/>
    <w:rsid w:val="69DB3261"/>
    <w:rsid w:val="6A286211"/>
    <w:rsid w:val="6A3053E5"/>
    <w:rsid w:val="6A446CDF"/>
    <w:rsid w:val="6AB6231D"/>
    <w:rsid w:val="6AD36841"/>
    <w:rsid w:val="6AEC2279"/>
    <w:rsid w:val="6B1944A5"/>
    <w:rsid w:val="6B2038ED"/>
    <w:rsid w:val="6B421F06"/>
    <w:rsid w:val="6B4E3680"/>
    <w:rsid w:val="6B643451"/>
    <w:rsid w:val="6B966B77"/>
    <w:rsid w:val="6BA52D97"/>
    <w:rsid w:val="6BF27A3D"/>
    <w:rsid w:val="6BF84629"/>
    <w:rsid w:val="6BFF57BE"/>
    <w:rsid w:val="6C435B90"/>
    <w:rsid w:val="6C5A07C5"/>
    <w:rsid w:val="6C5A791C"/>
    <w:rsid w:val="6C60002E"/>
    <w:rsid w:val="6C77554D"/>
    <w:rsid w:val="6C8A7920"/>
    <w:rsid w:val="6C8B40D0"/>
    <w:rsid w:val="6CA94BAE"/>
    <w:rsid w:val="6CB43CDF"/>
    <w:rsid w:val="6CBC22F5"/>
    <w:rsid w:val="6CC35974"/>
    <w:rsid w:val="6CD16584"/>
    <w:rsid w:val="6CD7423E"/>
    <w:rsid w:val="6CE7152D"/>
    <w:rsid w:val="6CFD2B2E"/>
    <w:rsid w:val="6D0E70AD"/>
    <w:rsid w:val="6D293FA7"/>
    <w:rsid w:val="6D392803"/>
    <w:rsid w:val="6D5B09CB"/>
    <w:rsid w:val="6D6B65D4"/>
    <w:rsid w:val="6D963A08"/>
    <w:rsid w:val="6D9C4479"/>
    <w:rsid w:val="6DC36570"/>
    <w:rsid w:val="6DC76061"/>
    <w:rsid w:val="6DC942E7"/>
    <w:rsid w:val="6E1B015A"/>
    <w:rsid w:val="6E25722B"/>
    <w:rsid w:val="6E3A4A84"/>
    <w:rsid w:val="6E421B8B"/>
    <w:rsid w:val="6E474A8F"/>
    <w:rsid w:val="6E7824A5"/>
    <w:rsid w:val="6EBF142E"/>
    <w:rsid w:val="6EE52C8E"/>
    <w:rsid w:val="6F202A5D"/>
    <w:rsid w:val="6F210B6D"/>
    <w:rsid w:val="6F466764"/>
    <w:rsid w:val="6F50730C"/>
    <w:rsid w:val="6F8921DB"/>
    <w:rsid w:val="6FC23BB8"/>
    <w:rsid w:val="6FDF5799"/>
    <w:rsid w:val="700510C2"/>
    <w:rsid w:val="70286C91"/>
    <w:rsid w:val="704C254A"/>
    <w:rsid w:val="70514307"/>
    <w:rsid w:val="70657DB3"/>
    <w:rsid w:val="70B83967"/>
    <w:rsid w:val="70F25AEA"/>
    <w:rsid w:val="712F289B"/>
    <w:rsid w:val="713F1985"/>
    <w:rsid w:val="7146489B"/>
    <w:rsid w:val="715C47EC"/>
    <w:rsid w:val="716024DB"/>
    <w:rsid w:val="716431D0"/>
    <w:rsid w:val="71714987"/>
    <w:rsid w:val="72043351"/>
    <w:rsid w:val="721009A0"/>
    <w:rsid w:val="72326EE7"/>
    <w:rsid w:val="72384CAA"/>
    <w:rsid w:val="72435ED2"/>
    <w:rsid w:val="725312BD"/>
    <w:rsid w:val="725956F5"/>
    <w:rsid w:val="7263003C"/>
    <w:rsid w:val="726447C6"/>
    <w:rsid w:val="729E37F1"/>
    <w:rsid w:val="72BD3ED6"/>
    <w:rsid w:val="72C72C5E"/>
    <w:rsid w:val="72CA1FCD"/>
    <w:rsid w:val="72F33330"/>
    <w:rsid w:val="73016C5F"/>
    <w:rsid w:val="731C0BFD"/>
    <w:rsid w:val="73724CC1"/>
    <w:rsid w:val="73AB0567"/>
    <w:rsid w:val="73BE0B26"/>
    <w:rsid w:val="73BE2590"/>
    <w:rsid w:val="73DA348C"/>
    <w:rsid w:val="73EB6C07"/>
    <w:rsid w:val="73F451FA"/>
    <w:rsid w:val="740B3D8A"/>
    <w:rsid w:val="74381A66"/>
    <w:rsid w:val="745E3FF9"/>
    <w:rsid w:val="74805907"/>
    <w:rsid w:val="74822020"/>
    <w:rsid w:val="74A16512"/>
    <w:rsid w:val="74A569D0"/>
    <w:rsid w:val="74C73832"/>
    <w:rsid w:val="74D214FB"/>
    <w:rsid w:val="74EC2236"/>
    <w:rsid w:val="74EE65C9"/>
    <w:rsid w:val="750E27C7"/>
    <w:rsid w:val="7513602F"/>
    <w:rsid w:val="751C693A"/>
    <w:rsid w:val="75255DEA"/>
    <w:rsid w:val="752B5127"/>
    <w:rsid w:val="755F74C6"/>
    <w:rsid w:val="75DE5505"/>
    <w:rsid w:val="75E672A0"/>
    <w:rsid w:val="75E93780"/>
    <w:rsid w:val="75ED2186"/>
    <w:rsid w:val="76037EB7"/>
    <w:rsid w:val="76161308"/>
    <w:rsid w:val="76226AA7"/>
    <w:rsid w:val="766F6CE0"/>
    <w:rsid w:val="7670482A"/>
    <w:rsid w:val="767B0051"/>
    <w:rsid w:val="76851867"/>
    <w:rsid w:val="76982E7D"/>
    <w:rsid w:val="76AC04E9"/>
    <w:rsid w:val="76B455F0"/>
    <w:rsid w:val="76D14DD3"/>
    <w:rsid w:val="77181058"/>
    <w:rsid w:val="771C3776"/>
    <w:rsid w:val="77476464"/>
    <w:rsid w:val="774D4614"/>
    <w:rsid w:val="776C2D57"/>
    <w:rsid w:val="777A4144"/>
    <w:rsid w:val="777C6CC3"/>
    <w:rsid w:val="77B05D26"/>
    <w:rsid w:val="77B07B65"/>
    <w:rsid w:val="77B36805"/>
    <w:rsid w:val="77E757C4"/>
    <w:rsid w:val="77F32A79"/>
    <w:rsid w:val="77F3781A"/>
    <w:rsid w:val="78015C44"/>
    <w:rsid w:val="780F0D30"/>
    <w:rsid w:val="780F5AA2"/>
    <w:rsid w:val="781F2D35"/>
    <w:rsid w:val="7829205B"/>
    <w:rsid w:val="78436C2C"/>
    <w:rsid w:val="784827D5"/>
    <w:rsid w:val="78556303"/>
    <w:rsid w:val="7863107C"/>
    <w:rsid w:val="78787ADB"/>
    <w:rsid w:val="787E1A12"/>
    <w:rsid w:val="787E71EA"/>
    <w:rsid w:val="78917997"/>
    <w:rsid w:val="78E84DF7"/>
    <w:rsid w:val="795B1D53"/>
    <w:rsid w:val="796B643A"/>
    <w:rsid w:val="79773031"/>
    <w:rsid w:val="797C23F5"/>
    <w:rsid w:val="798412AA"/>
    <w:rsid w:val="79B553DF"/>
    <w:rsid w:val="79C57617"/>
    <w:rsid w:val="79FA1348"/>
    <w:rsid w:val="7A0C38A4"/>
    <w:rsid w:val="7A100D8F"/>
    <w:rsid w:val="7A145149"/>
    <w:rsid w:val="7A7B710E"/>
    <w:rsid w:val="7A861779"/>
    <w:rsid w:val="7A8C48BA"/>
    <w:rsid w:val="7AA535C1"/>
    <w:rsid w:val="7B5D6256"/>
    <w:rsid w:val="7BDB5290"/>
    <w:rsid w:val="7BF5086D"/>
    <w:rsid w:val="7BF546E1"/>
    <w:rsid w:val="7BFB0631"/>
    <w:rsid w:val="7C10151B"/>
    <w:rsid w:val="7C103FBF"/>
    <w:rsid w:val="7C3A66AB"/>
    <w:rsid w:val="7C4D3A13"/>
    <w:rsid w:val="7C601F61"/>
    <w:rsid w:val="7CA01BE5"/>
    <w:rsid w:val="7CF27339"/>
    <w:rsid w:val="7CF37CD0"/>
    <w:rsid w:val="7CF9689B"/>
    <w:rsid w:val="7D054F48"/>
    <w:rsid w:val="7D0B583E"/>
    <w:rsid w:val="7D283146"/>
    <w:rsid w:val="7D316638"/>
    <w:rsid w:val="7D3D2D20"/>
    <w:rsid w:val="7D42533E"/>
    <w:rsid w:val="7D68074E"/>
    <w:rsid w:val="7D733B0F"/>
    <w:rsid w:val="7DB47DA9"/>
    <w:rsid w:val="7E040C0B"/>
    <w:rsid w:val="7E1917AC"/>
    <w:rsid w:val="7E2608AB"/>
    <w:rsid w:val="7E2F510B"/>
    <w:rsid w:val="7E4A1F20"/>
    <w:rsid w:val="7EB33E0F"/>
    <w:rsid w:val="7EB937C3"/>
    <w:rsid w:val="7EC4246A"/>
    <w:rsid w:val="7EDC1B88"/>
    <w:rsid w:val="7F196534"/>
    <w:rsid w:val="7F4272B0"/>
    <w:rsid w:val="7F810543"/>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paragraph" w:styleId="7">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tabs>
        <w:tab w:val="left" w:pos="219"/>
        <w:tab w:val="left" w:pos="420"/>
        <w:tab w:val="left" w:pos="482"/>
        <w:tab w:val="left" w:pos="2183"/>
        <w:tab w:val="left" w:pos="3884"/>
        <w:tab w:val="left" w:pos="5585"/>
      </w:tabs>
      <w:ind w:firstLine="420" w:firstLineChars="100"/>
    </w:pPr>
  </w:style>
  <w:style w:type="paragraph" w:styleId="3">
    <w:name w:val="Body Text"/>
    <w:basedOn w:val="1"/>
    <w:qFormat/>
    <w:uiPriority w:val="0"/>
    <w:rPr>
      <w:rFonts w:ascii="仿宋_GB2312" w:eastAsia="仿宋_GB2312"/>
      <w:sz w:val="32"/>
    </w:rPr>
  </w:style>
  <w:style w:type="paragraph" w:styleId="8">
    <w:name w:val="annotation text"/>
    <w:basedOn w:val="1"/>
    <w:qFormat/>
    <w:uiPriority w:val="0"/>
    <w:pPr>
      <w:jc w:val="left"/>
    </w:pPr>
  </w:style>
  <w:style w:type="paragraph" w:styleId="9">
    <w:name w:val="Body Text Indent"/>
    <w:basedOn w:val="1"/>
    <w:next w:val="1"/>
    <w:unhideWhenUsed/>
    <w:qFormat/>
    <w:uiPriority w:val="99"/>
    <w:pPr>
      <w:spacing w:after="120"/>
      <w:ind w:left="420" w:leftChars="200"/>
    </w:pPr>
    <w:rPr>
      <w:rFonts w:ascii="Calibri" w:hAnsi="Calibri"/>
      <w:szCs w:val="22"/>
    </w:rPr>
  </w:style>
  <w:style w:type="paragraph" w:styleId="10">
    <w:name w:val="Plain Text"/>
    <w:basedOn w:val="1"/>
    <w:next w:val="1"/>
    <w:qFormat/>
    <w:uiPriority w:val="0"/>
    <w:rPr>
      <w:rFonts w:ascii="宋体" w:hAnsi="Courier New"/>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4">
    <w:name w:val="toc 2"/>
    <w:basedOn w:val="1"/>
    <w:next w:val="1"/>
    <w:qFormat/>
    <w:uiPriority w:val="39"/>
    <w:pPr>
      <w:tabs>
        <w:tab w:val="right" w:leader="dot" w:pos="9629"/>
      </w:tabs>
      <w:ind w:left="480" w:leftChars="200"/>
    </w:pPr>
    <w:rPr>
      <w:b/>
    </w:rPr>
  </w:style>
  <w:style w:type="paragraph" w:styleId="1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6">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7">
    <w:name w:val="Body Text First Indent 2"/>
    <w:basedOn w:val="9"/>
    <w:next w:val="14"/>
    <w:qFormat/>
    <w:uiPriority w:val="0"/>
    <w:pPr>
      <w:spacing w:line="276" w:lineRule="auto"/>
      <w:ind w:left="200" w:firstLine="200" w:firstLineChars="200"/>
      <w:jc w:val="left"/>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style>
  <w:style w:type="character" w:styleId="23">
    <w:name w:val="Emphasis"/>
    <w:basedOn w:val="20"/>
    <w:qFormat/>
    <w:uiPriority w:val="0"/>
    <w:rPr>
      <w:i/>
    </w:rPr>
  </w:style>
  <w:style w:type="character" w:styleId="24">
    <w:name w:val="Hyperlink"/>
    <w:basedOn w:val="20"/>
    <w:qFormat/>
    <w:uiPriority w:val="99"/>
    <w:rPr>
      <w:rFonts w:cs="Times New Roman"/>
      <w:color w:val="1F4F88"/>
      <w:u w:val="none"/>
    </w:rPr>
  </w:style>
  <w:style w:type="character" w:styleId="25">
    <w:name w:val="annotation reference"/>
    <w:qFormat/>
    <w:uiPriority w:val="0"/>
    <w:rPr>
      <w:sz w:val="21"/>
      <w:szCs w:val="21"/>
    </w:rPr>
  </w:style>
  <w:style w:type="character" w:customStyle="1" w:styleId="26">
    <w:name w:val="NormalCharacter"/>
    <w:qFormat/>
    <w:uiPriority w:val="0"/>
  </w:style>
  <w:style w:type="paragraph" w:styleId="27">
    <w:name w:val="List Paragraph"/>
    <w:basedOn w:val="1"/>
    <w:qFormat/>
    <w:uiPriority w:val="34"/>
    <w:pPr>
      <w:ind w:firstLine="420" w:firstLineChars="200"/>
    </w:pPr>
    <w:rPr>
      <w:rFonts w:ascii="Calibri" w:hAnsi="Calibri" w:eastAsia="宋体" w:cs="Times New Roman"/>
      <w:szCs w:val="22"/>
    </w:rPr>
  </w:style>
  <w:style w:type="paragraph" w:customStyle="1" w:styleId="28">
    <w:name w:val="TOC 标题1"/>
    <w:basedOn w:val="4"/>
    <w:next w:val="1"/>
    <w:qFormat/>
    <w:uiPriority w:val="0"/>
    <w:pPr>
      <w:outlineLvl w:val="9"/>
    </w:pPr>
    <w:rPr>
      <w:rFonts w:ascii="Times New Roman" w:hAnsi="Times New Roman"/>
      <w:bCs/>
      <w:szCs w:val="44"/>
    </w:rPr>
  </w:style>
  <w:style w:type="paragraph" w:customStyle="1" w:styleId="29">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30">
    <w:name w:val="font11"/>
    <w:basedOn w:val="20"/>
    <w:qFormat/>
    <w:uiPriority w:val="0"/>
    <w:rPr>
      <w:rFonts w:hint="eastAsia" w:ascii="宋体" w:hAnsi="宋体" w:eastAsia="宋体" w:cs="宋体"/>
      <w:color w:val="000000"/>
      <w:sz w:val="24"/>
      <w:szCs w:val="24"/>
      <w:u w:val="none"/>
    </w:rPr>
  </w:style>
  <w:style w:type="character" w:customStyle="1" w:styleId="31">
    <w:name w:val="font21"/>
    <w:basedOn w:val="20"/>
    <w:qFormat/>
    <w:uiPriority w:val="0"/>
    <w:rPr>
      <w:rFonts w:hint="eastAsia" w:ascii="宋体" w:hAnsi="宋体" w:eastAsia="宋体" w:cs="宋体"/>
      <w:b/>
      <w:bCs/>
      <w:color w:val="000000"/>
      <w:sz w:val="24"/>
      <w:szCs w:val="24"/>
      <w:u w:val="none"/>
    </w:rPr>
  </w:style>
  <w:style w:type="paragraph" w:customStyle="1" w:styleId="32">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3">
    <w:name w:val="font61"/>
    <w:basedOn w:val="20"/>
    <w:qFormat/>
    <w:uiPriority w:val="0"/>
    <w:rPr>
      <w:rFonts w:hint="eastAsia" w:ascii="宋体" w:hAnsi="宋体" w:eastAsia="宋体" w:cs="宋体"/>
      <w:b/>
      <w:bCs/>
      <w:color w:val="000000"/>
      <w:sz w:val="24"/>
      <w:szCs w:val="24"/>
      <w:u w:val="none"/>
    </w:rPr>
  </w:style>
  <w:style w:type="character" w:customStyle="1" w:styleId="34">
    <w:name w:val="font41"/>
    <w:basedOn w:val="20"/>
    <w:qFormat/>
    <w:uiPriority w:val="0"/>
    <w:rPr>
      <w:rFonts w:hint="eastAsia" w:ascii="宋体" w:hAnsi="宋体" w:eastAsia="宋体" w:cs="宋体"/>
      <w:b/>
      <w:bCs/>
      <w:color w:val="000000"/>
      <w:sz w:val="24"/>
      <w:szCs w:val="24"/>
      <w:u w:val="none"/>
    </w:rPr>
  </w:style>
  <w:style w:type="paragraph" w:customStyle="1" w:styleId="35">
    <w:name w:val="标书二级标题"/>
    <w:basedOn w:val="5"/>
    <w:qFormat/>
    <w:uiPriority w:val="0"/>
    <w:pPr>
      <w:spacing w:before="0" w:after="0" w:line="240" w:lineRule="auto"/>
      <w:jc w:val="left"/>
    </w:pPr>
    <w:rPr>
      <w:rFonts w:ascii="宋体" w:hAnsi="宋体" w:cstheme="minorBidi"/>
      <w:b w:val="0"/>
      <w:sz w:val="28"/>
      <w:szCs w:val="3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4.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24491</Words>
  <Characters>25650</Characters>
  <Lines>0</Lines>
  <Paragraphs>0</Paragraphs>
  <TotalTime>180</TotalTime>
  <ScaleCrop>false</ScaleCrop>
  <LinksUpToDate>false</LinksUpToDate>
  <CharactersWithSpaces>26921</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秋收冬藏</cp:lastModifiedBy>
  <cp:lastPrinted>2024-04-16T08:54:00Z</cp:lastPrinted>
  <dcterms:modified xsi:type="dcterms:W3CDTF">2025-08-01T05:14:04Z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9AAAF9C456E34458BCD9D0A15A8152AD_13</vt:lpwstr>
  </property>
</Properties>
</file>