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B9B168">
      <w:pPr>
        <w:pStyle w:val="5"/>
        <w:widowControl/>
        <w:jc w:val="center"/>
        <w:rPr>
          <w:i w:val="0"/>
          <w:iCs/>
          <w:sz w:val="32"/>
          <w:szCs w:val="32"/>
          <w:lang w:val="en-US"/>
        </w:rPr>
      </w:pPr>
      <w:bookmarkStart w:id="0" w:name="_Toc12866"/>
      <w:r>
        <w:rPr>
          <w:rFonts w:hint="eastAsia" w:cs="宋体"/>
          <w:i w:val="0"/>
          <w:iCs/>
          <w:sz w:val="32"/>
          <w:szCs w:val="32"/>
          <w:lang w:val="en-US" w:eastAsia="zh-CN"/>
        </w:rPr>
        <w:t>济南特种车有限公司总七厂房维修项目招标公告</w:t>
      </w:r>
      <w:bookmarkEnd w:id="0"/>
    </w:p>
    <w:p w14:paraId="2538CB01">
      <w:pPr>
        <w:pStyle w:val="5"/>
        <w:widowControl/>
        <w:jc w:val="center"/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</w:pPr>
      <w:bookmarkStart w:id="1" w:name="_Toc27465"/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招标编号：（</w:t>
      </w:r>
      <w:r>
        <w:rPr>
          <w:rFonts w:hint="eastAsia" w:cs="宋体"/>
          <w:b/>
          <w:bCs/>
          <w:i w:val="0"/>
          <w:iCs/>
          <w:sz w:val="22"/>
          <w:szCs w:val="22"/>
          <w:highlight w:val="yellow"/>
          <w:lang w:val="en-US" w:eastAsia="zh-CN"/>
        </w:rPr>
        <w:t>ZBGL2026010242</w:t>
      </w:r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）</w:t>
      </w:r>
      <w:bookmarkEnd w:id="1"/>
    </w:p>
    <w:p w14:paraId="24774EDC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38C4E671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tbl>
      <w:tblPr>
        <w:tblStyle w:val="10"/>
        <w:tblW w:w="9287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99"/>
        <w:gridCol w:w="2444"/>
        <w:gridCol w:w="2200"/>
        <w:gridCol w:w="2444"/>
      </w:tblGrid>
      <w:tr w14:paraId="7CDB0DA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199" w:type="dxa"/>
            <w:shd w:val="clear" w:color="auto" w:fill="DEDEDE"/>
            <w:vAlign w:val="center"/>
          </w:tcPr>
          <w:p w14:paraId="52EADA8B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300" w:lineRule="atLeast"/>
              <w:ind w:left="0" w:right="0"/>
              <w:jc w:val="center"/>
              <w:rPr>
                <w:rFonts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有效起始日期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4BA8EA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default" w:ascii="微软雅黑" w:hAnsi="微软雅黑" w:eastAsia="微软雅黑" w:cs="微软雅黑"/>
                <w:color w:val="333333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>2026-1-26</w:t>
            </w:r>
          </w:p>
        </w:tc>
        <w:tc>
          <w:tcPr>
            <w:tcW w:w="2200" w:type="dxa"/>
            <w:shd w:val="clear" w:color="auto" w:fill="DEDEDE"/>
            <w:vAlign w:val="center"/>
          </w:tcPr>
          <w:p w14:paraId="79C8B3E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有效截止日期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B5E758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2026-1-31 </w:t>
            </w:r>
          </w:p>
        </w:tc>
      </w:tr>
    </w:tbl>
    <w:p w14:paraId="40D0D37B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3B47EF56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一、项目概况  </w:t>
      </w:r>
    </w:p>
    <w:p w14:paraId="538A96DD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lang w:bidi="en-US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="宋体" w:hAnsi="宋体" w:cs="宋体"/>
          <w:kern w:val="0"/>
          <w:sz w:val="24"/>
          <w:lang w:bidi="en-US"/>
        </w:rPr>
        <w:t>2.1工程名称：</w:t>
      </w:r>
      <w:r>
        <w:rPr>
          <w:rFonts w:hint="eastAsia" w:ascii="宋体" w:hAnsi="宋体" w:cs="宋体"/>
          <w:kern w:val="0"/>
          <w:sz w:val="24"/>
          <w:u w:val="single"/>
          <w:lang w:bidi="en-US"/>
        </w:rPr>
        <w:t>济南特种车有限公司总七复产厂房维修项目</w:t>
      </w:r>
      <w:r>
        <w:rPr>
          <w:rFonts w:hint="eastAsia" w:ascii="宋体" w:hAnsi="宋体" w:cs="宋体"/>
          <w:kern w:val="0"/>
          <w:sz w:val="24"/>
          <w:lang w:bidi="en-US"/>
        </w:rPr>
        <w:t>；</w:t>
      </w:r>
    </w:p>
    <w:p w14:paraId="62676CB9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lang w:bidi="en-US"/>
        </w:rPr>
      </w:pPr>
      <w:r>
        <w:rPr>
          <w:rFonts w:hint="eastAsia" w:ascii="宋体" w:hAnsi="宋体" w:cs="宋体"/>
          <w:kern w:val="0"/>
          <w:sz w:val="24"/>
          <w:lang w:bidi="en-US"/>
        </w:rPr>
        <w:t>2.2工程地点及工程概况：</w:t>
      </w:r>
    </w:p>
    <w:p w14:paraId="1DB36BEC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lang w:bidi="en-US"/>
        </w:rPr>
      </w:pPr>
      <w:r>
        <w:rPr>
          <w:rFonts w:hint="eastAsia" w:ascii="宋体" w:hAnsi="宋体" w:cs="宋体"/>
          <w:kern w:val="0"/>
          <w:sz w:val="24"/>
          <w:lang w:bidi="en-US"/>
        </w:rPr>
        <w:t>2</w:t>
      </w:r>
      <w:r>
        <w:rPr>
          <w:rFonts w:ascii="宋体" w:hAnsi="宋体" w:cs="宋体"/>
          <w:kern w:val="0"/>
          <w:sz w:val="24"/>
          <w:lang w:bidi="en-US"/>
        </w:rPr>
        <w:t>.2.1</w:t>
      </w:r>
      <w:r>
        <w:rPr>
          <w:rFonts w:hint="eastAsia" w:ascii="宋体" w:hAnsi="宋体" w:cs="宋体"/>
          <w:kern w:val="0"/>
          <w:sz w:val="24"/>
          <w:lang w:bidi="en-US"/>
        </w:rPr>
        <w:t>工程概况：屋面风机洞口、采光带防水修补、屋脊防水3350平方米，天沟防水1400平方米，新增固化剂地面12500平方米，地面划线4000米，屋面板、内墙板清洗25000平方米，217根立柱清洗，女儿墙内侧板2000平方米拆除及更换女儿墙内侧墙板，更换DN150HDPE雨水立管352米，新增配电箱、配电系统及14000平方米照明灯全部更换等。</w:t>
      </w:r>
    </w:p>
    <w:p w14:paraId="0ADF0277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lang w:bidi="en-US"/>
        </w:rPr>
      </w:pPr>
      <w:r>
        <w:rPr>
          <w:rFonts w:ascii="宋体" w:hAnsi="宋体" w:cs="宋体"/>
          <w:kern w:val="0"/>
          <w:sz w:val="24"/>
          <w:lang w:bidi="en-US"/>
        </w:rPr>
        <w:t>2.2.2</w:t>
      </w:r>
      <w:r>
        <w:rPr>
          <w:rFonts w:hint="eastAsia" w:ascii="宋体" w:hAnsi="宋体" w:cs="宋体"/>
          <w:kern w:val="0"/>
          <w:sz w:val="24"/>
          <w:lang w:bidi="en-US"/>
        </w:rPr>
        <w:t>工程地点：山东省济南市市中区（原党家庄卡车园区老总一车间）。</w:t>
      </w:r>
    </w:p>
    <w:p w14:paraId="3B402448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lang w:bidi="en-US"/>
        </w:rPr>
      </w:pPr>
      <w:r>
        <w:rPr>
          <w:rFonts w:hint="eastAsia" w:ascii="宋体" w:hAnsi="宋体" w:cs="宋体"/>
          <w:kern w:val="0"/>
          <w:sz w:val="24"/>
          <w:lang w:bidi="en-US"/>
        </w:rPr>
        <w:t>2.</w:t>
      </w:r>
      <w:r>
        <w:rPr>
          <w:rFonts w:ascii="宋体" w:hAnsi="宋体" w:cs="宋体"/>
          <w:kern w:val="0"/>
          <w:sz w:val="24"/>
          <w:lang w:bidi="en-US"/>
        </w:rPr>
        <w:t>3</w:t>
      </w:r>
      <w:r>
        <w:rPr>
          <w:rFonts w:hint="eastAsia" w:ascii="宋体" w:hAnsi="宋体" w:cs="宋体"/>
          <w:kern w:val="0"/>
          <w:sz w:val="24"/>
          <w:lang w:bidi="en-US"/>
        </w:rPr>
        <w:t>资金来源：</w:t>
      </w:r>
      <w:r>
        <w:rPr>
          <w:rFonts w:hint="eastAsia" w:ascii="宋体" w:hAnsi="宋体" w:cs="宋体"/>
          <w:kern w:val="0"/>
          <w:sz w:val="24"/>
          <w:u w:val="single"/>
          <w:lang w:bidi="en-US"/>
        </w:rPr>
        <w:t>企业自筹，已落实</w:t>
      </w:r>
      <w:r>
        <w:rPr>
          <w:rFonts w:hint="eastAsia" w:ascii="宋体" w:hAnsi="宋体" w:cs="宋体"/>
          <w:kern w:val="0"/>
          <w:sz w:val="24"/>
          <w:lang w:bidi="en-US"/>
        </w:rPr>
        <w:t>；</w:t>
      </w:r>
    </w:p>
    <w:p w14:paraId="4AAD293A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lang w:bidi="en-US"/>
        </w:rPr>
      </w:pPr>
      <w:r>
        <w:rPr>
          <w:rFonts w:hint="eastAsia" w:ascii="宋体" w:hAnsi="宋体" w:cs="宋体"/>
          <w:kern w:val="0"/>
          <w:sz w:val="24"/>
          <w:lang w:bidi="en-US"/>
        </w:rPr>
        <w:t>2.</w:t>
      </w:r>
      <w:r>
        <w:rPr>
          <w:rFonts w:ascii="宋体" w:hAnsi="宋体" w:cs="宋体"/>
          <w:kern w:val="0"/>
          <w:sz w:val="24"/>
          <w:lang w:bidi="en-US"/>
        </w:rPr>
        <w:t>4</w:t>
      </w:r>
      <w:r>
        <w:rPr>
          <w:rFonts w:hint="eastAsia" w:ascii="宋体" w:hAnsi="宋体" w:cs="宋体"/>
          <w:kern w:val="0"/>
          <w:sz w:val="24"/>
          <w:lang w:bidi="en-US"/>
        </w:rPr>
        <w:t>工期要求：</w:t>
      </w:r>
    </w:p>
    <w:p w14:paraId="562B93C8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lang w:bidi="en-US"/>
        </w:rPr>
      </w:pPr>
      <w:r>
        <w:rPr>
          <w:rFonts w:hint="eastAsia" w:ascii="宋体" w:hAnsi="宋体" w:cs="宋体"/>
          <w:kern w:val="0"/>
          <w:sz w:val="24"/>
          <w:u w:val="single"/>
          <w:lang w:bidi="en-US"/>
        </w:rPr>
        <w:t>计划工期为</w:t>
      </w:r>
      <w:r>
        <w:rPr>
          <w:rFonts w:ascii="宋体" w:hAnsi="宋体" w:cs="宋体"/>
          <w:kern w:val="0"/>
          <w:sz w:val="24"/>
          <w:highlight w:val="yellow"/>
          <w:u w:val="single"/>
          <w:lang w:bidi="en-US"/>
        </w:rPr>
        <w:t>90</w:t>
      </w:r>
      <w:r>
        <w:rPr>
          <w:rFonts w:hint="eastAsia" w:ascii="宋体" w:hAnsi="宋体" w:cs="宋体"/>
          <w:kern w:val="0"/>
          <w:sz w:val="24"/>
          <w:u w:val="single"/>
          <w:lang w:bidi="en-US"/>
        </w:rPr>
        <w:t>日历天，最终工期要求以招标文件为准</w:t>
      </w:r>
      <w:r>
        <w:rPr>
          <w:rFonts w:hint="eastAsia" w:ascii="宋体" w:hAnsi="宋体" w:cs="宋体"/>
          <w:kern w:val="0"/>
          <w:sz w:val="24"/>
          <w:lang w:bidi="en-US"/>
        </w:rPr>
        <w:t>；</w:t>
      </w:r>
    </w:p>
    <w:p w14:paraId="54DADD96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/>
          <w:sz w:val="24"/>
          <w:u w:val="single"/>
        </w:rPr>
      </w:pPr>
      <w:r>
        <w:rPr>
          <w:rFonts w:hint="eastAsia" w:ascii="宋体" w:hAnsi="宋体" w:cs="宋体"/>
          <w:kern w:val="0"/>
          <w:sz w:val="24"/>
          <w:lang w:bidi="en-US"/>
        </w:rPr>
        <w:t>2.</w:t>
      </w:r>
      <w:r>
        <w:rPr>
          <w:rFonts w:ascii="宋体" w:hAnsi="宋体" w:cs="宋体"/>
          <w:kern w:val="0"/>
          <w:sz w:val="24"/>
          <w:lang w:bidi="en-US"/>
        </w:rPr>
        <w:t>5</w:t>
      </w:r>
      <w:r>
        <w:rPr>
          <w:rFonts w:hint="eastAsia" w:ascii="宋体" w:hAnsi="宋体" w:cs="宋体"/>
          <w:kern w:val="0"/>
          <w:sz w:val="24"/>
          <w:lang w:bidi="en-US"/>
        </w:rPr>
        <w:t>招标范围：</w:t>
      </w:r>
      <w:r>
        <w:rPr>
          <w:rFonts w:hint="eastAsia" w:ascii="宋体" w:hAnsi="宋体"/>
          <w:sz w:val="24"/>
          <w:u w:val="single"/>
        </w:rPr>
        <w:t>本次招标范围包括但不限于施工图纸范围内的全部工作内容的施工、验收及质量保修，以及招标人新增清单外施工内容等，详见招标文件、图纸及工程量清单；</w:t>
      </w:r>
    </w:p>
    <w:p w14:paraId="33F148C7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lang w:bidi="en-US"/>
        </w:rPr>
      </w:pPr>
      <w:r>
        <w:rPr>
          <w:rFonts w:hint="eastAsia" w:ascii="宋体" w:hAnsi="宋体" w:cs="宋体"/>
          <w:kern w:val="0"/>
          <w:sz w:val="24"/>
          <w:lang w:bidi="en-US"/>
        </w:rPr>
        <w:t>2.</w:t>
      </w:r>
      <w:r>
        <w:rPr>
          <w:rFonts w:ascii="宋体" w:hAnsi="宋体" w:cs="宋体"/>
          <w:kern w:val="0"/>
          <w:sz w:val="24"/>
          <w:lang w:bidi="en-US"/>
        </w:rPr>
        <w:t>6</w:t>
      </w:r>
      <w:r>
        <w:rPr>
          <w:rFonts w:hint="eastAsia" w:ascii="宋体" w:hAnsi="宋体" w:cs="宋体"/>
          <w:kern w:val="0"/>
          <w:sz w:val="24"/>
          <w:lang w:bidi="en-US"/>
        </w:rPr>
        <w:t>本工程共分：</w:t>
      </w:r>
      <w:r>
        <w:rPr>
          <w:rFonts w:hint="eastAsia" w:ascii="宋体" w:hAnsi="宋体" w:cs="宋体"/>
          <w:kern w:val="0"/>
          <w:sz w:val="24"/>
          <w:u w:val="single"/>
          <w:lang w:bidi="en-US"/>
        </w:rPr>
        <w:t>1个标段</w:t>
      </w:r>
      <w:r>
        <w:rPr>
          <w:rFonts w:hint="eastAsia" w:ascii="宋体" w:hAnsi="宋体" w:cs="宋体"/>
          <w:kern w:val="0"/>
          <w:sz w:val="24"/>
          <w:lang w:bidi="en-US"/>
        </w:rPr>
        <w:t>。</w:t>
      </w:r>
    </w:p>
    <w:p w14:paraId="7C44284D"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7A1685D8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二、项目基本情况  </w:t>
      </w:r>
    </w:p>
    <w:p w14:paraId="0E642E8B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项目名称：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济南特种车有限公司总七厂房维修项目</w:t>
      </w:r>
    </w:p>
    <w:p w14:paraId="3B4F423A"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项目类别：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直管单位非生产招标 / 服务 / 建修服务</w:t>
      </w:r>
    </w:p>
    <w:p w14:paraId="56C59FDB"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公开招标</w:t>
      </w:r>
    </w:p>
    <w:p w14:paraId="3BC11B35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4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采购内容：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本项目土建维修主要包含屋面防水更换、女儿墙彩钢板更换，室内地面固化、堆积门更换、内墙涂料重刷等；安装部分维修主要包含雨水管更换、暖气片更换、屋面风机更换、车间灯具更换及增加接地线、屋面增加强电桥架整理女儿墙线缆及恢复缺失消火栓等。</w:t>
      </w:r>
    </w:p>
    <w:p w14:paraId="0F94CFE6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三、供应商资格条件  </w:t>
      </w:r>
    </w:p>
    <w:p w14:paraId="1F2FD492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lang w:bidi="en-US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</w:t>
      </w:r>
      <w:r>
        <w:rPr>
          <w:rFonts w:hint="eastAsia" w:ascii="宋体" w:hAnsi="宋体" w:cs="宋体"/>
          <w:kern w:val="0"/>
          <w:sz w:val="24"/>
          <w:lang w:bidi="en-US"/>
        </w:rPr>
        <w:t>3.1 本次招标要求投标人具备：</w:t>
      </w:r>
    </w:p>
    <w:p w14:paraId="5C8B24E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1.投标人须遵守《中华人民共和国招标投标法》及其它有关的法律和法规；为中华人民共和国境内注册的独立法人机构，具有独立承担民事责任能力；</w:t>
      </w:r>
    </w:p>
    <w:p w14:paraId="6A6944B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2.拟标投人必须是在中华人民共和国境内注册的独立法人机构，具有独立承担民事责任能力；注册资金不少于500万人民币（或等值其他货币）；公司成立</w:t>
      </w:r>
      <w:r>
        <w:rPr>
          <w:rFonts w:hint="eastAsia" w:ascii="宋体" w:hAnsi="宋体" w:cs="宋体"/>
          <w:kern w:val="0"/>
          <w:sz w:val="24"/>
        </w:rPr>
        <w:t>三</w:t>
      </w:r>
      <w:r>
        <w:rPr>
          <w:rFonts w:ascii="宋体" w:hAnsi="宋体" w:cs="宋体"/>
          <w:kern w:val="0"/>
          <w:sz w:val="24"/>
        </w:rPr>
        <w:t>年以上（以营业执照成立日期到开标当日满</w:t>
      </w:r>
      <w:r>
        <w:rPr>
          <w:rFonts w:hint="eastAsia" w:ascii="宋体" w:hAnsi="宋体" w:cs="宋体"/>
          <w:kern w:val="0"/>
          <w:sz w:val="24"/>
        </w:rPr>
        <w:t>三</w:t>
      </w:r>
      <w:r>
        <w:rPr>
          <w:rFonts w:ascii="宋体" w:hAnsi="宋体" w:cs="宋体"/>
          <w:kern w:val="0"/>
          <w:sz w:val="24"/>
        </w:rPr>
        <w:t>年为准），且经营范围满足招标人需求；并在人员、设备、资金等方面具有承担本项目的能力；</w:t>
      </w:r>
    </w:p>
    <w:p w14:paraId="6D4DB46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3.投标人须具有良好的商业信誉和健全的财务会计制度，财务状况和市场行为良好。没有处于被有权机关吊销营业执照、吊销资质、停业整顿、取消投标资格以及财产被接管、冻结或进入破产程序等；</w:t>
      </w:r>
    </w:p>
    <w:p w14:paraId="499FB6E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4.投标人在“信用中国”中未列入联合惩戒失信人名单，且工商行政管理局的《国家企业信用信息公示系统》中查询不存在不良记录；</w:t>
      </w:r>
    </w:p>
    <w:p w14:paraId="3B1D198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5.无招标违规、谎报年度报告信息、提供虚假资质资料等行为或其他行政处罚记录；近三年内在经营活动中无与本项目有关的违法及重大违规情况。</w:t>
      </w:r>
    </w:p>
    <w:p w14:paraId="52A3EB7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6.投标人没有被列入招标人处《黑名单》（《黑名单》指投标人与招标人在以往或正在进行的合作中，存在招标人认为的违反合同约定或违反法律法规等的失信行为）的；</w:t>
      </w:r>
    </w:p>
    <w:p w14:paraId="7D03FBD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7.投标人须具有履行招标文件所有设备、专业技术等要求的能力；</w:t>
      </w:r>
    </w:p>
    <w:p w14:paraId="037EA6D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8.投标人须有依法缴纳税收和社会保障资金的良好记录；</w:t>
      </w:r>
    </w:p>
    <w:p w14:paraId="529C00B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9.具有本次招标货物的供货、安装、售后服务等的相应资质；</w:t>
      </w:r>
    </w:p>
    <w:p w14:paraId="0008B4A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10.投标人须负责提供合理的便于运输的包装物，并承担相关费用。</w:t>
      </w:r>
    </w:p>
    <w:p w14:paraId="08AC1254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11.投标人须认可招标人的工作指令，包括节、假日能正常开展工作的要求。</w:t>
      </w:r>
    </w:p>
    <w:p w14:paraId="2961967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12.拟投标人的直接或间接股东、法定代表人、董事、监事、高管非重汽员工及其亲属；</w:t>
      </w:r>
    </w:p>
    <w:p w14:paraId="7F218CE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13.投标人必须是最终投标、签订合同的单位，不得以任何理由将已中标项目以任何形式转包或者分包给其他单位。</w:t>
      </w:r>
    </w:p>
    <w:p w14:paraId="763BDD7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14.本次招标项目（接受/不接受）联合体投标。（注：接受/不接受择一保留）</w:t>
      </w:r>
    </w:p>
    <w:p w14:paraId="67A2A92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15.投标人是招标货物的制造商或制造商授权的经销商；一个制造商对同一品牌同一型号的货物,仅能委托一个代理商参加投标。如为代理商投标，需获得生产厂家正式授权，提供授权书原件，保证提供原厂售后服务并提供原厂售后服务承诺书原件。</w:t>
      </w:r>
    </w:p>
    <w:p w14:paraId="0C0E99BA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bidi="en-US"/>
        </w:rPr>
        <w:t>3.2 报名单位</w:t>
      </w:r>
      <w:r>
        <w:rPr>
          <w:rFonts w:hint="eastAsia" w:ascii="宋体" w:hAnsi="宋体" w:cs="宋体"/>
          <w:kern w:val="0"/>
          <w:sz w:val="24"/>
          <w:u w:val="single"/>
          <w:lang w:bidi="en-US"/>
        </w:rPr>
        <w:t xml:space="preserve"> 不可以 </w:t>
      </w:r>
      <w:r>
        <w:rPr>
          <w:rFonts w:hint="eastAsia" w:ascii="宋体" w:hAnsi="宋体" w:cs="宋体"/>
          <w:kern w:val="0"/>
          <w:sz w:val="24"/>
          <w:lang w:bidi="en-US"/>
        </w:rPr>
        <w:t>组成</w:t>
      </w:r>
      <w:r>
        <w:rPr>
          <w:rFonts w:hint="eastAsia" w:ascii="宋体" w:hAnsi="宋体"/>
          <w:kern w:val="0"/>
          <w:sz w:val="24"/>
          <w:szCs w:val="21"/>
          <w:lang w:bidi="en-US"/>
        </w:rPr>
        <w:t>联合体</w:t>
      </w:r>
      <w:r>
        <w:rPr>
          <w:rFonts w:hint="eastAsia" w:ascii="宋体" w:hAnsi="宋体" w:cs="宋体"/>
          <w:kern w:val="0"/>
          <w:sz w:val="24"/>
          <w:lang w:bidi="en-US"/>
        </w:rPr>
        <w:t>投标。</w:t>
      </w:r>
    </w:p>
    <w:p w14:paraId="463C8DEE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四、采购文件领取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01A8CB3D"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线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上</w:t>
      </w:r>
    </w:p>
    <w:p w14:paraId="3710A1FE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-1-3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1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17:00:00 </w:t>
      </w:r>
    </w:p>
    <w:p w14:paraId="5F3381B0">
      <w:pPr>
        <w:rPr>
          <w:rFonts w:hint="default" w:asciiTheme="majorEastAsia" w:hAnsiTheme="majorEastAsia" w:eastAsiaTheme="majorEastAsia" w:cstheme="majorEastAsia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采购文件领取地点：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重汽官网；重汽e采通</w:t>
      </w:r>
    </w:p>
    <w:p w14:paraId="7A00C32E">
      <w:pPr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五、响应文件提交 </w:t>
      </w:r>
    </w:p>
    <w:p w14:paraId="16774820"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线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上</w:t>
      </w:r>
    </w:p>
    <w:p w14:paraId="1BF7EE7E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-0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09:00:00 </w:t>
      </w:r>
    </w:p>
    <w:p w14:paraId="1D0C1D32"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3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重汽e采通</w:t>
      </w:r>
    </w:p>
    <w:p w14:paraId="77F2C3AC"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六、开标时间和地点 </w:t>
      </w:r>
    </w:p>
    <w:p w14:paraId="42BE8D26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-0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09:00:00 </w:t>
      </w:r>
    </w:p>
    <w:p w14:paraId="59D58E47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山东省济南市历城区华奥路777号重汽科技大厦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三楼会议室</w:t>
      </w:r>
    </w:p>
    <w:p w14:paraId="263E755C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七、发布公告的媒介  </w:t>
      </w:r>
    </w:p>
    <w:p w14:paraId="737E60EC">
      <w:pP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阳光采购服务平台（www.ygcgfw.com） 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中国重汽</w:t>
      </w:r>
      <w: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eastAsia="zh-CN"/>
        </w:rPr>
        <w:t>集团官网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（ww.cnhtc.com.cn）</w:t>
      </w:r>
    </w:p>
    <w:p w14:paraId="353AB269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八、联系方式 </w:t>
      </w:r>
    </w:p>
    <w:p w14:paraId="30D1D38F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采购人信息：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13AB6E4A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名称：中国重型汽车集团有限公司 </w:t>
      </w:r>
    </w:p>
    <w:p w14:paraId="04D7726E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地址：山东省济南市历城区华奥路777号中国重型汽车集团有限公司 </w:t>
      </w:r>
    </w:p>
    <w:p w14:paraId="2426AF4E"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联系人：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李帅威</w:t>
      </w:r>
    </w:p>
    <w:p w14:paraId="08CC9236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联系电话：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17860605079</w:t>
      </w:r>
    </w:p>
    <w:p w14:paraId="6986140B">
      <w:pPr>
        <w:ind w:firstLine="48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九、其他说明  </w:t>
      </w:r>
    </w:p>
    <w:p w14:paraId="78AA8EE3">
      <w:pPr>
        <w:rPr>
          <w:rFonts w:hint="eastAsia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供应商需在阳光采购服务平台进行注册，注册后搜索该项目并进行报名。</w:t>
      </w:r>
    </w:p>
    <w:p w14:paraId="5CBCB798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供应商需在重汽官网搜索本项目招标公告，根据要求准备报名资料。</w:t>
      </w:r>
    </w:p>
    <w:p w14:paraId="66CF1D8C">
      <w:pPr>
        <w:pStyle w:val="2"/>
        <w:ind w:left="0" w:leftChars="0" w:firstLine="720" w:firstLineChars="300"/>
        <w:rPr>
          <w:rFonts w:hint="default" w:eastAsiaTheme="majorEastAsia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项目预算：356.68万元，含税</w:t>
      </w:r>
      <w:bookmarkStart w:id="2" w:name="_GoBack"/>
      <w:bookmarkEnd w:id="2"/>
    </w:p>
    <w:p w14:paraId="1F1BF242">
      <w:pPr>
        <w:pStyle w:val="2"/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6CFC776E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3BB268CE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233C8080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431A22C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67DB504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369D886B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70239CEE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4AB6CD88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39FF02C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686E2AD7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3C6245B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0602F87A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5E350EDD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653807F5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6E8F62EE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27BF2FBD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5A3C9870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2B856BE8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7067666A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42C8A25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6253711C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96A8C3F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5F97E55C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58F27B05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3C685C49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70FD485B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E5BAD9E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7E522CB2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2784BD04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00A4F2FD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0DEC3FBD">
      <w:pPr>
        <w:pStyle w:val="7"/>
        <w:outlineLvl w:val="2"/>
        <w:rPr>
          <w:rFonts w:hint="eastAsia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附件1：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SRM非生产供应商注册操作手册</w:t>
      </w:r>
    </w:p>
    <w:p w14:paraId="3B55DB0D">
      <w:pPr>
        <w:pStyle w:val="7"/>
        <w:rPr>
          <w:rFonts w:eastAsia="宋体"/>
        </w:rPr>
      </w:pPr>
    </w:p>
    <w:p w14:paraId="67C14DB3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 w14:paraId="7DCEACE8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7CCC3B29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 w14:paraId="42068FE7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933065"/>
            <wp:effectExtent l="0" t="0" r="12065" b="635"/>
            <wp:docPr id="1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descrip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B5C13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 w14:paraId="6497FF7F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766695"/>
            <wp:effectExtent l="0" t="0" r="12065" b="14605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86A0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 w14:paraId="250679A6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69565"/>
            <wp:effectExtent l="0" t="0" r="12065" b="6985"/>
            <wp:docPr id="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5A0C3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 w14:paraId="2FA508F2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53055"/>
            <wp:effectExtent l="0" t="0" r="12065" b="4445"/>
            <wp:docPr id="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4F6EA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8"/>
        </w:rPr>
        <w:t>.</w:t>
      </w: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 w14:paraId="7B916863">
      <w:pPr>
        <w:pStyle w:val="7"/>
      </w:pPr>
    </w:p>
    <w:p w14:paraId="145EA810">
      <w:pPr>
        <w:rPr>
          <w:rFonts w:hint="eastAsia"/>
        </w:rPr>
      </w:pPr>
      <w:r>
        <w:drawing>
          <wp:inline distT="0" distB="0" distL="0" distR="0">
            <wp:extent cx="5760085" cy="2809875"/>
            <wp:effectExtent l="0" t="0" r="12065" b="9525"/>
            <wp:docPr id="1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2184D">
      <w:pPr>
        <w:pStyle w:val="7"/>
      </w:pPr>
      <w:r>
        <w:drawing>
          <wp:inline distT="0" distB="0" distL="0" distR="0">
            <wp:extent cx="5760085" cy="2820035"/>
            <wp:effectExtent l="0" t="0" r="12065" b="18415"/>
            <wp:docPr id="2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AF512">
      <w:pPr>
        <w:pStyle w:val="7"/>
      </w:pPr>
    </w:p>
    <w:p w14:paraId="2AA8AF19"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注：</w:t>
      </w:r>
    </w:p>
    <w:p w14:paraId="245219B7"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1.“项目名称”和“采购形式编号”见投标须知前附表1.1；</w:t>
      </w:r>
    </w:p>
    <w:p w14:paraId="7CB14DD4">
      <w:pPr>
        <w:pStyle w:val="7"/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2.配套能力“供货类别”填“”，业务主管部门选择“”。</w:t>
      </w:r>
    </w:p>
    <w:p w14:paraId="3903C1BE">
      <w:pPr>
        <w:pStyle w:val="7"/>
        <w:sectPr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 w14:paraId="602C5616">
      <w:pPr>
        <w:pStyle w:val="7"/>
        <w:outlineLvl w:val="2"/>
        <w:rPr>
          <w:rFonts w:hint="eastAsia"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7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 w14:paraId="1FEF6F7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18"/>
          <w:rFonts w:hint="eastAsia" w:ascii="宋体" w:hAnsi="宋体" w:eastAsia="宋体" w:cs="宋体"/>
          <w:sz w:val="24"/>
          <w:szCs w:val="24"/>
        </w:rPr>
        <w:t>https://ecaitong.sinotruk.com:8012/</w:t>
      </w:r>
      <w:r>
        <w:rPr>
          <w:rStyle w:val="18"/>
          <w:rFonts w:hint="eastAsia" w:ascii="宋体" w:hAnsi="宋体" w:eastAsia="宋体" w:cs="宋体"/>
          <w:sz w:val="24"/>
          <w:szCs w:val="24"/>
        </w:rPr>
        <w:fldChar w:fldCharType="end"/>
      </w:r>
    </w:p>
    <w:p w14:paraId="3F93400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注意：注册完毕后，用户名不要用手机号登录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）</w:t>
      </w:r>
    </w:p>
    <w:p w14:paraId="0F0B4D2B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</w:rPr>
        <w:t>scm@2022</w:t>
      </w:r>
    </w:p>
    <w:p w14:paraId="3F9C2630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 w14:paraId="6471E8C9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 w14:paraId="00FC4FB3"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 w14:paraId="6A8A2FFC">
      <w:pPr>
        <w:rPr>
          <w:rFonts w:hint="eastAsia"/>
        </w:rPr>
      </w:pPr>
      <w:r>
        <w:drawing>
          <wp:inline distT="0" distB="0" distL="0" distR="0">
            <wp:extent cx="5760085" cy="2269490"/>
            <wp:effectExtent l="0" t="0" r="12065" b="16510"/>
            <wp:docPr id="2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FCBF6">
      <w:pPr>
        <w:rPr>
          <w:rFonts w:hint="eastAsia"/>
        </w:rPr>
      </w:pPr>
    </w:p>
    <w:p w14:paraId="40207382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 w14:paraId="37FC259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 w14:paraId="5F3A996C">
      <w:pPr>
        <w:rPr>
          <w:rFonts w:hint="eastAsia"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12065" b="8255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CAB55"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 w14:paraId="74E5D9AE">
      <w:pPr>
        <w:pStyle w:val="7"/>
      </w:pPr>
      <w:r>
        <w:rPr>
          <w:rFonts w:hint="eastAsia" w:hAnsi="宋体" w:eastAsia="宋体" w:cs="宋体"/>
          <w:color w:val="000000"/>
          <w:sz w:val="24"/>
          <w:szCs w:val="28"/>
          <w:highlight w:val="yellow"/>
        </w:rPr>
        <w:t>注意：系统内的投标报价单位为“万元”，如开标现场发现填错报价，即直接淘汰。</w:t>
      </w:r>
    </w:p>
    <w:p w14:paraId="30DCE771">
      <w:pPr>
        <w:pStyle w:val="6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668905"/>
            <wp:effectExtent l="0" t="0" r="15240" b="17145"/>
            <wp:docPr id="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9E03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 w14:paraId="2A65A94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 w14:paraId="191B56D2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 w14:paraId="48DE63D8"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2630"/>
            <wp:effectExtent l="0" t="0" r="15240" b="7620"/>
            <wp:docPr id="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94018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 w14:paraId="760C9E6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 w14:paraId="5D25AC69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 w14:paraId="09540DA4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 w14:paraId="789C09B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 w14:paraId="152DBA1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 w14:paraId="164849D7">
      <w:pPr>
        <w:pStyle w:val="6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544445"/>
            <wp:effectExtent l="0" t="0" r="15240" b="8255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575E6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 w14:paraId="79C8EC9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 w14:paraId="2C2A512D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 w14:paraId="6E78F4DA">
      <w:pPr>
        <w:rPr>
          <w:rFonts w:hint="eastAsia"/>
        </w:rPr>
      </w:pPr>
      <w:r>
        <w:drawing>
          <wp:inline distT="0" distB="0" distL="0" distR="0">
            <wp:extent cx="5760085" cy="1956435"/>
            <wp:effectExtent l="0" t="0" r="12065" b="5715"/>
            <wp:docPr id="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6304E">
      <w:pPr>
        <w:pStyle w:val="7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 w14:paraId="15DACC85">
      <w:pPr>
        <w:pStyle w:val="7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 w14:paraId="33F89EEB">
      <w:pPr>
        <w:pStyle w:val="7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 w14:paraId="2E2A1019">
      <w:pPr>
        <w:jc w:val="both"/>
      </w:pPr>
    </w:p>
    <w:p w14:paraId="1857F2F0"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 w14:paraId="5B5F13DD"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907102"/>
    <w:rsid w:val="46C552DE"/>
    <w:rsid w:val="48EF075C"/>
    <w:rsid w:val="71FB7465"/>
    <w:rsid w:val="7DA44D30"/>
    <w:rsid w:val="7FC95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5">
    <w:name w:val="heading 2"/>
    <w:basedOn w:val="1"/>
    <w:next w:val="1"/>
    <w:qFormat/>
    <w:uiPriority w:val="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qFormat/>
    <w:uiPriority w:val="0"/>
    <w:pPr>
      <w:spacing w:line="276" w:lineRule="auto"/>
      <w:ind w:left="200" w:firstLine="200" w:firstLineChars="200"/>
      <w:jc w:val="left"/>
    </w:pPr>
  </w:style>
  <w:style w:type="paragraph" w:styleId="3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4">
    <w:name w:val="toc 2"/>
    <w:basedOn w:val="1"/>
    <w:next w:val="1"/>
    <w:qFormat/>
    <w:uiPriority w:val="39"/>
    <w:pPr>
      <w:tabs>
        <w:tab w:val="right" w:leader="dot" w:pos="9629"/>
      </w:tabs>
      <w:ind w:left="480" w:leftChars="200"/>
    </w:pPr>
    <w:rPr>
      <w:b/>
    </w:rPr>
  </w:style>
  <w:style w:type="paragraph" w:styleId="7">
    <w:name w:val="Plain Text"/>
    <w:basedOn w:val="1"/>
    <w:qFormat/>
    <w:uiPriority w:val="0"/>
    <w:rPr>
      <w:rFonts w:ascii="宋体"/>
      <w:szCs w:val="20"/>
    </w:rPr>
  </w:style>
  <w:style w:type="paragraph" w:styleId="8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FollowedHyperlink"/>
    <w:basedOn w:val="11"/>
    <w:qFormat/>
    <w:uiPriority w:val="0"/>
    <w:rPr>
      <w:color w:val="800080"/>
      <w:u w:val="none"/>
    </w:rPr>
  </w:style>
  <w:style w:type="character" w:styleId="14">
    <w:name w:val="HTML Definition"/>
    <w:basedOn w:val="11"/>
    <w:qFormat/>
    <w:uiPriority w:val="0"/>
  </w:style>
  <w:style w:type="character" w:styleId="15">
    <w:name w:val="HTML Typewriter"/>
    <w:basedOn w:val="11"/>
    <w:qFormat/>
    <w:uiPriority w:val="0"/>
    <w:rPr>
      <w:rFonts w:hint="default" w:ascii="monospace" w:hAnsi="monospace" w:eastAsia="monospace" w:cs="monospace"/>
      <w:sz w:val="20"/>
    </w:rPr>
  </w:style>
  <w:style w:type="character" w:styleId="16">
    <w:name w:val="HTML Acronym"/>
    <w:basedOn w:val="11"/>
    <w:qFormat/>
    <w:uiPriority w:val="0"/>
  </w:style>
  <w:style w:type="character" w:styleId="17">
    <w:name w:val="HTML Variable"/>
    <w:basedOn w:val="11"/>
    <w:qFormat/>
    <w:uiPriority w:val="0"/>
  </w:style>
  <w:style w:type="character" w:styleId="18">
    <w:name w:val="Hyperlink"/>
    <w:basedOn w:val="11"/>
    <w:qFormat/>
    <w:uiPriority w:val="0"/>
    <w:rPr>
      <w:color w:val="0000FF"/>
      <w:u w:val="none"/>
    </w:rPr>
  </w:style>
  <w:style w:type="character" w:styleId="19">
    <w:name w:val="HTML Code"/>
    <w:basedOn w:val="11"/>
    <w:qFormat/>
    <w:uiPriority w:val="0"/>
    <w:rPr>
      <w:rFonts w:hint="default" w:ascii="monospace" w:hAnsi="monospace" w:eastAsia="monospace" w:cs="monospace"/>
      <w:sz w:val="20"/>
    </w:rPr>
  </w:style>
  <w:style w:type="character" w:styleId="20">
    <w:name w:val="HTML Cite"/>
    <w:basedOn w:val="11"/>
    <w:qFormat/>
    <w:uiPriority w:val="0"/>
  </w:style>
  <w:style w:type="character" w:styleId="21">
    <w:name w:val="HTML Keyboard"/>
    <w:basedOn w:val="11"/>
    <w:qFormat/>
    <w:uiPriority w:val="0"/>
    <w:rPr>
      <w:rFonts w:ascii="monospace" w:hAnsi="monospace" w:eastAsia="monospace" w:cs="monospace"/>
      <w:sz w:val="20"/>
    </w:rPr>
  </w:style>
  <w:style w:type="character" w:styleId="22">
    <w:name w:val="HTML Sample"/>
    <w:basedOn w:val="11"/>
    <w:qFormat/>
    <w:uiPriority w:val="0"/>
    <w:rPr>
      <w:rFonts w:hint="default" w:ascii="monospace" w:hAnsi="monospace" w:eastAsia="monospace" w:cs="monospac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2448</Words>
  <Characters>2773</Characters>
  <Lines>0</Lines>
  <Paragraphs>0</Paragraphs>
  <TotalTime>8</TotalTime>
  <ScaleCrop>false</ScaleCrop>
  <LinksUpToDate>false</LinksUpToDate>
  <CharactersWithSpaces>2911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2025-12-25T08:41:00Z</dcterms:created>
  <dc:creator>Administrator</dc:creator>
  <cp:lastModifiedBy>0174L</cp:lastModifiedBy>
  <dcterms:modified xsi:type="dcterms:W3CDTF">2026-01-26T02:32:45Z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eyJoZGlkIjoiZDZiY2E3MTk3OWVkMDZmNDgwYmUwNDViMmIxMTA0OGYiLCJ1c2VySWQiOiIxMTQwNDY2NTAwIn0=</vt:lpwstr>
  </property>
  <property fmtid="{D5CDD505-2E9C-101B-9397-08002B2CF9AE}" pid="4" name="ICV">
    <vt:lpwstr>36BA767B9B1647D78DB7367FAC05A487_13</vt:lpwstr>
  </property>
</Properties>
</file>