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过滤箱温度报警监管系统建设项目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：重汽（济南）车桥有限公司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2242"/>
      <w:bookmarkStart w:id="1" w:name="_Toc29994"/>
      <w:bookmarkStart w:id="2" w:name="_Toc15480"/>
      <w:bookmarkStart w:id="3" w:name="_Toc23693"/>
      <w:bookmarkStart w:id="4" w:name="_Toc520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项目名称：过滤箱温度报警监管系统建设项目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项目编号：FSCZB2025110072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招标内容：为加强VOCs滤棉箱温度监测，确保第一时间发现可能存在的温度异常，公司决定加装过滤精温度报警监管系统，共计51处过滤箱，，并将相关信息连接至消防控制室，保障消防安全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招标人名称：重汽（济南）车桥有限公司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招标人地址：山东省济南市历城区世纪大道757号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技术联系人：贾兴灿</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电话：18300247787</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邮箱：1306067479@qq.com</w:t>
            </w:r>
            <w:bookmarkStart w:id="106" w:name="_GoBack"/>
            <w:bookmarkEnd w:id="106"/>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39.59</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参加投标的单位，必须是在中华人民共和国合法注册，具有独立法人资格的公司，且成立三年以上（含三年，以注册日期开始计算，至开标之日不少于三年），具有有效的营业执照，且注册资金300万元及以上；</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2、具有良好的企业信誉和健全的财务会计制度，近三年财务状况良好；</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3、具有履行合同必需的设备、专业技术、资质能力；</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4、有依法缴纳税收和社会保障金的良好纪录；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5、投标单位应具备并提供近三年相同或类似项目规模项目业绩；</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6、投标单位三年内无违法及重大违规记录；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7、投标单位在国家市场监督管理总局的《国家企业信用信息公示系统》中无与本项目相关的行政处罚及失信记录等信息，无招标违规、谎报年度报告信息、提供虚假资质资料等行为或其他行政处罚记录；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8、未被中国重型汽车集团有限公司列入黑名单；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9、供方的直接或间接股东、法定代表人、董事、监事、高管非重汽员工及其亲属；</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10、如有投标单位资料造假，一经发现，5年内不得参与本单位所有消防类项目投标资格；</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11、相关法律法规对合格投标单位的其他要求。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2025年11月6日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2025年11月19日</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2025年11月19日</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2025年11月11日17：00.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2025年11月19日17：00.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账户名称：重汽（济南）车桥有限公司 </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开户行：浙商银行济南分行（浙商银行）</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银行账户：4510000010120100527995</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行号：316451000016</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2025年11月19日17：00.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2025年11月20日9：00.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B050"/>
                <w:sz w:val="24"/>
                <w:szCs w:val="24"/>
                <w:highlight w:val="green"/>
                <w:lang w:val="en-US" w:eastAsia="zh-CN"/>
              </w:rPr>
              <w:t xml:space="preserve">    </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B050"/>
                <w:sz w:val="24"/>
                <w:szCs w:val="24"/>
                <w:highlight w:val="green"/>
                <w:lang w:val="en-US" w:eastAsia="zh-CN"/>
              </w:rPr>
              <w:t xml:space="preserve">    </w:t>
            </w:r>
            <w:r>
              <w:rPr>
                <w:rFonts w:hint="eastAsia" w:ascii="仿宋_GB2312" w:hAnsi="仿宋_GB2312" w:eastAsia="仿宋_GB2312" w:cs="仿宋_GB2312"/>
                <w:b/>
                <w:bCs/>
                <w:color w:val="000000"/>
                <w:sz w:val="24"/>
                <w:szCs w:val="24"/>
              </w:rPr>
              <w:t>个日历日之内安装调试完毕。</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交货地点：重汽（济南）车桥有限公司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付款方式：半年期商业汇票（包括银行承兑汇票和商业承兑汇票）</w:t>
            </w:r>
            <w:r>
              <w:rPr>
                <w:rFonts w:hint="eastAsia" w:ascii="仿宋_GB2312" w:hAnsi="仿宋_GB2312" w:eastAsia="仿宋_GB2312" w:cs="仿宋_GB2312"/>
                <w:color w:val="000000"/>
                <w:sz w:val="24"/>
                <w:szCs w:val="24"/>
                <w:highlight w:val="none"/>
              </w:rPr>
              <w:t>：</w:t>
            </w:r>
          </w:p>
          <w:p>
            <w:pPr>
              <w:ind w:firstLine="480" w:firstLineChars="200"/>
              <w:rPr>
                <w:rFonts w:hint="eastAsia" w:ascii="仿宋_GB2312" w:hAnsi="仿宋_GB2312" w:eastAsia="仿宋_GB2312" w:cs="仿宋_GB2312"/>
                <w:sz w:val="24"/>
                <w:szCs w:val="24"/>
                <w:highlight w:val="green"/>
                <w:lang w:val="en-US" w:eastAsia="zh-CN"/>
              </w:rPr>
            </w:pPr>
            <w:r>
              <w:rPr>
                <w:rFonts w:hint="eastAsia" w:ascii="仿宋_GB2312" w:hAnsi="仿宋_GB2312" w:eastAsia="仿宋_GB2312" w:cs="仿宋_GB2312"/>
                <w:sz w:val="24"/>
                <w:szCs w:val="24"/>
                <w:highlight w:val="green"/>
                <w:lang w:val="en-US" w:eastAsia="zh-CN"/>
              </w:rPr>
              <w:t>9：1：乙方完成甲方的需求，乙方开具合同价款90%的收据并100%的增值税专用发票，经甲方核对无误后支付90%。质保金10%在质保期届满后开具合同价款10%的收据后支付。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9448"/>
      <w:bookmarkStart w:id="8" w:name="_Toc19183"/>
      <w:bookmarkStart w:id="9" w:name="_Toc11216"/>
      <w:bookmarkStart w:id="10" w:name="_Toc427"/>
      <w:bookmarkStart w:id="11" w:name="_Toc6577"/>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65653"/>
      <w:bookmarkStart w:id="20" w:name="_Toc33285487"/>
      <w:bookmarkStart w:id="21" w:name="_Toc33266950"/>
      <w:bookmarkStart w:id="22" w:name="_Toc33267001"/>
      <w:bookmarkStart w:id="23" w:name="_Toc33266914"/>
      <w:bookmarkStart w:id="24" w:name="_Toc30534"/>
      <w:bookmarkStart w:id="25" w:name="_Toc33265752"/>
      <w:bookmarkStart w:id="26" w:name="_Toc3326662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85489"/>
      <w:bookmarkStart w:id="29" w:name="_Toc33267002"/>
      <w:bookmarkStart w:id="30" w:name="_Toc395116634"/>
      <w:bookmarkStart w:id="31" w:name="_Toc33266951"/>
      <w:bookmarkStart w:id="32" w:name="_Toc33266628"/>
      <w:bookmarkStart w:id="33" w:name="_Toc33266915"/>
      <w:bookmarkStart w:id="34" w:name="_Toc33265753"/>
      <w:bookmarkStart w:id="35" w:name="_Toc33265654"/>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5"/>
      <w:bookmarkStart w:id="40" w:name="OLE_LINK29"/>
      <w:bookmarkStart w:id="41" w:name="OLE_LINK27"/>
      <w:bookmarkStart w:id="42" w:name="OLE_LINK26"/>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13002"/>
      <w:bookmarkStart w:id="45" w:name="_Toc762"/>
      <w:bookmarkStart w:id="46" w:name="_Toc2363"/>
      <w:bookmarkStart w:id="47" w:name="_Toc31869"/>
      <w:bookmarkStart w:id="48" w:name="_Toc13479"/>
      <w:bookmarkStart w:id="49" w:name="_Toc2102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6技术性能、参数的描述</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12563"/>
      <w:bookmarkStart w:id="58" w:name="_Toc13988"/>
      <w:bookmarkStart w:id="59" w:name="_Toc8032"/>
      <w:bookmarkStart w:id="60" w:name="_Toc24913"/>
      <w:bookmarkStart w:id="61" w:name="_Toc11355"/>
      <w:bookmarkStart w:id="62" w:name="_Toc20467"/>
      <w:bookmarkStart w:id="63" w:name="_Toc8202"/>
      <w:bookmarkStart w:id="64" w:name="_Toc133783966"/>
      <w:bookmarkStart w:id="65" w:name="_Toc3565"/>
      <w:bookmarkStart w:id="66" w:name="_Toc19672"/>
      <w:bookmarkStart w:id="67" w:name="_Toc30738"/>
      <w:bookmarkStart w:id="68" w:name="_Toc4483"/>
      <w:bookmarkStart w:id="69" w:name="_Toc23870"/>
      <w:bookmarkStart w:id="70" w:name="_Toc3372"/>
      <w:bookmarkStart w:id="71" w:name="_Toc32378"/>
      <w:bookmarkStart w:id="72" w:name="_Toc7511"/>
      <w:bookmarkStart w:id="73" w:name="_Toc13555"/>
      <w:bookmarkStart w:id="74" w:name="_Toc7110"/>
      <w:bookmarkStart w:id="75" w:name="_Toc18182"/>
      <w:bookmarkStart w:id="76" w:name="_Toc4029"/>
      <w:bookmarkStart w:id="77" w:name="_Toc22649"/>
      <w:bookmarkStart w:id="78" w:name="_Toc13562"/>
      <w:bookmarkStart w:id="79" w:name="_Toc6346"/>
      <w:bookmarkStart w:id="80" w:name="_Toc1884"/>
      <w:bookmarkStart w:id="81" w:name="_Toc21497"/>
      <w:bookmarkStart w:id="82" w:name="_Toc24964"/>
      <w:bookmarkStart w:id="83" w:name="_Toc20272"/>
      <w:bookmarkStart w:id="84" w:name="_Toc16358"/>
      <w:bookmarkStart w:id="85" w:name="_Toc18805"/>
      <w:bookmarkStart w:id="86" w:name="_Toc13605"/>
      <w:bookmarkStart w:id="87" w:name="_Toc12714"/>
      <w:bookmarkStart w:id="88" w:name="_Toc28236"/>
      <w:bookmarkStart w:id="89" w:name="_Toc4532"/>
      <w:bookmarkStart w:id="90" w:name="_Toc14517"/>
      <w:bookmarkStart w:id="91" w:name="_Toc12552"/>
      <w:bookmarkStart w:id="92" w:name="_Toc4194"/>
      <w:bookmarkStart w:id="93" w:name="_Toc6957"/>
      <w:bookmarkStart w:id="94" w:name="_Toc18606"/>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pStyle w:val="22"/>
      </w:pPr>
    </w:p>
    <w:p>
      <w:pPr>
        <w:pStyle w:val="22"/>
        <w:adjustRightInd w:val="0"/>
        <w:snapToGrid w:val="0"/>
        <w:spacing w:line="360" w:lineRule="auto"/>
        <w:ind w:firstLine="420" w:firstLineChars="200"/>
        <w:outlineLvl w:val="1"/>
        <w:rPr>
          <w:rFonts w:hint="eastAsia" w:hAnsi="宋体" w:cs="宋体"/>
          <w:b/>
          <w:bCs/>
          <w:sz w:val="28"/>
          <w:szCs w:val="28"/>
        </w:rPr>
      </w:pPr>
      <w:r>
        <w:br w:type="page"/>
      </w:r>
      <w:bookmarkStart w:id="96" w:name="_Toc447799416"/>
      <w:bookmarkStart w:id="97" w:name="_Toc449097073"/>
      <w:r>
        <w:rPr>
          <w:rFonts w:hint="eastAsia" w:eastAsia="仿宋" w:cs="仿宋"/>
          <w:b/>
          <w:bCs/>
          <w:sz w:val="28"/>
        </w:rPr>
        <w:t>一、项目背景</w:t>
      </w:r>
      <w:bookmarkEnd w:id="96"/>
      <w:bookmarkEnd w:id="97"/>
      <w:bookmarkStart w:id="98" w:name="_Toc447799417"/>
      <w:bookmarkStart w:id="99" w:name="_Toc449097074"/>
    </w:p>
    <w:p>
      <w:pPr>
        <w:ind w:firstLine="560" w:firstLineChars="200"/>
        <w:rPr>
          <w:rFonts w:hint="eastAsia" w:ascii="仿宋" w:hAnsi="仿宋" w:eastAsia="仿宋" w:cs="仿宋"/>
          <w:sz w:val="28"/>
          <w:szCs w:val="28"/>
          <w:lang w:val="en-US" w:eastAsia="zh-CN"/>
        </w:rPr>
      </w:pPr>
      <w:r>
        <w:rPr>
          <w:rFonts w:hint="eastAsia" w:ascii="仿宋" w:hAnsi="仿宋" w:eastAsia="仿宋"/>
          <w:sz w:val="28"/>
          <w:szCs w:val="24"/>
        </w:rPr>
        <w:t>重汽（济南）车桥有限公司</w:t>
      </w:r>
      <w:r>
        <w:rPr>
          <w:rFonts w:ascii="仿宋" w:hAnsi="仿宋" w:eastAsia="仿宋" w:cs="仿宋"/>
          <w:sz w:val="28"/>
          <w:szCs w:val="28"/>
        </w:rPr>
        <w:t>位于济南市高新技术产业开发区，厂区占地面积82万平方米</w:t>
      </w:r>
      <w:r>
        <w:rPr>
          <w:rFonts w:hint="eastAsia" w:ascii="仿宋" w:hAnsi="仿宋" w:eastAsia="仿宋" w:cs="仿宋"/>
          <w:sz w:val="28"/>
          <w:szCs w:val="28"/>
        </w:rPr>
        <w:t>。</w:t>
      </w:r>
      <w:r>
        <w:rPr>
          <w:rFonts w:hint="eastAsia" w:ascii="仿宋" w:hAnsi="仿宋" w:eastAsia="仿宋" w:cs="仿宋"/>
          <w:sz w:val="28"/>
          <w:szCs w:val="28"/>
          <w:lang w:val="en-US" w:eastAsia="zh-CN"/>
        </w:rPr>
        <w:t>现对于厂区51处过滤箱体加装温度监测系统（主减速器部6处、桥壳加工一部11处、桥壳加工二部1处、齿轮加工部7处、驱动桥部13处、前桥部13处）。</w:t>
      </w:r>
    </w:p>
    <w:p>
      <w:pPr>
        <w:pStyle w:val="22"/>
        <w:adjustRightInd w:val="0"/>
        <w:snapToGrid w:val="0"/>
        <w:spacing w:line="540" w:lineRule="exact"/>
        <w:ind w:firstLine="562" w:firstLineChars="200"/>
        <w:outlineLvl w:val="1"/>
        <w:rPr>
          <w:rFonts w:eastAsia="仿宋" w:cs="仿宋"/>
          <w:b/>
          <w:bCs/>
          <w:sz w:val="28"/>
        </w:rPr>
      </w:pPr>
      <w:r>
        <w:rPr>
          <w:rFonts w:hint="eastAsia" w:eastAsia="仿宋" w:cs="仿宋"/>
          <w:b/>
          <w:bCs/>
          <w:sz w:val="28"/>
        </w:rPr>
        <w:t>二、投标单位要求</w:t>
      </w:r>
      <w:bookmarkEnd w:id="98"/>
      <w:bookmarkEnd w:id="99"/>
    </w:p>
    <w:p>
      <w:pPr>
        <w:adjustRightInd w:val="0"/>
        <w:snapToGri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1、投标单位必须独立参加投标，不得以任何形式授权他人或组织联合体形式参加投标。投标单位中标后，不得以任何形式进行转包和分包。</w:t>
      </w:r>
    </w:p>
    <w:p>
      <w:pPr>
        <w:adjustRightInd w:val="0"/>
        <w:snapToGrid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2、投标单位需根据此项目系统工作量及专业性，出具科学性、合理性的</w:t>
      </w:r>
      <w:r>
        <w:rPr>
          <w:rFonts w:hint="eastAsia" w:ascii="仿宋" w:hAnsi="仿宋" w:eastAsia="仿宋" w:cs="仿宋"/>
          <w:sz w:val="28"/>
          <w:szCs w:val="28"/>
          <w:lang w:val="en-US" w:eastAsia="zh-CN"/>
        </w:rPr>
        <w:t>施工</w:t>
      </w:r>
      <w:r>
        <w:rPr>
          <w:rFonts w:hint="eastAsia" w:ascii="仿宋" w:hAnsi="仿宋" w:eastAsia="仿宋" w:cs="仿宋"/>
          <w:sz w:val="28"/>
          <w:szCs w:val="28"/>
        </w:rPr>
        <w:t>方案。</w:t>
      </w:r>
    </w:p>
    <w:p>
      <w:pPr>
        <w:adjustRightInd w:val="0"/>
        <w:snapToGrid w:val="0"/>
        <w:spacing w:line="5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3、投标单位需依据项目背景及</w:t>
      </w:r>
      <w:r>
        <w:rPr>
          <w:rFonts w:hint="eastAsia" w:ascii="仿宋" w:hAnsi="仿宋" w:eastAsia="仿宋" w:cs="仿宋"/>
          <w:sz w:val="28"/>
          <w:szCs w:val="28"/>
          <w:lang w:val="en-US" w:eastAsia="zh-CN"/>
        </w:rPr>
        <w:t>施工</w:t>
      </w:r>
      <w:r>
        <w:rPr>
          <w:rFonts w:hint="eastAsia" w:ascii="仿宋" w:hAnsi="仿宋" w:eastAsia="仿宋" w:cs="仿宋"/>
          <w:sz w:val="28"/>
          <w:szCs w:val="28"/>
        </w:rPr>
        <w:t>内容，详细阐述</w:t>
      </w:r>
      <w:r>
        <w:rPr>
          <w:rFonts w:hint="eastAsia" w:ascii="仿宋" w:hAnsi="仿宋" w:eastAsia="仿宋" w:cs="仿宋"/>
          <w:sz w:val="28"/>
          <w:szCs w:val="28"/>
          <w:lang w:val="en-US" w:eastAsia="zh-CN"/>
        </w:rPr>
        <w:t>设备可实现功能及效果</w:t>
      </w:r>
      <w:r>
        <w:rPr>
          <w:rFonts w:hint="eastAsia" w:ascii="仿宋" w:hAnsi="仿宋" w:eastAsia="仿宋" w:cs="仿宋"/>
          <w:sz w:val="28"/>
          <w:szCs w:val="28"/>
        </w:rPr>
        <w:t>。</w:t>
      </w:r>
    </w:p>
    <w:p>
      <w:pPr>
        <w:pStyle w:val="22"/>
        <w:adjustRightInd w:val="0"/>
        <w:snapToGrid w:val="0"/>
        <w:spacing w:line="540" w:lineRule="exact"/>
        <w:ind w:firstLine="562" w:firstLineChars="200"/>
        <w:outlineLvl w:val="1"/>
        <w:rPr>
          <w:rFonts w:eastAsia="仿宋" w:cs="仿宋"/>
          <w:b/>
          <w:bCs/>
          <w:sz w:val="28"/>
        </w:rPr>
      </w:pPr>
      <w:bookmarkStart w:id="100" w:name="_Toc447799418"/>
      <w:bookmarkStart w:id="101" w:name="_Toc449097075"/>
      <w:r>
        <w:rPr>
          <w:rFonts w:hint="eastAsia" w:eastAsia="仿宋" w:cs="仿宋"/>
          <w:b/>
          <w:bCs/>
          <w:sz w:val="28"/>
        </w:rPr>
        <w:t>三、招标范围、项目内容及工作要求</w:t>
      </w:r>
      <w:bookmarkEnd w:id="100"/>
      <w:bookmarkEnd w:id="101"/>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1.温度测量范围包含-40至300摄氏度。</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2.所有的过滤箱，需要在其电控柜侧实时显示其箱体温度，安全员能方便设定温度报警限值。在报警触发时，紧急联动关停过滤设备的风机，并且发出声光报警，直至人工干预后解除。</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3.按照“过滤箱位置清单”所列，其中未安装温度检测的51个箱体，要求每个独立箱体，设置2个温度采集点，安装于箱体及出风口，安装必须密封，且探头便于拆卸清理。</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4.温度探头使用PT100热电阻，探头长度应适用箱体大小。使用防爆传感器。</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5.现场布线要求，使用金属线槽，线缆无外露。电气部分接地良好。“喷漆废气”和“热处理废气”需要使用防爆接线箱。</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6.按照“过滤箱位置清单”所列，所有温度采集点的温度值，经过数据整理后，形成“数据表”，定时发送到消防中控室。“数据表“数据更新间隔不大于20秒，且能弹出报警位置画面。</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7.“数据表“应包含：各个采集点的温度数值，采集点的在线/离线状态，</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8.按照“过滤箱位置清单”所列条目，即每个有单独电控柜的设备，其温度数据更新时间不大于4秒。</w:t>
      </w:r>
    </w:p>
    <w:p>
      <w:pPr>
        <w:pStyle w:val="131"/>
        <w:numPr>
          <w:ilvl w:val="0"/>
          <w:numId w:val="0"/>
        </w:numPr>
        <w:ind w:firstLine="560" w:firstLineChars="200"/>
        <w:rPr>
          <w:rFonts w:hint="eastAsia" w:ascii="仿宋" w:hAnsi="仿宋" w:eastAsia="仿宋" w:cs="Times New Roman"/>
          <w:kern w:val="2"/>
          <w:sz w:val="28"/>
          <w:szCs w:val="24"/>
          <w:lang w:val="en-US" w:eastAsia="zh-CN" w:bidi="ar-SA"/>
        </w:rPr>
      </w:pPr>
      <w:r>
        <w:rPr>
          <w:rFonts w:hint="eastAsia" w:ascii="仿宋" w:hAnsi="仿宋" w:eastAsia="仿宋" w:cs="Times New Roman"/>
          <w:kern w:val="2"/>
          <w:sz w:val="28"/>
          <w:szCs w:val="24"/>
          <w:lang w:val="en-US" w:eastAsia="zh-CN" w:bidi="ar-SA"/>
        </w:rPr>
        <w:t>9.设备要求具备24小时、连续长期运行能力。设计安全可靠，运行成本低。户外管线应防水防晒。不允许使用电池供电的温度探头，避免后期产生任何费用，探头需具有防爆认证。如使用无线传输，需考察后选择频段，确保不对现场已有无线设备造成影响。</w:t>
      </w:r>
    </w:p>
    <w:p>
      <w:pPr>
        <w:pStyle w:val="131"/>
        <w:numPr>
          <w:ilvl w:val="0"/>
          <w:numId w:val="0"/>
        </w:numPr>
        <w:jc w:val="center"/>
        <w:rPr>
          <w:rFonts w:hint="eastAsia" w:ascii="黑体" w:hAnsi="黑体" w:eastAsia="黑体" w:cs="黑体"/>
          <w:sz w:val="32"/>
          <w:szCs w:val="36"/>
          <w:lang w:val="en-US" w:eastAsia="zh-CN"/>
        </w:rPr>
      </w:pPr>
      <w:r>
        <w:rPr>
          <w:rFonts w:hint="eastAsia" w:ascii="黑体" w:hAnsi="黑体" w:eastAsia="黑体" w:cs="黑体"/>
          <w:sz w:val="32"/>
          <w:szCs w:val="36"/>
          <w:lang w:val="en-US" w:eastAsia="zh-CN"/>
        </w:rPr>
        <w:t>过滤箱位置清单</w:t>
      </w:r>
    </w:p>
    <w:tbl>
      <w:tblPr>
        <w:tblStyle w:val="41"/>
        <w:tblW w:w="97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139"/>
        <w:gridCol w:w="1492"/>
        <w:gridCol w:w="1039"/>
        <w:gridCol w:w="1021"/>
        <w:gridCol w:w="1445"/>
        <w:gridCol w:w="2127"/>
        <w:gridCol w:w="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位置</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环保设备名称</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滤棉（芯）数量</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废气过滤类型</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滤棉箱体积（预估）</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主减速器部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减壳MFS线（西1）减壳加工A1班组</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0.7*1.2*1.28=1.0752m³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主减速器部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曼减壳线（西2）减壳加工A2班组</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2.4*2.6*1.15=7.176m³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主减速器部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减壳自动线（西3）减壳加工B2班组</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2.4*2.6*1.15=7.176m³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主减速器部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MCP16 1线（西4）差壳加工B班组</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1.65*1.65*1.2=3.267m³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主减速器部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MCP16 2线（西4）差壳加工B班组</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1.65*1.65*1.2=3.267m³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主减速器部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MCY13线（西6）差壳加工A班组</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2.0*1.72*1.3=4.472m³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冲焊分部西厂房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后桥中段抛丸清理机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抛丸粉尘</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2.08*1.63*4.20=14.24m³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冲焊分部西厂房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桥壳总成抛丸机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抛丸粉尘</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4.34*2.0*2.1=18.228m³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冲焊分部老厂房东</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桥壳抛丸清理机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抛丸粉尘</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2.1*1.4*2.1=6.174m³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冲焊分部老厂房西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半桥壳抛丸机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抛丸粉尘</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2.1*1.4*2.1=6.174m³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桥壳分部（西中门）</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油烟油雾净化系统（除油）</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17.94m³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冲焊分部</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废气收集处理及排放装置</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活性炭</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3M³</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2.1*1.3*2.1=5.733m³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冲焊分部</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废气收集处理及排放装置</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活性炭</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3M³</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2.1*1.3*2.1=5.733m³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自动线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油嘧雾净化系统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7.48m³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STR线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油嘧雾净化系统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7.48m³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铸造桥二线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油嘧雾净化系统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7.48m³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桥壳加工一部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铸造桥三线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油嘧雾净化系统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7.48m³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桥壳加工二部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桥壳二分部</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除尘系统（除油）</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齿轮加工部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东连续线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油烟净化系统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热处理废气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16m³/7.8m³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齿轮加工部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西连续线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油烟净化系统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热处理废气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16m³/7.8m³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齿轮加工部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多用炉线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油烟净化系统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热处理废气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齿轮加工部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清理抛丸线</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除尘系统</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抛丸粉尘</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15.84m³/5.6m³/5.6m³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涂装线VOC1号过滤棉箱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涂装线VOCs</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涂装线VOC2号过滤棉箱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涂装线VOCs</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涂装线VOC3号过滤棉箱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涂装线VOCs</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涂装线1号水分烘干室</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工艺烘干设施</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涂装线2号水分烘干室</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工艺烘干设施</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涂装线预喷间</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漆尘过滤</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涂装线闪干室</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工艺烘干设施</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涂装线漆膜烘干箱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工艺烘干设施</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驱动桥部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涂装线空调压风</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喷漆间送风设施</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 1号过滤棉箱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涂装vocs</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涂装线voc2号过滤棉箱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涂装VOCs</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涂装线voc3号过滤棉箱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涂装VOCs</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水分烘干室过滤板箱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涂装蒸汽过滤</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漆膜烘干室过滤板箱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涂装蒸汽过滤</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闪干室过滤板箱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涂装蒸汽过滤</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三个箱体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前桥部转向节车间</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2.4M*2.55M*2.6M</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前桥部转向节车间</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2.4M*2.55M*2.6M</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前桥部前轴车间</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139"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前桥部前轴车间</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油雾净化器</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机械加工废气</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12m³</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r>
    </w:tbl>
    <w:p>
      <w:pPr>
        <w:pStyle w:val="40"/>
        <w:ind w:left="0" w:leftChars="0" w:firstLine="0" w:firstLineChars="0"/>
        <w:rPr>
          <w:rFonts w:hint="eastAsia"/>
          <w:lang w:val="en-US" w:eastAsia="zh-CN"/>
        </w:rPr>
      </w:pPr>
    </w:p>
    <w:p>
      <w:r>
        <w:br w:type="page"/>
      </w:r>
    </w:p>
    <w:p>
      <w:pPr>
        <w:sectPr>
          <w:headerReference r:id="rId8" w:type="default"/>
          <w:footerReference r:id="rId9" w:type="default"/>
          <w:pgSz w:w="11907" w:h="16840"/>
          <w:pgMar w:top="1304" w:right="1418" w:bottom="1304" w:left="1418" w:header="724" w:footer="851" w:gutter="0"/>
          <w:cols w:space="720" w:num="1"/>
          <w:docGrid w:linePitch="290" w:charSpace="-3931"/>
        </w:sectPr>
      </w:pPr>
    </w:p>
    <w:p/>
    <w:p>
      <w:pPr>
        <w:pStyle w:val="22"/>
      </w:pPr>
    </w:p>
    <w:p>
      <w:pPr>
        <w:spacing w:line="360" w:lineRule="auto"/>
        <w:jc w:val="center"/>
        <w:outlineLvl w:val="0"/>
        <w:rPr>
          <w:rFonts w:ascii="宋体" w:hAnsi="Calibri" w:eastAsia="宋体" w:cs="Times New Roman"/>
          <w:b/>
          <w:sz w:val="36"/>
          <w:szCs w:val="36"/>
        </w:rPr>
      </w:pPr>
      <w:bookmarkStart w:id="102"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2"/>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3" w:name="_Toc8509"/>
      <w:bookmarkStart w:id="104" w:name="_Toc20872"/>
      <w:bookmarkStart w:id="105"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3"/>
      <w:bookmarkEnd w:id="104"/>
      <w:bookmarkEnd w:id="105"/>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keepNext w:val="0"/>
              <w:keepLines w:val="0"/>
              <w:widowControl/>
              <w:suppressLineNumbers w:val="0"/>
              <w:jc w:val="left"/>
              <w:textAlignment w:val="center"/>
              <w:rPr>
                <w:rFonts w:hint="eastAsia" w:ascii="黑体" w:hAnsi="黑体" w:eastAsia="黑体" w:cs="黑体"/>
                <w:color w:val="000000"/>
                <w:kern w:val="0"/>
                <w:sz w:val="21"/>
                <w:szCs w:val="21"/>
                <w:lang w:bidi="ar"/>
              </w:rPr>
            </w:pPr>
            <w:r>
              <w:rPr>
                <w:rFonts w:hint="eastAsia" w:ascii="黑体" w:hAnsi="黑体" w:eastAsia="黑体" w:cs="黑体"/>
                <w:i w:val="0"/>
                <w:iCs w:val="0"/>
                <w:color w:val="000000"/>
                <w:kern w:val="0"/>
                <w:sz w:val="21"/>
                <w:szCs w:val="21"/>
                <w:u w:val="none"/>
                <w:lang w:val="en-US" w:eastAsia="zh-CN" w:bidi="ar"/>
              </w:rPr>
              <w:t>信号采集、人机交互和信号处理装置</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keepNext w:val="0"/>
              <w:keepLines w:val="0"/>
              <w:widowControl/>
              <w:suppressLineNumbers w:val="0"/>
              <w:jc w:val="left"/>
              <w:textAlignment w:val="center"/>
              <w:rPr>
                <w:rFonts w:hint="eastAsia" w:ascii="黑体" w:hAnsi="黑体" w:eastAsia="黑体" w:cs="黑体"/>
                <w:color w:val="000000"/>
                <w:kern w:val="0"/>
                <w:sz w:val="21"/>
                <w:szCs w:val="21"/>
                <w:lang w:bidi="ar"/>
              </w:rPr>
            </w:pPr>
            <w:r>
              <w:rPr>
                <w:rFonts w:hint="eastAsia" w:ascii="黑体" w:hAnsi="黑体" w:eastAsia="黑体" w:cs="黑体"/>
                <w:i w:val="0"/>
                <w:iCs w:val="0"/>
                <w:color w:val="000000"/>
                <w:kern w:val="0"/>
                <w:sz w:val="21"/>
                <w:szCs w:val="21"/>
                <w:u w:val="none"/>
                <w:lang w:val="en-US" w:eastAsia="zh-CN" w:bidi="ar"/>
              </w:rPr>
              <w:t>传输设备和线缆</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keepNext w:val="0"/>
              <w:keepLines w:val="0"/>
              <w:widowControl/>
              <w:suppressLineNumbers w:val="0"/>
              <w:jc w:val="left"/>
              <w:textAlignment w:val="center"/>
              <w:rPr>
                <w:rFonts w:hint="eastAsia" w:ascii="黑体" w:hAnsi="黑体" w:eastAsia="黑体" w:cs="黑体"/>
                <w:color w:val="000000"/>
                <w:kern w:val="0"/>
                <w:sz w:val="21"/>
                <w:szCs w:val="21"/>
                <w:lang w:bidi="ar"/>
              </w:rPr>
            </w:pPr>
            <w:r>
              <w:rPr>
                <w:rFonts w:hint="eastAsia" w:ascii="黑体" w:hAnsi="黑体" w:eastAsia="黑体" w:cs="黑体"/>
                <w:i w:val="0"/>
                <w:iCs w:val="0"/>
                <w:color w:val="000000"/>
                <w:kern w:val="0"/>
                <w:sz w:val="21"/>
                <w:szCs w:val="21"/>
                <w:u w:val="none"/>
                <w:lang w:val="en-US" w:eastAsia="zh-CN" w:bidi="ar"/>
              </w:rPr>
              <w:t>系统设计调试、布线安装费</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7" w:type="dxa"/>
            <w:vAlign w:val="center"/>
          </w:tcPr>
          <w:p>
            <w:pPr>
              <w:keepNext w:val="0"/>
              <w:keepLines w:val="0"/>
              <w:widowControl/>
              <w:suppressLineNumbers w:val="0"/>
              <w:jc w:val="left"/>
              <w:textAlignment w:val="center"/>
              <w:rPr>
                <w:rFonts w:hint="eastAsia" w:ascii="黑体" w:hAnsi="黑体" w:eastAsia="黑体" w:cs="黑体"/>
                <w:color w:val="000000"/>
                <w:kern w:val="0"/>
                <w:sz w:val="21"/>
                <w:szCs w:val="21"/>
                <w:lang w:bidi="ar"/>
              </w:rPr>
            </w:pPr>
            <w:r>
              <w:rPr>
                <w:rFonts w:hint="eastAsia" w:ascii="黑体" w:hAnsi="黑体" w:eastAsia="黑体" w:cs="黑体"/>
                <w:i w:val="0"/>
                <w:iCs w:val="0"/>
                <w:color w:val="000000"/>
                <w:kern w:val="0"/>
                <w:sz w:val="21"/>
                <w:szCs w:val="21"/>
                <w:u w:val="none"/>
                <w:lang w:val="en-US" w:eastAsia="zh-CN" w:bidi="ar"/>
              </w:rPr>
              <w:t>信号采集、人机交互和信号处理装置</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1657" w:type="dxa"/>
            <w:vAlign w:val="center"/>
          </w:tcPr>
          <w:p>
            <w:pPr>
              <w:keepNext w:val="0"/>
              <w:keepLines w:val="0"/>
              <w:widowControl/>
              <w:suppressLineNumbers w:val="0"/>
              <w:jc w:val="left"/>
              <w:textAlignment w:val="center"/>
              <w:rPr>
                <w:rFonts w:hint="eastAsia" w:ascii="黑体" w:hAnsi="黑体" w:eastAsia="黑体" w:cs="黑体"/>
                <w:color w:val="000000"/>
                <w:kern w:val="0"/>
                <w:sz w:val="21"/>
                <w:szCs w:val="21"/>
                <w:lang w:bidi="ar"/>
              </w:rPr>
            </w:pPr>
            <w:r>
              <w:rPr>
                <w:rFonts w:hint="eastAsia" w:ascii="黑体" w:hAnsi="黑体" w:eastAsia="黑体" w:cs="黑体"/>
                <w:i w:val="0"/>
                <w:iCs w:val="0"/>
                <w:color w:val="000000"/>
                <w:kern w:val="0"/>
                <w:sz w:val="21"/>
                <w:szCs w:val="21"/>
                <w:u w:val="none"/>
                <w:lang w:val="en-US" w:eastAsia="zh-CN" w:bidi="ar"/>
              </w:rPr>
              <w:t>传输设备和线缆</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1657" w:type="dxa"/>
            <w:vAlign w:val="center"/>
          </w:tcPr>
          <w:p>
            <w:pPr>
              <w:keepNext w:val="0"/>
              <w:keepLines w:val="0"/>
              <w:widowControl/>
              <w:suppressLineNumbers w:val="0"/>
              <w:jc w:val="left"/>
              <w:textAlignment w:val="center"/>
              <w:rPr>
                <w:rFonts w:hint="eastAsia" w:ascii="黑体" w:hAnsi="黑体" w:eastAsia="黑体" w:cs="黑体"/>
                <w:color w:val="000000"/>
                <w:kern w:val="0"/>
                <w:sz w:val="21"/>
                <w:szCs w:val="21"/>
                <w:lang w:bidi="ar"/>
              </w:rPr>
            </w:pPr>
            <w:r>
              <w:rPr>
                <w:rFonts w:hint="eastAsia" w:ascii="黑体" w:hAnsi="黑体" w:eastAsia="黑体" w:cs="黑体"/>
                <w:i w:val="0"/>
                <w:iCs w:val="0"/>
                <w:color w:val="000000"/>
                <w:kern w:val="0"/>
                <w:sz w:val="21"/>
                <w:szCs w:val="21"/>
                <w:u w:val="none"/>
                <w:lang w:val="en-US" w:eastAsia="zh-CN" w:bidi="ar"/>
              </w:rPr>
              <w:t>系统设计调试、布线安装费</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3"/>
  </w:num>
  <w:num w:numId="5">
    <w:abstractNumId w:val="2"/>
  </w:num>
  <w:num w:numId="6">
    <w:abstractNumId w:val="5"/>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432282"/>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DDB293B"/>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1605DF"/>
    <w:rsid w:val="22244B28"/>
    <w:rsid w:val="22467FD4"/>
    <w:rsid w:val="22784511"/>
    <w:rsid w:val="22873935"/>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A72500"/>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8F6088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533495"/>
    <w:rsid w:val="3B653103"/>
    <w:rsid w:val="3B7D3FD5"/>
    <w:rsid w:val="3B823DDF"/>
    <w:rsid w:val="3BAB4D14"/>
    <w:rsid w:val="3BAC7AF6"/>
    <w:rsid w:val="3BB956C1"/>
    <w:rsid w:val="3BDA7D0C"/>
    <w:rsid w:val="3C01177E"/>
    <w:rsid w:val="3C084B3D"/>
    <w:rsid w:val="3C165E7F"/>
    <w:rsid w:val="3C237ED3"/>
    <w:rsid w:val="3C3C1178"/>
    <w:rsid w:val="3C73403C"/>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8D6C20"/>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C70ACD"/>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CE44155"/>
    <w:rsid w:val="6D170809"/>
    <w:rsid w:val="6D4B22B8"/>
    <w:rsid w:val="6D663E0B"/>
    <w:rsid w:val="6D692A71"/>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94DA4"/>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81E0D"/>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标书正文"/>
    <w:basedOn w:val="2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60</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2025-11-06T06:49:09Z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