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0"/>
        <w:rPr>
          <w:rFonts w:ascii="Calibri" w:hAnsi="宋体" w:eastAsia="宋体" w:cs="Times New Roman"/>
          <w:b/>
          <w:bCs/>
          <w:color w:val="000000"/>
          <w:spacing w:val="-8"/>
          <w:sz w:val="48"/>
          <w:szCs w:val="44"/>
        </w:rPr>
      </w:pPr>
      <w:bookmarkStart w:id="0" w:name="OLE_LINK30"/>
      <w:bookmarkStart w:id="1" w:name="OLE_LINK31"/>
    </w:p>
    <w:p>
      <w:pPr>
        <w:pStyle w:val="20"/>
        <w:rPr>
          <w:rFonts w:ascii="Calibri" w:hAnsi="宋体" w:eastAsia="宋体" w:cs="Times New Roman"/>
          <w:b/>
          <w:bCs/>
          <w:color w:val="000000"/>
          <w:spacing w:val="-8"/>
          <w:sz w:val="48"/>
          <w:szCs w:val="44"/>
        </w:rPr>
      </w:pPr>
    </w:p>
    <w:p>
      <w:pPr>
        <w:jc w:val="center"/>
        <w:rPr>
          <w:rFonts w:hint="eastAsia" w:ascii="Calibri" w:hAnsi="宋体" w:eastAsia="宋体" w:cs="Times New Roman"/>
          <w:b/>
          <w:bCs/>
          <w:color w:val="000000"/>
          <w:spacing w:val="-8"/>
          <w:sz w:val="48"/>
          <w:szCs w:val="44"/>
          <w:highlight w:val="none"/>
          <w:lang w:eastAsia="zh-CN"/>
        </w:rPr>
      </w:pPr>
      <w:r>
        <w:rPr>
          <w:rFonts w:hint="eastAsia" w:ascii="Calibri" w:hAnsi="宋体" w:eastAsia="宋体" w:cs="Times New Roman"/>
          <w:b/>
          <w:bCs/>
          <w:color w:val="000000"/>
          <w:spacing w:val="-8"/>
          <w:sz w:val="48"/>
          <w:szCs w:val="44"/>
          <w:highlight w:val="none"/>
          <w:lang w:val="en-US" w:eastAsia="zh-CN"/>
        </w:rPr>
        <w:t>中国重汽集团</w:t>
      </w:r>
      <w:r>
        <w:rPr>
          <w:rFonts w:hint="eastAsia" w:ascii="Calibri" w:hAnsi="宋体" w:eastAsia="宋体" w:cs="Times New Roman"/>
          <w:b/>
          <w:bCs/>
          <w:color w:val="000000"/>
          <w:spacing w:val="-8"/>
          <w:sz w:val="48"/>
          <w:szCs w:val="44"/>
          <w:highlight w:val="none"/>
          <w:lang w:eastAsia="zh-CN"/>
        </w:rPr>
        <w:t>济南商用车</w:t>
      </w:r>
      <w:r>
        <w:rPr>
          <w:rFonts w:hint="eastAsia" w:ascii="Calibri" w:hAnsi="宋体" w:eastAsia="宋体" w:cs="Times New Roman"/>
          <w:b/>
          <w:bCs/>
          <w:color w:val="000000"/>
          <w:spacing w:val="-8"/>
          <w:sz w:val="48"/>
          <w:szCs w:val="44"/>
          <w:highlight w:val="none"/>
          <w:lang w:val="en-US" w:eastAsia="zh-CN"/>
        </w:rPr>
        <w:t>制造</w:t>
      </w:r>
      <w:r>
        <w:rPr>
          <w:rFonts w:hint="eastAsia" w:ascii="Calibri" w:hAnsi="宋体" w:eastAsia="宋体" w:cs="Times New Roman"/>
          <w:b/>
          <w:bCs/>
          <w:color w:val="000000"/>
          <w:spacing w:val="-8"/>
          <w:sz w:val="48"/>
          <w:szCs w:val="44"/>
          <w:highlight w:val="none"/>
          <w:lang w:eastAsia="zh-CN"/>
        </w:rPr>
        <w:t>公司</w:t>
      </w:r>
    </w:p>
    <w:p>
      <w:pPr>
        <w:jc w:val="center"/>
        <w:rPr>
          <w:rFonts w:hint="eastAsia" w:ascii="Calibri" w:hAnsi="宋体" w:eastAsia="宋体" w:cs="Times New Roman"/>
          <w:b/>
          <w:bCs/>
          <w:color w:val="000000"/>
          <w:spacing w:val="-8"/>
          <w:sz w:val="48"/>
          <w:szCs w:val="44"/>
          <w:highlight w:val="none"/>
          <w:lang w:val="en-US" w:eastAsia="zh-CN"/>
        </w:rPr>
      </w:pPr>
      <w:r>
        <w:rPr>
          <w:rFonts w:hint="eastAsia" w:ascii="Calibri" w:hAnsi="宋体" w:eastAsia="宋体" w:cs="Times New Roman"/>
          <w:b/>
          <w:bCs/>
          <w:color w:val="000000"/>
          <w:spacing w:val="-8"/>
          <w:sz w:val="48"/>
          <w:szCs w:val="44"/>
          <w:highlight w:val="yellow"/>
          <w:lang w:val="en-US" w:eastAsia="zh-CN"/>
        </w:rPr>
        <w:t>新建顶导流罩分装线</w:t>
      </w:r>
      <w:r>
        <w:rPr>
          <w:rFonts w:hint="eastAsia" w:ascii="Calibri" w:hAnsi="宋体" w:eastAsia="宋体" w:cs="Times New Roman"/>
          <w:b/>
          <w:bCs/>
          <w:color w:val="000000"/>
          <w:spacing w:val="-8"/>
          <w:sz w:val="48"/>
          <w:szCs w:val="44"/>
          <w:highlight w:val="none"/>
          <w:lang w:eastAsia="zh-CN"/>
        </w:rPr>
        <w:t>项目</w:t>
      </w:r>
    </w:p>
    <w:p>
      <w:pPr>
        <w:pStyle w:val="20"/>
        <w:jc w:val="center"/>
        <w:rPr>
          <w:rFonts w:ascii="Calibri" w:hAnsi="宋体" w:eastAsia="宋体" w:cs="Times New Roman"/>
          <w:b/>
          <w:bCs/>
          <w:color w:val="000000"/>
          <w:spacing w:val="-8"/>
          <w:sz w:val="48"/>
          <w:szCs w:val="44"/>
        </w:rPr>
      </w:pPr>
    </w:p>
    <w:p>
      <w:pPr>
        <w:pStyle w:val="20"/>
        <w:jc w:val="center"/>
        <w:rPr>
          <w:rFonts w:ascii="Calibri" w:hAnsi="宋体" w:eastAsia="宋体" w:cs="Times New Roman"/>
          <w:b/>
          <w:bCs/>
          <w:color w:val="000000"/>
          <w:spacing w:val="-8"/>
          <w:sz w:val="48"/>
          <w:szCs w:val="44"/>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sz w:val="32"/>
          <w:szCs w:val="28"/>
        </w:rPr>
      </w:pPr>
      <w:r>
        <w:rPr>
          <w:rFonts w:hint="eastAsia" w:ascii="华文仿宋" w:hAnsi="华文仿宋" w:eastAsia="华文仿宋"/>
          <w:sz w:val="32"/>
          <w:szCs w:val="28"/>
        </w:rPr>
        <w:t xml:space="preserve">            </w:t>
      </w:r>
    </w:p>
    <w:p>
      <w:pPr>
        <w:spacing w:line="860" w:lineRule="exact"/>
        <w:rPr>
          <w:rFonts w:ascii="华文仿宋" w:hAnsi="华文仿宋" w:eastAsia="华文仿宋"/>
          <w:sz w:val="32"/>
          <w:szCs w:val="28"/>
        </w:rPr>
      </w:pPr>
    </w:p>
    <w:p>
      <w:pPr>
        <w:spacing w:line="860" w:lineRule="exact"/>
        <w:rPr>
          <w:rFonts w:ascii="华文仿宋" w:hAnsi="华文仿宋" w:eastAsia="华文仿宋"/>
          <w:sz w:val="32"/>
          <w:szCs w:val="28"/>
        </w:rPr>
      </w:pP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20"/>
        <w:rPr>
          <w:b/>
          <w:bCs/>
        </w:rPr>
      </w:pPr>
    </w:p>
    <w:p>
      <w:pPr>
        <w:jc w:val="center"/>
        <w:rPr>
          <w:rFonts w:hint="eastAsia" w:ascii="宋体" w:hAnsi="Calibri" w:eastAsia="宋体" w:cs="Times New Roman"/>
          <w:color w:val="000000"/>
          <w:sz w:val="28"/>
          <w:szCs w:val="28"/>
          <w:highlight w:val="yellow"/>
          <w:lang w:eastAsia="zh-C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w:t>
      </w:r>
      <w:r>
        <w:rPr>
          <w:rFonts w:hint="eastAsia" w:ascii="宋体" w:hAnsi="宋体" w:eastAsia="宋体" w:cs="Times New Roman"/>
          <w:color w:val="000000"/>
          <w:sz w:val="28"/>
          <w:szCs w:val="28"/>
          <w:lang w:eastAsia="zh-CN"/>
        </w:rPr>
        <w:t>济南商用车</w:t>
      </w:r>
      <w:r>
        <w:rPr>
          <w:rFonts w:hint="eastAsia" w:ascii="宋体" w:hAnsi="宋体" w:eastAsia="宋体" w:cs="Times New Roman"/>
          <w:color w:val="000000"/>
          <w:sz w:val="28"/>
          <w:szCs w:val="28"/>
          <w:lang w:val="en-US" w:eastAsia="zh-CN"/>
        </w:rPr>
        <w:t>制造</w:t>
      </w:r>
      <w:r>
        <w:rPr>
          <w:rFonts w:hint="eastAsia" w:ascii="宋体" w:hAnsi="宋体" w:eastAsia="宋体" w:cs="Times New Roman"/>
          <w:color w:val="000000"/>
          <w:sz w:val="28"/>
          <w:szCs w:val="28"/>
          <w:lang w:eastAsia="zh-CN"/>
        </w:rPr>
        <w:t>公司</w:t>
      </w:r>
    </w:p>
    <w:p>
      <w:pPr>
        <w:jc w:val="center"/>
        <w:rPr>
          <w:rFonts w:ascii="宋体" w:hAnsi="Calibri" w:eastAsia="宋体" w:cs="Times New Roman"/>
          <w:color w:val="000000"/>
          <w:sz w:val="28"/>
          <w:szCs w:val="28"/>
          <w:highlight w:val="yellow"/>
        </w:rPr>
      </w:pPr>
      <w:r>
        <w:rPr>
          <w:rFonts w:ascii="Calibri" w:hAnsi="Calibri" w:eastAsia="宋体" w:cs="Times New Roman"/>
          <w:color w:val="000000"/>
          <w:sz w:val="28"/>
          <w:szCs w:val="28"/>
          <w:highlight w:val="yellow"/>
        </w:rPr>
        <w:t>202</w:t>
      </w:r>
      <w:r>
        <w:rPr>
          <w:rFonts w:hint="eastAsia" w:ascii="Calibri" w:hAnsi="Calibri" w:eastAsia="宋体" w:cs="Times New Roman"/>
          <w:color w:val="000000"/>
          <w:sz w:val="28"/>
          <w:szCs w:val="28"/>
          <w:highlight w:val="yellow"/>
          <w:lang w:val="en-US" w:eastAsia="zh-CN"/>
        </w:rPr>
        <w:t>5</w:t>
      </w:r>
      <w:r>
        <w:rPr>
          <w:rFonts w:hint="eastAsia" w:ascii="宋体" w:hAnsi="宋体" w:eastAsia="宋体" w:cs="Times New Roman"/>
          <w:color w:val="000000"/>
          <w:sz w:val="28"/>
          <w:szCs w:val="28"/>
          <w:highlight w:val="yellow"/>
        </w:rPr>
        <w:t>年</w:t>
      </w:r>
      <w:r>
        <w:rPr>
          <w:rFonts w:hint="eastAsia" w:ascii="宋体" w:hAnsi="宋体" w:eastAsia="宋体" w:cs="Times New Roman"/>
          <w:b/>
          <w:bCs/>
          <w:color w:val="000000"/>
          <w:sz w:val="28"/>
          <w:szCs w:val="28"/>
          <w:highlight w:val="yellow"/>
          <w:lang w:val="en-US" w:eastAsia="zh-CN"/>
        </w:rPr>
        <w:t>11</w:t>
      </w:r>
      <w:r>
        <w:rPr>
          <w:rFonts w:hint="eastAsia" w:ascii="Calibri" w:hAnsi="Calibri" w:eastAsia="宋体" w:cs="Times New Roman"/>
          <w:color w:val="000000"/>
          <w:sz w:val="28"/>
          <w:szCs w:val="28"/>
          <w:highlight w:val="yellow"/>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7"/>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7"/>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投标须知</w:t>
          </w:r>
          <w:r>
            <w:rPr>
              <w:color w:val="auto"/>
              <w:sz w:val="32"/>
              <w:szCs w:val="32"/>
            </w:rPr>
            <w:tab/>
          </w:r>
          <w:r>
            <w:rPr>
              <w:color w:val="auto"/>
              <w:sz w:val="32"/>
              <w:szCs w:val="32"/>
            </w:rPr>
            <w:fldChar w:fldCharType="end"/>
          </w:r>
          <w:r>
            <w:rPr>
              <w:rFonts w:hint="eastAsia"/>
              <w:color w:val="auto"/>
              <w:sz w:val="32"/>
              <w:szCs w:val="32"/>
            </w:rPr>
            <w:t>7</w:t>
          </w:r>
        </w:p>
        <w:p>
          <w:pPr>
            <w:pStyle w:val="27"/>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7"/>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7"/>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w:t>
          </w:r>
          <w:r>
            <w:rPr>
              <w:rFonts w:hint="eastAsia"/>
              <w:color w:val="auto"/>
              <w:sz w:val="32"/>
              <w:szCs w:val="32"/>
              <w:lang w:val="en-US" w:eastAsia="zh-CN"/>
            </w:rPr>
            <w:t>9</w:t>
          </w:r>
        </w:p>
        <w:p>
          <w:pPr>
            <w:pStyle w:val="27"/>
            <w:tabs>
              <w:tab w:val="right" w:leader="dot" w:pos="9071"/>
            </w:tabs>
            <w:spacing w:line="480" w:lineRule="auto"/>
            <w:rPr>
              <w:rFonts w:hint="eastAsia"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w:t>
          </w:r>
          <w:r>
            <w:rPr>
              <w:rFonts w:hint="eastAsia"/>
              <w:color w:val="auto"/>
              <w:sz w:val="32"/>
              <w:szCs w:val="32"/>
              <w:lang w:val="en-US" w:eastAsia="zh-CN"/>
            </w:rPr>
            <w:t>6</w:t>
          </w:r>
        </w:p>
        <w:p>
          <w:pPr>
            <w:pStyle w:val="20"/>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0"/>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0"/>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ascii="宋体" w:hAnsi="宋体" w:eastAsia="宋体" w:cs="宋体"/>
                <w:b/>
                <w:sz w:val="28"/>
                <w:szCs w:val="28"/>
              </w:rPr>
            </w:pPr>
            <w:bookmarkStart w:id="3" w:name="_Toc346372875"/>
            <w:r>
              <w:rPr>
                <w:rStyle w:val="134"/>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34"/>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项目名称：</w:t>
            </w:r>
            <w:r>
              <w:rPr>
                <w:rFonts w:hint="eastAsia" w:ascii="宋体" w:hAnsi="宋体" w:eastAsia="宋体" w:cs="宋体"/>
                <w:sz w:val="24"/>
                <w:szCs w:val="24"/>
                <w:highlight w:val="yellow"/>
                <w:u w:val="single"/>
                <w:lang w:eastAsia="zh-CN"/>
              </w:rPr>
              <w:t>济南商用车</w:t>
            </w:r>
            <w:r>
              <w:rPr>
                <w:rFonts w:hint="eastAsia" w:ascii="宋体" w:hAnsi="宋体" w:eastAsia="宋体" w:cs="宋体"/>
                <w:sz w:val="24"/>
                <w:szCs w:val="24"/>
                <w:highlight w:val="yellow"/>
                <w:u w:val="single"/>
                <w:lang w:val="en-US" w:eastAsia="zh-CN"/>
              </w:rPr>
              <w:t>制造</w:t>
            </w:r>
            <w:r>
              <w:rPr>
                <w:rFonts w:hint="eastAsia" w:ascii="宋体" w:hAnsi="宋体" w:eastAsia="宋体" w:cs="宋体"/>
                <w:sz w:val="24"/>
                <w:szCs w:val="24"/>
                <w:highlight w:val="yellow"/>
                <w:u w:val="single"/>
                <w:lang w:eastAsia="zh-CN"/>
              </w:rPr>
              <w:t>公司</w:t>
            </w:r>
            <w:r>
              <w:rPr>
                <w:rFonts w:hint="eastAsia" w:ascii="宋体" w:hAnsi="宋体" w:eastAsia="宋体" w:cs="宋体"/>
                <w:sz w:val="24"/>
                <w:szCs w:val="24"/>
                <w:highlight w:val="yellow"/>
                <w:u w:val="single"/>
                <w:lang w:val="en-US" w:eastAsia="zh-CN"/>
              </w:rPr>
              <w:t>新建顶导流罩分装线</w:t>
            </w:r>
            <w:r>
              <w:rPr>
                <w:rFonts w:hint="eastAsia" w:ascii="宋体" w:hAnsi="宋体" w:eastAsia="宋体" w:cs="宋体"/>
                <w:sz w:val="24"/>
                <w:szCs w:val="24"/>
                <w:highlight w:val="yellow"/>
                <w:u w:val="single"/>
                <w:lang w:eastAsia="zh-CN"/>
              </w:rPr>
              <w:t>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采购形式编号：FSCZB2025110052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招标内容</w:t>
            </w:r>
            <w:r>
              <w:rPr>
                <w:rFonts w:hint="eastAsia" w:ascii="宋体" w:hAnsi="宋体" w:eastAsia="宋体" w:cs="宋体"/>
                <w:sz w:val="24"/>
                <w:szCs w:val="24"/>
                <w:u w:val="single"/>
              </w:rPr>
              <w:t>：</w:t>
            </w:r>
            <w:r>
              <w:rPr>
                <w:rFonts w:hint="eastAsia" w:ascii="宋体" w:hAnsi="宋体" w:eastAsia="宋体" w:cs="宋体"/>
                <w:sz w:val="24"/>
                <w:szCs w:val="24"/>
                <w:highlight w:val="yellow"/>
                <w:u w:val="single"/>
                <w:lang w:val="en-US" w:eastAsia="zh-CN"/>
              </w:rPr>
              <w:t>新建两条顶导流罩分装线</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lang w:eastAsia="zh-CN"/>
              </w:rPr>
            </w:pPr>
            <w:r>
              <w:rPr>
                <w:rFonts w:hint="eastAsia" w:ascii="宋体" w:hAnsi="宋体" w:eastAsia="宋体" w:cs="宋体"/>
                <w:b/>
                <w:bCs/>
                <w:sz w:val="24"/>
                <w:szCs w:val="24"/>
              </w:rPr>
              <w:t>招标形式：</w:t>
            </w:r>
            <w:r>
              <w:rPr>
                <w:rFonts w:hint="eastAsia" w:ascii="宋体" w:hAnsi="宋体" w:eastAsia="宋体" w:cs="宋体"/>
                <w:sz w:val="24"/>
                <w:szCs w:val="24"/>
                <w:highlight w:val="yellow"/>
                <w:lang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b/>
                <w:snapToGrid w:val="0"/>
                <w:kern w:val="0"/>
                <w:sz w:val="24"/>
                <w:szCs w:val="24"/>
                <w:highlight w:val="none"/>
                <w:lang w:val="en-US" w:eastAsia="zh-CN"/>
              </w:rPr>
              <w:t>中国重汽集团</w:t>
            </w:r>
            <w:r>
              <w:rPr>
                <w:rFonts w:hint="eastAsia" w:ascii="宋体" w:hAnsi="宋体" w:eastAsia="宋体" w:cs="宋体"/>
                <w:b/>
                <w:snapToGrid w:val="0"/>
                <w:kern w:val="0"/>
                <w:sz w:val="24"/>
                <w:szCs w:val="24"/>
                <w:highlight w:val="none"/>
                <w:lang w:eastAsia="zh-CN"/>
              </w:rPr>
              <w:t>济南商用车</w:t>
            </w:r>
            <w:r>
              <w:rPr>
                <w:rFonts w:hint="eastAsia" w:ascii="宋体" w:hAnsi="宋体" w:eastAsia="宋体" w:cs="宋体"/>
                <w:b/>
                <w:snapToGrid w:val="0"/>
                <w:kern w:val="0"/>
                <w:sz w:val="24"/>
                <w:szCs w:val="24"/>
                <w:highlight w:val="none"/>
                <w:lang w:val="en-US" w:eastAsia="zh-CN"/>
              </w:rPr>
              <w:t>制造</w:t>
            </w:r>
            <w:r>
              <w:rPr>
                <w:rFonts w:hint="eastAsia" w:ascii="宋体" w:hAnsi="宋体" w:eastAsia="宋体" w:cs="宋体"/>
                <w:b/>
                <w:snapToGrid w:val="0"/>
                <w:kern w:val="0"/>
                <w:sz w:val="24"/>
                <w:szCs w:val="24"/>
                <w:highlight w:val="none"/>
                <w:lang w:eastAsia="zh-CN"/>
              </w:rPr>
              <w:t>公司</w:t>
            </w:r>
            <w:r>
              <w:rPr>
                <w:rFonts w:hint="eastAsia" w:ascii="宋体" w:hAnsi="宋体" w:eastAsia="宋体" w:cs="宋体"/>
                <w:bCs/>
                <w:snapToGrid w:val="0"/>
                <w:kern w:val="0"/>
                <w:sz w:val="24"/>
                <w:szCs w:val="24"/>
                <w:highlight w:val="none"/>
              </w:rPr>
              <w:t xml:space="preserve"> </w:t>
            </w:r>
          </w:p>
          <w:p>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地址：山东省济南市章丘区潘王路</w:t>
            </w:r>
          </w:p>
          <w:p>
            <w:pPr>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商务联系人：杨淑超</w:t>
            </w:r>
          </w:p>
          <w:p>
            <w:pPr>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电话：17860605820</w:t>
            </w:r>
          </w:p>
          <w:p>
            <w:pPr>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邮箱：yangshuchao@sinotruk.com</w:t>
            </w:r>
          </w:p>
          <w:p>
            <w:pPr>
              <w:ind w:firstLine="482" w:firstLineChars="200"/>
              <w:rPr>
                <w:rFonts w:hint="default"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技术联系人：沈瑶</w:t>
            </w:r>
          </w:p>
          <w:p>
            <w:pPr>
              <w:ind w:firstLine="482" w:firstLineChars="200"/>
              <w:rPr>
                <w:rFonts w:hint="default"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电话：17852403686</w:t>
            </w:r>
          </w:p>
          <w:p>
            <w:pPr>
              <w:ind w:firstLine="482" w:firstLineChars="200"/>
              <w:rPr>
                <w:rFonts w:hint="default"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邮箱：shenyao@sinotruk.com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pPr>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pStyle w:val="20"/>
              <w:ind w:firstLine="482" w:firstLineChars="200"/>
              <w:rPr>
                <w:rFonts w:eastAsia="宋体"/>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：人民币</w:t>
            </w:r>
            <w:r>
              <w:rPr>
                <w:rFonts w:hint="eastAsia" w:hAnsi="宋体" w:eastAsia="宋体" w:cs="Times New Roman"/>
                <w:b/>
                <w:bCs/>
                <w:color w:val="000000"/>
                <w:sz w:val="24"/>
                <w:szCs w:val="24"/>
                <w:highlight w:val="yellow"/>
                <w:lang w:val="en-US" w:eastAsia="zh-CN"/>
              </w:rPr>
              <w:t>26</w:t>
            </w:r>
            <w:r>
              <w:rPr>
                <w:rFonts w:hint="eastAsia" w:ascii="宋体" w:hAnsi="宋体" w:eastAsia="宋体" w:cs="Times New Roman"/>
                <w:b/>
                <w:bCs/>
                <w:color w:val="000000"/>
                <w:kern w:val="2"/>
                <w:sz w:val="24"/>
                <w:szCs w:val="24"/>
                <w:lang w:val="en-US" w:eastAsia="zh-CN" w:bidi="ar-SA"/>
              </w:rPr>
              <w:t>万</w:t>
            </w:r>
            <w:r>
              <w:rPr>
                <w:rFonts w:hint="eastAsia" w:hAnsi="宋体" w:eastAsia="宋体" w:cs="Times New Roman"/>
                <w:color w:val="000000"/>
                <w:sz w:val="24"/>
                <w:szCs w:val="24"/>
              </w:rPr>
              <w:t>元（含税，税率13%），超过投标限价无法投标。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ind w:firstLine="560"/>
              <w:rPr>
                <w:rFonts w:hint="eastAsia" w:ascii="宋体" w:hAnsi="宋体" w:eastAsia="宋体" w:cs="宋体"/>
                <w:sz w:val="24"/>
                <w:szCs w:val="24"/>
              </w:rPr>
            </w:pPr>
            <w:r>
              <w:rPr>
                <w:rFonts w:hint="eastAsia" w:ascii="宋体" w:hAnsi="宋体" w:eastAsia="宋体" w:cs="宋体"/>
                <w:sz w:val="24"/>
                <w:szCs w:val="24"/>
                <w:lang w:bidi="ar"/>
              </w:rPr>
              <w:t>1.拟标投人必须是在中华人民共和国境内注册的独立法人机构，具有独立承担民事责任能力；</w:t>
            </w:r>
            <w:r>
              <w:rPr>
                <w:rFonts w:hint="eastAsia" w:ascii="宋体" w:hAnsi="宋体" w:eastAsia="宋体" w:cs="宋体"/>
                <w:sz w:val="24"/>
                <w:szCs w:val="24"/>
                <w:highlight w:val="yellow"/>
                <w:lang w:bidi="ar"/>
              </w:rPr>
              <w:t>注册资金不少于200万人民币</w:t>
            </w:r>
            <w:r>
              <w:rPr>
                <w:rFonts w:hint="eastAsia" w:ascii="宋体" w:hAnsi="宋体" w:eastAsia="宋体" w:cs="宋体"/>
                <w:sz w:val="24"/>
                <w:szCs w:val="24"/>
                <w:lang w:bidi="ar"/>
              </w:rPr>
              <w:t>（或等值其他货币）；</w:t>
            </w:r>
            <w:r>
              <w:rPr>
                <w:rFonts w:hint="eastAsia" w:ascii="宋体" w:hAnsi="宋体" w:eastAsia="宋体" w:cs="宋体"/>
                <w:sz w:val="24"/>
                <w:szCs w:val="24"/>
                <w:highlight w:val="yellow"/>
                <w:lang w:bidi="ar"/>
              </w:rPr>
              <w:t>公司成立</w:t>
            </w:r>
            <w:r>
              <w:rPr>
                <w:rFonts w:hint="eastAsia" w:ascii="宋体" w:hAnsi="宋体" w:eastAsia="宋体" w:cs="宋体"/>
                <w:sz w:val="24"/>
                <w:szCs w:val="24"/>
                <w:highlight w:val="yellow"/>
                <w:lang w:val="en-US" w:eastAsia="zh-CN" w:bidi="ar"/>
              </w:rPr>
              <w:t>3</w:t>
            </w:r>
            <w:r>
              <w:rPr>
                <w:rFonts w:hint="eastAsia" w:ascii="宋体" w:hAnsi="宋体" w:eastAsia="宋体" w:cs="宋体"/>
                <w:sz w:val="24"/>
                <w:szCs w:val="24"/>
                <w:highlight w:val="yellow"/>
                <w:lang w:bidi="ar"/>
              </w:rPr>
              <w:t>年以上</w:t>
            </w:r>
            <w:r>
              <w:rPr>
                <w:rFonts w:hint="eastAsia" w:ascii="宋体" w:hAnsi="宋体" w:eastAsia="宋体" w:cs="宋体"/>
                <w:sz w:val="24"/>
                <w:szCs w:val="24"/>
                <w:lang w:bidi="ar"/>
              </w:rPr>
              <w:t>（以营业执照成立日期到开标当日为准），且经营范围满足招标人需求；并在人员、设备、资金等方面具有承担本项目的能力；</w:t>
            </w:r>
          </w:p>
          <w:p>
            <w:pPr>
              <w:ind w:firstLine="560"/>
              <w:rPr>
                <w:rFonts w:hint="eastAsia" w:ascii="宋体" w:hAnsi="宋体" w:eastAsia="宋体" w:cs="宋体"/>
                <w:sz w:val="24"/>
                <w:szCs w:val="24"/>
              </w:rPr>
            </w:pPr>
            <w:r>
              <w:rPr>
                <w:rFonts w:hint="eastAsia" w:ascii="宋体" w:hAnsi="宋体" w:eastAsia="宋体" w:cs="宋体"/>
                <w:sz w:val="24"/>
                <w:szCs w:val="24"/>
                <w:lang w:bidi="ar"/>
              </w:rPr>
              <w:t>2.拟投标人应提供营业执照副本原件和扫描件（需盖章）；</w:t>
            </w:r>
          </w:p>
          <w:p>
            <w:pPr>
              <w:ind w:firstLine="560"/>
              <w:rPr>
                <w:rFonts w:hint="eastAsia" w:ascii="宋体" w:hAnsi="宋体" w:eastAsia="宋体" w:cs="宋体"/>
                <w:sz w:val="24"/>
                <w:szCs w:val="24"/>
              </w:rPr>
            </w:pPr>
            <w:r>
              <w:rPr>
                <w:rFonts w:hint="eastAsia" w:ascii="宋体" w:hAnsi="宋体" w:eastAsia="宋体" w:cs="宋体"/>
                <w:sz w:val="24"/>
                <w:szCs w:val="24"/>
                <w:lang w:bidi="ar"/>
              </w:rPr>
              <w:t>3.拟投标人应提供法定代表人资格证明文件；</w:t>
            </w:r>
          </w:p>
          <w:p>
            <w:pPr>
              <w:ind w:firstLine="560"/>
              <w:rPr>
                <w:rFonts w:hint="eastAsia" w:ascii="宋体" w:hAnsi="宋体" w:eastAsia="宋体" w:cs="宋体"/>
                <w:sz w:val="24"/>
                <w:szCs w:val="24"/>
              </w:rPr>
            </w:pPr>
            <w:r>
              <w:rPr>
                <w:rFonts w:hint="eastAsia" w:ascii="宋体" w:hAnsi="宋体" w:eastAsia="宋体" w:cs="宋体"/>
                <w:sz w:val="24"/>
                <w:szCs w:val="24"/>
                <w:lang w:bidi="ar"/>
              </w:rPr>
              <w:t>4.在“国家企业信用信息公示系统”、“中国执行信息公开网”、“信用中国”、“天眼查”“裁判文书网”等信息平台中，无行政处罚及失信记录等信息；</w:t>
            </w:r>
          </w:p>
          <w:p>
            <w:pPr>
              <w:ind w:firstLine="560"/>
              <w:rPr>
                <w:rFonts w:hint="eastAsia" w:ascii="宋体" w:hAnsi="宋体" w:eastAsia="宋体" w:cs="宋体"/>
                <w:sz w:val="24"/>
                <w:szCs w:val="24"/>
              </w:rPr>
            </w:pPr>
            <w:r>
              <w:rPr>
                <w:rFonts w:hint="eastAsia" w:ascii="宋体" w:hAnsi="宋体" w:eastAsia="宋体" w:cs="宋体"/>
                <w:sz w:val="24"/>
                <w:szCs w:val="24"/>
                <w:lang w:bidi="ar"/>
              </w:rPr>
              <w:t>5.拟投标人不存在严重违规或被列入招标人“黑名单”的声明；</w:t>
            </w:r>
          </w:p>
          <w:p>
            <w:pPr>
              <w:ind w:firstLine="560"/>
              <w:rPr>
                <w:rFonts w:hint="eastAsia" w:ascii="宋体" w:hAnsi="宋体" w:eastAsia="宋体" w:cs="宋体"/>
                <w:sz w:val="24"/>
                <w:szCs w:val="24"/>
              </w:rPr>
            </w:pPr>
            <w:r>
              <w:rPr>
                <w:rFonts w:hint="eastAsia" w:ascii="宋体" w:hAnsi="宋体" w:eastAsia="宋体" w:cs="宋体"/>
                <w:sz w:val="24"/>
                <w:szCs w:val="24"/>
                <w:lang w:bidi="ar"/>
              </w:rPr>
              <w:t>6.拟投标人应提供2022年1月1日至今经</w:t>
            </w:r>
            <w:r>
              <w:rPr>
                <w:rFonts w:hint="eastAsia" w:ascii="宋体" w:hAnsi="宋体" w:eastAsia="宋体" w:cs="宋体"/>
                <w:sz w:val="24"/>
                <w:szCs w:val="24"/>
                <w:lang w:val="en-US" w:eastAsia="zh-CN" w:bidi="ar"/>
              </w:rPr>
              <w:t>第三方</w:t>
            </w:r>
            <w:r>
              <w:rPr>
                <w:rFonts w:hint="eastAsia" w:ascii="宋体" w:hAnsi="宋体" w:eastAsia="宋体" w:cs="宋体"/>
                <w:sz w:val="24"/>
                <w:szCs w:val="24"/>
                <w:lang w:bidi="ar"/>
              </w:rPr>
              <w:t>会计师事务所审计且出具无保留意见的财务审计报告，并加盖公章，包括但不限于资产负债表、利润表、现金流量表</w:t>
            </w:r>
            <w:r>
              <w:rPr>
                <w:rFonts w:hint="eastAsia" w:ascii="宋体" w:hAnsi="宋体" w:eastAsia="宋体" w:cs="宋体"/>
                <w:sz w:val="24"/>
                <w:szCs w:val="24"/>
                <w:lang w:val="en-US" w:eastAsia="zh-CN" w:bidi="ar"/>
              </w:rPr>
              <w:t>及报表附注</w:t>
            </w:r>
            <w:r>
              <w:rPr>
                <w:rFonts w:hint="eastAsia" w:ascii="宋体" w:hAnsi="宋体" w:eastAsia="宋体" w:cs="宋体"/>
                <w:sz w:val="24"/>
                <w:szCs w:val="24"/>
                <w:lang w:bidi="ar"/>
              </w:rPr>
              <w:t>，且未显示异常；</w:t>
            </w:r>
          </w:p>
          <w:p>
            <w:pPr>
              <w:ind w:firstLine="560"/>
              <w:rPr>
                <w:rFonts w:hint="eastAsia" w:ascii="宋体" w:hAnsi="宋体" w:eastAsia="宋体" w:cs="宋体"/>
                <w:sz w:val="24"/>
                <w:szCs w:val="24"/>
              </w:rPr>
            </w:pPr>
            <w:r>
              <w:rPr>
                <w:rFonts w:hint="eastAsia" w:ascii="宋体" w:hAnsi="宋体" w:eastAsia="宋体" w:cs="宋体"/>
                <w:sz w:val="24"/>
                <w:szCs w:val="24"/>
                <w:lang w:bidi="ar"/>
              </w:rPr>
              <w:t>7.拟投标人有与本次招标内容相同或类似项目业绩，</w:t>
            </w:r>
            <w:r>
              <w:rPr>
                <w:rFonts w:hint="eastAsia" w:ascii="宋体" w:hAnsi="宋体" w:eastAsia="宋体" w:cs="宋体"/>
                <w:sz w:val="24"/>
                <w:szCs w:val="24"/>
                <w:lang w:val="en-US" w:eastAsia="zh-CN" w:bidi="ar"/>
              </w:rPr>
              <w:t>或有相关项目经验，</w:t>
            </w:r>
            <w:r>
              <w:rPr>
                <w:rFonts w:hint="eastAsia" w:ascii="宋体" w:hAnsi="宋体" w:eastAsia="宋体" w:cs="宋体"/>
                <w:sz w:val="24"/>
                <w:szCs w:val="24"/>
                <w:lang w:bidi="ar"/>
              </w:rPr>
              <w:t>且近3年内无因服务不当而造成重大事故；</w:t>
            </w:r>
          </w:p>
          <w:p>
            <w:pPr>
              <w:ind w:firstLine="560"/>
              <w:rPr>
                <w:rFonts w:hint="eastAsia" w:ascii="宋体" w:hAnsi="宋体" w:eastAsia="宋体" w:cs="宋体"/>
                <w:sz w:val="24"/>
                <w:szCs w:val="24"/>
              </w:rPr>
            </w:pPr>
            <w:r>
              <w:rPr>
                <w:rFonts w:hint="eastAsia" w:ascii="宋体" w:hAnsi="宋体" w:eastAsia="宋体" w:cs="宋体"/>
                <w:sz w:val="24"/>
                <w:szCs w:val="24"/>
                <w:lang w:bidi="ar"/>
              </w:rPr>
              <w:t>8.拟投标人近三年内在经营活动中无与本项目有关的违法及重大违规情况；</w:t>
            </w:r>
          </w:p>
          <w:p>
            <w:pPr>
              <w:ind w:firstLine="560"/>
              <w:rPr>
                <w:rFonts w:hint="eastAsia" w:ascii="宋体" w:hAnsi="宋体" w:eastAsia="宋体" w:cs="宋体"/>
                <w:sz w:val="24"/>
                <w:szCs w:val="24"/>
              </w:rPr>
            </w:pPr>
            <w:r>
              <w:rPr>
                <w:rFonts w:hint="eastAsia" w:ascii="宋体" w:hAnsi="宋体" w:eastAsia="宋体" w:cs="宋体"/>
                <w:sz w:val="24"/>
                <w:szCs w:val="24"/>
                <w:lang w:bidi="ar"/>
              </w:rPr>
              <w:t>9.拟投标人须认可招标人的工作指令，包括节、假日能正常开展工作的要求；</w:t>
            </w:r>
          </w:p>
          <w:p>
            <w:pPr>
              <w:ind w:firstLine="560"/>
              <w:rPr>
                <w:rFonts w:hint="eastAsia" w:ascii="宋体" w:hAnsi="宋体" w:eastAsia="宋体" w:cs="宋体"/>
                <w:sz w:val="24"/>
                <w:szCs w:val="24"/>
              </w:rPr>
            </w:pPr>
            <w:r>
              <w:rPr>
                <w:rFonts w:hint="eastAsia" w:ascii="宋体" w:hAnsi="宋体" w:eastAsia="宋体" w:cs="宋体"/>
                <w:sz w:val="24"/>
                <w:szCs w:val="24"/>
                <w:lang w:bidi="ar"/>
              </w:rPr>
              <w:t>10.拟投标人最近半年纳税正常；</w:t>
            </w:r>
          </w:p>
          <w:p>
            <w:pPr>
              <w:ind w:firstLine="560"/>
              <w:rPr>
                <w:rFonts w:hint="eastAsia" w:ascii="宋体" w:hAnsi="宋体" w:eastAsia="宋体" w:cs="宋体"/>
                <w:sz w:val="24"/>
                <w:szCs w:val="24"/>
              </w:rPr>
            </w:pPr>
            <w:r>
              <w:rPr>
                <w:rFonts w:hint="eastAsia" w:ascii="宋体" w:hAnsi="宋体" w:eastAsia="宋体" w:cs="宋体"/>
                <w:sz w:val="24"/>
                <w:szCs w:val="24"/>
                <w:lang w:bidi="ar"/>
              </w:rPr>
              <w:t>11.拟投标人信用证明材料（征信中心出具的信用报告）未显示异常；</w:t>
            </w:r>
          </w:p>
          <w:p>
            <w:pPr>
              <w:ind w:firstLine="560"/>
              <w:rPr>
                <w:rFonts w:hint="eastAsia" w:ascii="宋体" w:hAnsi="宋体" w:eastAsia="宋体" w:cs="宋体"/>
                <w:sz w:val="24"/>
                <w:szCs w:val="24"/>
              </w:rPr>
            </w:pPr>
            <w:r>
              <w:rPr>
                <w:rFonts w:hint="eastAsia" w:ascii="宋体" w:hAnsi="宋体" w:eastAsia="宋体" w:cs="宋体"/>
                <w:sz w:val="24"/>
                <w:szCs w:val="24"/>
                <w:lang w:bidi="ar"/>
              </w:rPr>
              <w:t>12.拟投标人的直接或间接股东、法定代表人、董事、监事、高管非重汽员工及其亲属；</w:t>
            </w:r>
          </w:p>
          <w:p>
            <w:pPr>
              <w:ind w:firstLine="560"/>
              <w:rPr>
                <w:rFonts w:hint="eastAsia" w:ascii="宋体" w:hAnsi="宋体" w:eastAsia="宋体" w:cs="宋体"/>
                <w:sz w:val="24"/>
                <w:szCs w:val="24"/>
              </w:rPr>
            </w:pPr>
            <w:r>
              <w:rPr>
                <w:rFonts w:hint="eastAsia" w:ascii="宋体" w:hAnsi="宋体" w:eastAsia="宋体" w:cs="宋体"/>
                <w:sz w:val="24"/>
                <w:szCs w:val="24"/>
                <w:lang w:bidi="ar"/>
              </w:rPr>
              <w:t>13.投标单位需为设备制造单位；</w:t>
            </w:r>
          </w:p>
          <w:p>
            <w:pPr>
              <w:ind w:firstLine="560"/>
              <w:rPr>
                <w:rFonts w:hint="eastAsia" w:ascii="宋体" w:hAnsi="宋体" w:eastAsia="宋体" w:cs="宋体"/>
                <w:sz w:val="24"/>
                <w:szCs w:val="24"/>
              </w:rPr>
            </w:pPr>
            <w:r>
              <w:rPr>
                <w:rFonts w:hint="eastAsia" w:ascii="宋体" w:hAnsi="宋体" w:eastAsia="宋体" w:cs="宋体"/>
                <w:sz w:val="24"/>
                <w:szCs w:val="24"/>
                <w:lang w:bidi="ar"/>
              </w:rPr>
              <w:t>14.本项目不接受联合体投标，拟投标人必须是最终投标单位和签订合同单位，不得以任何理由将已中标项目以任何形式分包或转包给其他单位；</w:t>
            </w:r>
          </w:p>
          <w:p>
            <w:pPr>
              <w:ind w:firstLine="560"/>
              <w:rPr>
                <w:rFonts w:hint="eastAsia" w:ascii="宋体" w:hAnsi="宋体" w:eastAsia="宋体" w:cs="宋体"/>
                <w:sz w:val="24"/>
                <w:szCs w:val="24"/>
              </w:rPr>
            </w:pPr>
            <w:r>
              <w:rPr>
                <w:rFonts w:hint="eastAsia" w:ascii="宋体" w:hAnsi="宋体" w:eastAsia="宋体" w:cs="宋体"/>
                <w:sz w:val="24"/>
                <w:szCs w:val="24"/>
                <w:lang w:bidi="ar"/>
              </w:rPr>
              <w:t>15.无招标违规、谎报年度报告信息、提供虚假资质资料等行为或其他行政处罚记录。</w:t>
            </w:r>
          </w:p>
          <w:p>
            <w:pPr>
              <w:ind w:firstLine="560"/>
              <w:rPr>
                <w:rFonts w:hint="eastAsia" w:ascii="宋体" w:hAnsi="宋体" w:eastAsia="宋体" w:cs="宋体"/>
                <w:sz w:val="24"/>
                <w:szCs w:val="24"/>
              </w:rPr>
            </w:pPr>
            <w:r>
              <w:rPr>
                <w:rFonts w:hint="eastAsia" w:ascii="宋体" w:hAnsi="宋体" w:eastAsia="宋体" w:cs="宋体"/>
                <w:sz w:val="24"/>
                <w:szCs w:val="24"/>
                <w:lang w:bidi="ar"/>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pPr>
              <w:pStyle w:val="20"/>
              <w:ind w:firstLine="480" w:firstLineChars="200"/>
              <w:rPr>
                <w:rFonts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5</w:t>
            </w:r>
            <w:r>
              <w:rPr>
                <w:rFonts w:hint="eastAsia" w:ascii="宋体" w:hAnsi="宋体" w:eastAsia="宋体" w:cs="宋体"/>
                <w:bCs/>
                <w:sz w:val="24"/>
                <w:szCs w:val="24"/>
              </w:rPr>
              <w:t>年</w:t>
            </w:r>
            <w:r>
              <w:rPr>
                <w:rFonts w:hint="eastAsia" w:ascii="宋体" w:hAnsi="宋体" w:eastAsia="宋体" w:cs="宋体"/>
                <w:bCs/>
                <w:sz w:val="24"/>
                <w:szCs w:val="24"/>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6</w:t>
            </w:r>
            <w:r>
              <w:rPr>
                <w:rFonts w:hint="eastAsia" w:ascii="宋体" w:hAnsi="宋体" w:eastAsia="宋体" w:cs="宋体"/>
                <w:bCs/>
                <w:sz w:val="24"/>
                <w:szCs w:val="24"/>
                <w:highlight w:val="yellow"/>
              </w:rPr>
              <w:t>日</w:t>
            </w:r>
            <w:r>
              <w:rPr>
                <w:rFonts w:hint="eastAsia" w:ascii="宋体" w:hAnsi="宋体" w:eastAsia="宋体" w:cs="宋体"/>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5</w:t>
            </w:r>
            <w:r>
              <w:rPr>
                <w:rFonts w:hint="eastAsia" w:ascii="宋体" w:hAnsi="宋体" w:eastAsia="宋体" w:cs="宋体"/>
                <w:bCs/>
                <w:sz w:val="24"/>
                <w:szCs w:val="24"/>
              </w:rPr>
              <w:t>年</w:t>
            </w:r>
            <w:r>
              <w:rPr>
                <w:rFonts w:hint="eastAsia" w:ascii="宋体" w:hAnsi="宋体" w:eastAsia="宋体" w:cs="宋体"/>
                <w:bCs/>
                <w:sz w:val="24"/>
                <w:szCs w:val="24"/>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19</w:t>
            </w:r>
            <w:r>
              <w:rPr>
                <w:rFonts w:hint="eastAsia" w:ascii="宋体" w:hAnsi="宋体" w:eastAsia="宋体" w:cs="宋体"/>
                <w:bCs/>
                <w:sz w:val="24"/>
                <w:szCs w:val="24"/>
                <w:highlight w:val="yellow"/>
              </w:rPr>
              <w:t>日</w:t>
            </w:r>
            <w:r>
              <w:rPr>
                <w:rFonts w:hint="eastAsia" w:ascii="宋体" w:hAnsi="宋体" w:eastAsia="宋体" w:cs="宋体"/>
                <w:bCs/>
                <w:sz w:val="24"/>
                <w:szCs w:val="24"/>
                <w:highlight w:val="yellow"/>
                <w:lang w:val="en-US" w:eastAsia="zh-CN"/>
              </w:rPr>
              <w:t>17</w:t>
            </w:r>
            <w:r>
              <w:rPr>
                <w:rFonts w:hint="eastAsia" w:ascii="宋体" w:hAnsi="宋体" w:eastAsia="宋体" w:cs="宋体"/>
                <w:bCs/>
                <w:sz w:val="24"/>
                <w:szCs w:val="24"/>
              </w:rPr>
              <w:t>:00:00前；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领取答疑、澄清和修改文件时间：202</w:t>
            </w:r>
            <w:r>
              <w:rPr>
                <w:rFonts w:hint="eastAsia" w:ascii="宋体" w:hAnsi="宋体" w:eastAsia="宋体" w:cs="宋体"/>
                <w:sz w:val="24"/>
                <w:szCs w:val="24"/>
                <w:lang w:val="en-US" w:eastAsia="zh-CN"/>
              </w:rPr>
              <w:t>5</w:t>
            </w:r>
            <w:r>
              <w:rPr>
                <w:rFonts w:hint="eastAsia" w:ascii="宋体" w:hAnsi="宋体" w:eastAsia="宋体" w:cs="宋体"/>
                <w:sz w:val="24"/>
                <w:szCs w:val="24"/>
              </w:rPr>
              <w:t>年</w:t>
            </w:r>
            <w:r>
              <w:rPr>
                <w:rFonts w:hint="eastAsia" w:ascii="宋体" w:hAnsi="宋体" w:eastAsia="宋体" w:cs="宋体"/>
                <w:sz w:val="24"/>
                <w:szCs w:val="24"/>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19</w:t>
            </w:r>
            <w:r>
              <w:rPr>
                <w:rFonts w:hint="eastAsia" w:ascii="宋体" w:hAnsi="宋体" w:eastAsia="宋体" w:cs="宋体"/>
                <w:sz w:val="24"/>
                <w:szCs w:val="24"/>
                <w:highlight w:val="yellow"/>
              </w:rPr>
              <w:t>日</w:t>
            </w:r>
            <w:r>
              <w:rPr>
                <w:rFonts w:hint="eastAsia" w:ascii="宋体" w:hAnsi="宋体" w:eastAsia="宋体" w:cs="宋体"/>
                <w:sz w:val="24"/>
                <w:szCs w:val="24"/>
                <w:highlight w:val="yellow"/>
                <w:lang w:val="en-US" w:eastAsia="zh-CN"/>
              </w:rPr>
              <w:t>17</w:t>
            </w:r>
            <w:r>
              <w:rPr>
                <w:rFonts w:hint="eastAsia" w:ascii="宋体" w:hAnsi="宋体" w:eastAsia="宋体" w:cs="宋体"/>
                <w:sz w:val="24"/>
                <w:szCs w:val="24"/>
              </w:rPr>
              <w:t>:00</w:t>
            </w:r>
            <w:r>
              <w:rPr>
                <w:rFonts w:hint="eastAsia" w:ascii="宋体" w:hAnsi="宋体" w:eastAsia="宋体" w:cs="宋体"/>
                <w:bCs/>
                <w:sz w:val="24"/>
                <w:szCs w:val="24"/>
              </w:rPr>
              <w:t>:00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w:t>
            </w:r>
            <w:r>
              <w:rPr>
                <w:rFonts w:hint="eastAsia" w:eastAsia="宋体" w:cs="Times New Roman"/>
                <w:b/>
                <w:bCs/>
                <w:lang w:val="en-US" w:eastAsia="zh-CN"/>
              </w:rPr>
              <w:t>2</w:t>
            </w:r>
            <w:r>
              <w:rPr>
                <w:rFonts w:hint="eastAsia" w:eastAsia="宋体" w:cs="Times New Roman"/>
                <w:b/>
                <w:bCs/>
              </w:rPr>
              <w:t>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eastAsia="宋体" w:cs="宋体"/>
              </w:rPr>
            </w:pPr>
            <w:r>
              <w:rPr>
                <w:rFonts w:hint="eastAsia" w:eastAsia="宋体" w:cs="宋体"/>
                <w:b/>
                <w:bCs/>
              </w:rPr>
              <w:t>应标截止时间：</w:t>
            </w:r>
            <w:r>
              <w:rPr>
                <w:rFonts w:hint="eastAsia" w:eastAsia="宋体" w:cs="宋体"/>
              </w:rPr>
              <w:t>202</w:t>
            </w:r>
            <w:r>
              <w:rPr>
                <w:rFonts w:hint="eastAsia" w:eastAsia="宋体" w:cs="宋体"/>
                <w:lang w:val="en-US" w:eastAsia="zh-CN"/>
              </w:rPr>
              <w:t>5</w:t>
            </w:r>
            <w:r>
              <w:rPr>
                <w:rFonts w:hint="eastAsia" w:eastAsia="宋体" w:cs="宋体"/>
              </w:rPr>
              <w:t>年</w:t>
            </w:r>
            <w:r>
              <w:rPr>
                <w:rFonts w:hint="eastAsia" w:eastAsia="宋体" w:cs="宋体"/>
                <w:lang w:val="en-US" w:eastAsia="zh-CN"/>
              </w:rPr>
              <w:t>11</w:t>
            </w:r>
            <w:r>
              <w:rPr>
                <w:rFonts w:hint="eastAsia" w:eastAsia="宋体" w:cs="宋体"/>
                <w:highlight w:val="yellow"/>
              </w:rPr>
              <w:t>月</w:t>
            </w:r>
            <w:r>
              <w:rPr>
                <w:rFonts w:hint="eastAsia" w:eastAsia="宋体" w:cs="宋体"/>
                <w:highlight w:val="yellow"/>
                <w:lang w:val="en-US" w:eastAsia="zh-CN"/>
              </w:rPr>
              <w:t>11</w:t>
            </w:r>
            <w:r>
              <w:rPr>
                <w:rFonts w:hint="eastAsia" w:eastAsia="宋体" w:cs="宋体"/>
                <w:highlight w:val="yellow"/>
              </w:rPr>
              <w:t>日</w:t>
            </w:r>
            <w:r>
              <w:rPr>
                <w:rFonts w:hint="eastAsia" w:eastAsia="宋体" w:cs="宋体"/>
                <w:highlight w:val="yellow"/>
                <w:lang w:val="en-US" w:eastAsia="zh-CN"/>
              </w:rPr>
              <w:t>17</w:t>
            </w:r>
            <w:r>
              <w:rPr>
                <w:rFonts w:hint="eastAsia" w:ascii="宋体" w:hAnsi="宋体" w:eastAsia="宋体" w:cs="宋体"/>
                <w:sz w:val="24"/>
                <w:szCs w:val="24"/>
              </w:rPr>
              <w:t>:00</w:t>
            </w:r>
            <w:r>
              <w:rPr>
                <w:rFonts w:hint="eastAsia" w:ascii="宋体" w:hAnsi="宋体" w:eastAsia="宋体" w:cs="宋体"/>
                <w:bCs/>
                <w:sz w:val="24"/>
                <w:szCs w:val="24"/>
              </w:rPr>
              <w:t>:00</w:t>
            </w:r>
            <w:r>
              <w:rPr>
                <w:rFonts w:hint="eastAsia" w:ascii="宋体" w:hAnsi="宋体" w:eastAsia="宋体" w:cs="宋体"/>
                <w:sz w:val="24"/>
                <w:szCs w:val="24"/>
              </w:rPr>
              <w:t>前</w:t>
            </w:r>
          </w:p>
          <w:p>
            <w:pPr>
              <w:pStyle w:val="117"/>
              <w:spacing w:line="240" w:lineRule="auto"/>
              <w:ind w:firstLine="482"/>
              <w:rPr>
                <w:rFonts w:eastAsia="宋体" w:cs="宋体"/>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投标文件（电子版为纸质盖章版的扫描件），均由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eastAsia="宋体" w:cs="宋体"/>
                <w:bCs/>
                <w:sz w:val="24"/>
                <w:szCs w:val="24"/>
                <w:lang w:val="en-US" w:eastAsia="zh-CN"/>
              </w:rPr>
              <w:t>3</w:t>
            </w:r>
            <w:r>
              <w:rPr>
                <w:rFonts w:hint="eastAsia" w:eastAsia="宋体" w:cs="宋体"/>
                <w:bCs/>
                <w:sz w:val="24"/>
                <w:szCs w:val="24"/>
              </w:rPr>
              <w:t>个文件</w:t>
            </w:r>
            <w:r>
              <w:rPr>
                <w:rFonts w:hint="eastAsia" w:ascii="宋体" w:hAnsi="宋体" w:eastAsia="宋体" w:cs="宋体"/>
                <w:bCs/>
                <w:sz w:val="24"/>
                <w:szCs w:val="24"/>
              </w:rPr>
              <w:t>。</w:t>
            </w:r>
          </w:p>
          <w:p>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hAnsi="宋体" w:eastAsia="宋体" w:cs="Times New Roman"/>
                <w:color w:val="000000"/>
                <w:sz w:val="24"/>
                <w:szCs w:val="24"/>
                <w:lang w:val="en-US" w:eastAsia="zh-CN"/>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标书，一律视为无效投标</w:t>
            </w:r>
            <w:r>
              <w:rPr>
                <w:rFonts w:hint="eastAsia" w:eastAsia="宋体" w:cs="宋体"/>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rPr>
                <w:rFonts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rPr>
                <w:rFonts w:eastAsia="宋体" w:cs="宋体" w:asciiTheme="minorHAnsi" w:hAnsiTheme="minorHAnsi"/>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Ansi="宋体" w:eastAsia="宋体" w:cs="宋体"/>
                <w:sz w:val="24"/>
                <w:szCs w:val="24"/>
              </w:rPr>
            </w:pPr>
            <w:r>
              <w:rPr>
                <w:rFonts w:hint="eastAsia" w:hAnsi="宋体" w:eastAsia="宋体" w:cs="宋体"/>
                <w:b/>
                <w:bCs/>
                <w:sz w:val="24"/>
                <w:szCs w:val="24"/>
              </w:rPr>
              <w:t>投标文件递交截止时间：</w:t>
            </w:r>
            <w:r>
              <w:rPr>
                <w:rFonts w:hint="eastAsia" w:hAnsi="宋体" w:eastAsia="宋体" w:cs="宋体"/>
                <w:sz w:val="24"/>
                <w:szCs w:val="24"/>
                <w:u w:val="single"/>
              </w:rPr>
              <w:t>202</w:t>
            </w:r>
            <w:r>
              <w:rPr>
                <w:rFonts w:hint="eastAsia" w:hAnsi="宋体" w:eastAsia="宋体" w:cs="宋体"/>
                <w:sz w:val="24"/>
                <w:szCs w:val="24"/>
                <w:u w:val="single"/>
                <w:lang w:val="en-US" w:eastAsia="zh-CN"/>
              </w:rPr>
              <w:t>5</w:t>
            </w:r>
            <w:r>
              <w:rPr>
                <w:rFonts w:hint="eastAsia" w:hAnsi="宋体" w:eastAsia="宋体" w:cs="宋体"/>
                <w:sz w:val="24"/>
                <w:szCs w:val="24"/>
              </w:rPr>
              <w:t>年</w:t>
            </w:r>
            <w:r>
              <w:rPr>
                <w:rFonts w:hint="eastAsia" w:hAnsi="宋体" w:eastAsia="宋体" w:cs="宋体"/>
                <w:sz w:val="24"/>
                <w:szCs w:val="24"/>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19</w:t>
            </w:r>
            <w:r>
              <w:rPr>
                <w:rFonts w:hint="eastAsia" w:hAnsi="宋体" w:eastAsia="宋体" w:cs="宋体"/>
                <w:sz w:val="24"/>
                <w:szCs w:val="24"/>
              </w:rPr>
              <w:t>日</w:t>
            </w:r>
            <w:bookmarkStart w:id="151" w:name="_GoBack"/>
            <w:bookmarkEnd w:id="151"/>
            <w:r>
              <w:rPr>
                <w:rFonts w:hint="eastAsia" w:hAnsi="宋体" w:eastAsia="宋体" w:cs="宋体"/>
                <w:kern w:val="0"/>
                <w:sz w:val="24"/>
                <w:szCs w:val="24"/>
                <w:lang w:val="en-US" w:eastAsia="zh-CN"/>
              </w:rPr>
              <w:t>17</w:t>
            </w:r>
            <w:r>
              <w:rPr>
                <w:rFonts w:hint="eastAsia" w:hAnsi="宋体" w:eastAsia="宋体" w:cs="宋体"/>
                <w:sz w:val="24"/>
                <w:szCs w:val="24"/>
              </w:rPr>
              <w:t>:00:00（北京时间）</w:t>
            </w:r>
          </w:p>
          <w:p>
            <w:pPr>
              <w:pStyle w:val="20"/>
              <w:ind w:firstLine="482" w:firstLineChars="200"/>
              <w:rPr>
                <w:rFonts w:hAnsi="宋体" w:eastAsia="宋体" w:cs="宋体"/>
                <w:sz w:val="24"/>
                <w:szCs w:val="24"/>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w:t>
            </w:r>
            <w:r>
              <w:rPr>
                <w:rFonts w:hint="eastAsia" w:ascii="宋体" w:hAnsi="宋体" w:eastAsia="宋体" w:cs="宋体"/>
                <w:sz w:val="24"/>
                <w:szCs w:val="24"/>
                <w:highlight w:val="yellow"/>
              </w:rPr>
              <w:t>90个日历日</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color w:val="auto"/>
                <w:sz w:val="24"/>
                <w:szCs w:val="24"/>
                <w:highlight w:val="yellow"/>
                <w:lang w:val="en-US" w:eastAsia="zh-CN"/>
              </w:rPr>
              <w:t>5000</w:t>
            </w:r>
            <w:r>
              <w:rPr>
                <w:rFonts w:hint="eastAsia" w:ascii="宋体" w:hAnsi="宋体" w:eastAsia="宋体" w:cs="宋体"/>
                <w:sz w:val="24"/>
                <w:szCs w:val="24"/>
                <w:highlight w:val="yellow"/>
              </w:rPr>
              <w:t>元</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sz w:val="24"/>
                <w:szCs w:val="24"/>
              </w:rPr>
              <w:t>中国重汽集团济南商用车有限公司</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sz w:val="24"/>
                <w:szCs w:val="24"/>
              </w:rPr>
              <w:t>中国银行股份有限公司章丘支行</w:t>
            </w:r>
          </w:p>
          <w:p>
            <w:pPr>
              <w:tabs>
                <w:tab w:val="left" w:pos="932"/>
              </w:tabs>
              <w:ind w:left="479" w:leftChars="228" w:firstLine="0" w:firstLineChars="0"/>
              <w:rPr>
                <w:rFonts w:hint="eastAsia" w:ascii="宋体" w:hAnsi="宋体" w:eastAsia="宋体" w:cs="宋体"/>
                <w:sz w:val="24"/>
                <w:szCs w:val="24"/>
                <w:lang w:val="en-US" w:eastAsia="zh-CN"/>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sz w:val="24"/>
                <w:szCs w:val="24"/>
                <w:lang w:val="en-US" w:eastAsia="zh-CN"/>
              </w:rPr>
              <w:t>226005574527</w:t>
            </w:r>
          </w:p>
          <w:p>
            <w:pPr>
              <w:tabs>
                <w:tab w:val="left" w:pos="932"/>
              </w:tabs>
              <w:ind w:left="479" w:leftChars="228" w:firstLine="0" w:firstLineChars="0"/>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lang w:val="en-US" w:eastAsia="zh-CN"/>
              </w:rPr>
              <w:t>开</w:t>
            </w:r>
            <w:r>
              <w:rPr>
                <w:rFonts w:hint="eastAsia" w:ascii="宋体" w:hAnsi="宋体" w:eastAsia="宋体" w:cs="宋体"/>
                <w:b/>
                <w:bCs/>
                <w:color w:val="000000"/>
                <w:kern w:val="0"/>
                <w:sz w:val="24"/>
                <w:szCs w:val="24"/>
                <w:highlight w:val="yellow"/>
                <w:lang w:val="en-US" w:eastAsia="zh-CN"/>
              </w:rPr>
              <w:t>户行行号：</w:t>
            </w:r>
            <w:r>
              <w:rPr>
                <w:rFonts w:hint="eastAsia" w:ascii="宋体" w:hAnsi="宋体" w:eastAsia="宋体" w:cs="宋体"/>
                <w:sz w:val="24"/>
                <w:szCs w:val="24"/>
              </w:rPr>
              <w:t>104451040689</w:t>
            </w:r>
          </w:p>
          <w:p>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pPr>
              <w:ind w:firstLine="480" w:firstLineChars="200"/>
              <w:rPr>
                <w:rFonts w:ascii="宋体" w:hAnsi="宋体" w:eastAsia="宋体" w:cs="宋体"/>
                <w:sz w:val="24"/>
                <w:szCs w:val="24"/>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rPr>
              <w:t>20</w:t>
            </w:r>
            <w:r>
              <w:rPr>
                <w:rFonts w:ascii="宋体" w:hAnsi="宋体" w:cs="宋体"/>
                <w:sz w:val="24"/>
                <w:szCs w:val="24"/>
              </w:rPr>
              <w:t>2</w:t>
            </w:r>
            <w:r>
              <w:rPr>
                <w:rFonts w:hint="eastAsia" w:ascii="宋体" w:hAnsi="宋体" w:cs="宋体"/>
                <w:sz w:val="24"/>
                <w:szCs w:val="24"/>
                <w:lang w:val="en-US" w:eastAsia="zh-CN"/>
              </w:rPr>
              <w:t>5</w:t>
            </w:r>
            <w:r>
              <w:rPr>
                <w:rFonts w:hint="eastAsia" w:ascii="宋体" w:hAnsi="宋体" w:cs="宋体"/>
                <w:sz w:val="24"/>
                <w:szCs w:val="24"/>
              </w:rPr>
              <w:t>年</w:t>
            </w:r>
            <w:r>
              <w:rPr>
                <w:rFonts w:hint="eastAsia" w:ascii="宋体" w:hAnsi="宋体" w:cs="宋体"/>
                <w:sz w:val="24"/>
                <w:szCs w:val="24"/>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19</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17</w:t>
            </w:r>
            <w:r>
              <w:rPr>
                <w:rFonts w:hint="eastAsia" w:ascii="宋体" w:hAnsi="宋体" w:cs="宋体"/>
                <w:sz w:val="24"/>
                <w:szCs w:val="24"/>
              </w:rPr>
              <w:t>:</w:t>
            </w:r>
            <w:r>
              <w:rPr>
                <w:rFonts w:ascii="宋体" w:hAnsi="宋体" w:cs="宋体"/>
                <w:sz w:val="24"/>
                <w:szCs w:val="24"/>
              </w:rPr>
              <w:t>0</w:t>
            </w:r>
            <w:r>
              <w:rPr>
                <w:rFonts w:hint="eastAsia" w:ascii="宋体" w:hAnsi="宋体" w:cs="宋体"/>
                <w:sz w:val="24"/>
                <w:szCs w:val="24"/>
              </w:rPr>
              <w:t>0:00前（同应标截止时间）</w:t>
            </w:r>
          </w:p>
          <w:p>
            <w:pPr>
              <w:pStyle w:val="40"/>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rPr>
              <w:t>20</w:t>
            </w:r>
            <w:r>
              <w:rPr>
                <w:rFonts w:ascii="宋体" w:hAnsi="宋体" w:cs="宋体"/>
                <w:sz w:val="24"/>
                <w:szCs w:val="24"/>
              </w:rPr>
              <w:t>2</w:t>
            </w:r>
            <w:r>
              <w:rPr>
                <w:rFonts w:hint="eastAsia" w:ascii="宋体" w:hAnsi="宋体" w:cs="宋体"/>
                <w:sz w:val="24"/>
                <w:szCs w:val="24"/>
                <w:lang w:val="en-US" w:eastAsia="zh-CN"/>
              </w:rPr>
              <w:t>5</w:t>
            </w:r>
            <w:r>
              <w:rPr>
                <w:rFonts w:hint="eastAsia" w:ascii="宋体" w:hAnsi="宋体" w:cs="宋体"/>
                <w:sz w:val="24"/>
                <w:szCs w:val="24"/>
              </w:rPr>
              <w:t>年</w:t>
            </w:r>
            <w:r>
              <w:rPr>
                <w:rFonts w:hint="eastAsia" w:ascii="宋体" w:hAnsi="宋体" w:cs="宋体"/>
                <w:sz w:val="24"/>
                <w:szCs w:val="24"/>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20</w:t>
            </w:r>
            <w:r>
              <w:rPr>
                <w:rFonts w:hint="eastAsia" w:ascii="宋体" w:hAnsi="宋体" w:cs="宋体"/>
                <w:sz w:val="24"/>
                <w:szCs w:val="24"/>
              </w:rPr>
              <w:t>日</w:t>
            </w:r>
            <w:r>
              <w:rPr>
                <w:rFonts w:hint="eastAsia" w:ascii="宋体" w:hAnsi="宋体" w:cs="宋体"/>
                <w:sz w:val="24"/>
                <w:szCs w:val="24"/>
                <w:lang w:val="en-US" w:eastAsia="zh-CN"/>
              </w:rPr>
              <w:t>14</w:t>
            </w:r>
            <w:r>
              <w:rPr>
                <w:rFonts w:hint="eastAsia" w:ascii="宋体" w:hAnsi="宋体" w:cs="宋体"/>
                <w:sz w:val="24"/>
                <w:szCs w:val="24"/>
              </w:rPr>
              <w:t>:</w:t>
            </w:r>
            <w:r>
              <w:rPr>
                <w:rFonts w:ascii="宋体" w:hAnsi="宋体" w:cs="宋体"/>
                <w:sz w:val="24"/>
                <w:szCs w:val="24"/>
              </w:rPr>
              <w:t>0</w:t>
            </w:r>
            <w:r>
              <w:rPr>
                <w:rFonts w:hint="eastAsia" w:ascii="宋体" w:hAnsi="宋体" w:cs="宋体"/>
                <w:sz w:val="24"/>
                <w:szCs w:val="24"/>
              </w:rPr>
              <w:t>0:00</w:t>
            </w:r>
            <w:r>
              <w:rPr>
                <w:rFonts w:hint="eastAsia" w:ascii="宋体" w:hAnsi="宋体" w:eastAsia="宋体" w:cs="宋体"/>
                <w:sz w:val="24"/>
                <w:szCs w:val="24"/>
                <w:highlight w:val="yellow"/>
                <w:lang w:val="en-US" w:eastAsia="zh-CN"/>
              </w:rPr>
              <w:t>（暂定，以实际通知为准）</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lang w:val="en-US" w:eastAsia="zh-CN"/>
              </w:rPr>
              <w:t>线上会议室（暂定，以实际通知为准）</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评标方法：资质标审核→唱标→技术标评审→商务标评审。</w:t>
            </w:r>
            <w:r>
              <w:rPr>
                <w:rFonts w:hint="eastAsia" w:ascii="宋体" w:hAnsi="宋体" w:eastAsia="宋体" w:cs="宋体"/>
                <w:b/>
                <w:bCs/>
                <w:sz w:val="24"/>
                <w:szCs w:val="24"/>
                <w:highlight w:val="yellow"/>
              </w:rPr>
              <w:t>技术标入围后，原则上合理最低价中标</w:t>
            </w:r>
            <w:r>
              <w:rPr>
                <w:rFonts w:hint="eastAsia" w:ascii="宋体" w:hAnsi="宋体" w:eastAsia="宋体" w:cs="宋体"/>
                <w:b/>
                <w:sz w:val="24"/>
                <w:szCs w:val="24"/>
                <w:highlight w:val="yellow"/>
              </w:rPr>
              <w:t>。</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ind w:firstLine="480" w:firstLineChars="200"/>
              <w:rPr>
                <w:rFonts w:hint="eastAsia" w:ascii="宋体" w:hAnsi="宋体" w:eastAsia="宋体" w:cs="宋体"/>
                <w:sz w:val="24"/>
                <w:szCs w:val="24"/>
                <w:highlight w:val="green"/>
              </w:rPr>
            </w:pPr>
            <w:r>
              <w:rPr>
                <w:rFonts w:hint="eastAsia" w:ascii="宋体" w:hAnsi="宋体" w:eastAsia="宋体" w:cs="宋体"/>
                <w:sz w:val="24"/>
                <w:szCs w:val="24"/>
                <w:highlight w:val="green"/>
              </w:rPr>
              <w:t>自合同签定生效之日起，</w:t>
            </w:r>
            <w:r>
              <w:rPr>
                <w:rFonts w:hint="eastAsia" w:ascii="宋体" w:hAnsi="宋体" w:eastAsia="宋体" w:cs="宋体"/>
                <w:b/>
                <w:bCs/>
                <w:sz w:val="24"/>
                <w:szCs w:val="24"/>
                <w:highlight w:val="green"/>
                <w:lang w:val="en-US" w:eastAsia="zh-CN"/>
              </w:rPr>
              <w:t>60</w:t>
            </w:r>
            <w:r>
              <w:rPr>
                <w:rFonts w:hint="eastAsia" w:ascii="宋体" w:hAnsi="宋体" w:eastAsia="宋体" w:cs="宋体"/>
                <w:sz w:val="24"/>
                <w:szCs w:val="24"/>
                <w:highlight w:val="green"/>
              </w:rPr>
              <w:t>个日历日之内交货至供货地点。</w:t>
            </w:r>
          </w:p>
          <w:p>
            <w:pPr>
              <w:ind w:firstLine="480" w:firstLineChars="200"/>
              <w:rPr>
                <w:rFonts w:hint="eastAsia" w:ascii="宋体" w:hAnsi="宋体" w:eastAsia="宋体" w:cs="宋体"/>
                <w:sz w:val="24"/>
                <w:szCs w:val="24"/>
                <w:highlight w:val="yellow"/>
              </w:rPr>
            </w:pPr>
            <w:r>
              <w:rPr>
                <w:rFonts w:hint="eastAsia" w:ascii="宋体" w:hAnsi="宋体" w:eastAsia="宋体" w:cs="宋体"/>
                <w:color w:val="000000"/>
                <w:sz w:val="24"/>
                <w:szCs w:val="24"/>
                <w:highlight w:val="yellow"/>
                <w:lang w:val="en-US" w:eastAsia="zh-CN"/>
              </w:rPr>
              <w:t>接续10个日历日之内安装调试完毕。</w:t>
            </w:r>
          </w:p>
          <w:p>
            <w:pPr>
              <w:ind w:firstLine="480" w:firstLineChars="200"/>
              <w:rPr>
                <w:rFonts w:hAnsi="宋体" w:eastAsia="宋体" w:cs="宋体"/>
                <w:color w:val="000000"/>
                <w:sz w:val="24"/>
                <w:szCs w:val="24"/>
              </w:rPr>
            </w:pPr>
            <w:r>
              <w:rPr>
                <w:rFonts w:hint="eastAsia" w:ascii="宋体" w:hAnsi="宋体" w:eastAsia="宋体" w:cs="宋体"/>
                <w:sz w:val="24"/>
                <w:szCs w:val="24"/>
                <w:highlight w:val="yellow"/>
              </w:rPr>
              <w:t>安装调试工期超过</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0个日历日的，投标人应当随标书提供详细的工期计划</w:t>
            </w:r>
            <w:r>
              <w:rPr>
                <w:rFonts w:hint="eastAsia" w:ascii="宋体" w:hAnsi="宋体" w:eastAsia="宋体" w:cs="宋体"/>
                <w:color w:val="auto"/>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spacing w:line="360" w:lineRule="auto"/>
              <w:ind w:firstLine="482" w:firstLineChars="200"/>
              <w:outlineLvl w:val="3"/>
              <w:rPr>
                <w:rFonts w:hAnsi="宋体" w:eastAsia="宋体" w:cs="宋体"/>
                <w:color w:val="000000"/>
                <w:sz w:val="24"/>
                <w:szCs w:val="24"/>
              </w:rPr>
            </w:pPr>
            <w:r>
              <w:rPr>
                <w:rFonts w:hint="eastAsia" w:hAnsi="宋体" w:eastAsia="宋体" w:cs="宋体"/>
                <w:b/>
                <w:bCs/>
                <w:color w:val="000000"/>
                <w:sz w:val="24"/>
                <w:szCs w:val="24"/>
              </w:rPr>
              <w:t>交货地点：</w:t>
            </w:r>
            <w:r>
              <w:rPr>
                <w:rFonts w:hint="default" w:ascii="Times New Roman" w:hAnsi="Times New Roman" w:eastAsia="宋体" w:cs="Times New Roman"/>
                <w:b/>
                <w:bCs/>
                <w:color w:val="000000"/>
                <w:sz w:val="24"/>
                <w:szCs w:val="24"/>
                <w:highlight w:val="yellow"/>
              </w:rPr>
              <w:t>济南商用车</w:t>
            </w:r>
            <w:r>
              <w:rPr>
                <w:rFonts w:hint="default" w:ascii="Times New Roman" w:hAnsi="Times New Roman" w:eastAsia="宋体" w:cs="Times New Roman"/>
                <w:b/>
                <w:bCs/>
                <w:color w:val="000000"/>
                <w:sz w:val="24"/>
                <w:szCs w:val="24"/>
                <w:highlight w:val="yellow"/>
                <w:lang w:val="en-US" w:eastAsia="zh-CN"/>
              </w:rPr>
              <w:t>制造</w:t>
            </w:r>
            <w:r>
              <w:rPr>
                <w:rFonts w:hint="default" w:ascii="Times New Roman" w:hAnsi="Times New Roman" w:eastAsia="宋体" w:cs="Times New Roman"/>
                <w:b/>
                <w:bCs/>
                <w:color w:val="000000"/>
                <w:sz w:val="24"/>
                <w:szCs w:val="24"/>
                <w:highlight w:val="yellow"/>
              </w:rPr>
              <w:t>公司（章丘重汽工业园）</w:t>
            </w:r>
            <w:r>
              <w:rPr>
                <w:rFonts w:hint="eastAsia" w:ascii="Times New Roman" w:hAnsi="Times New Roman" w:eastAsia="宋体" w:cs="Times New Roman"/>
                <w:b/>
                <w:bCs/>
                <w:color w:val="000000"/>
                <w:sz w:val="24"/>
                <w:szCs w:val="24"/>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u w:val="single"/>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70"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0"/>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rPr>
              <w:t>）合同生效设备全部到齐无质量问题通过买方初步验收后, 卖方提交金额为合同含税价款</w:t>
            </w:r>
            <w:r>
              <w:rPr>
                <w:rFonts w:hint="eastAsia" w:ascii="宋体" w:hAnsi="宋体" w:eastAsia="宋体" w:cs="宋体"/>
                <w:b/>
                <w:bCs/>
                <w:color w:val="000000"/>
                <w:sz w:val="24"/>
                <w:szCs w:val="24"/>
                <w:highlight w:val="yellow"/>
                <w:lang w:val="en-US" w:eastAsia="zh-CN"/>
              </w:rPr>
              <w:t>3</w:t>
            </w:r>
            <w:r>
              <w:rPr>
                <w:rFonts w:hint="eastAsia" w:ascii="宋体" w:hAnsi="宋体" w:eastAsia="宋体" w:cs="宋体"/>
                <w:b/>
                <w:bCs/>
                <w:color w:val="000000"/>
                <w:sz w:val="24"/>
                <w:szCs w:val="24"/>
                <w:highlight w:val="yellow"/>
              </w:rPr>
              <w:t>0%</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highlight w:val="yellow"/>
              </w:rPr>
              <w:t>0%增值税专用发票（税率为13 %，正本一份，复印件二份），经买方依照财务制度审核无误后【30】日后支付。</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rPr>
              <w:t>）设备全部到齐无质量问题，经安装、调试最终验收合格后，卖方提交金额为合同含税价款</w:t>
            </w:r>
            <w:r>
              <w:rPr>
                <w:rFonts w:hint="eastAsia" w:ascii="宋体" w:hAnsi="宋体" w:eastAsia="宋体" w:cs="宋体"/>
                <w:b/>
                <w:bCs/>
                <w:color w:val="000000"/>
                <w:sz w:val="24"/>
                <w:szCs w:val="24"/>
                <w:highlight w:val="yellow"/>
                <w:lang w:val="en-US" w:eastAsia="zh-CN"/>
              </w:rPr>
              <w:t>6</w:t>
            </w:r>
            <w:r>
              <w:rPr>
                <w:rFonts w:hint="eastAsia" w:ascii="宋体" w:hAnsi="宋体" w:eastAsia="宋体" w:cs="宋体"/>
                <w:b/>
                <w:bCs/>
                <w:color w:val="000000"/>
                <w:sz w:val="24"/>
                <w:szCs w:val="24"/>
                <w:highlight w:val="yellow"/>
              </w:rPr>
              <w:t>0 %</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7</w:t>
            </w:r>
            <w:r>
              <w:rPr>
                <w:rFonts w:hint="eastAsia" w:ascii="宋体" w:hAnsi="宋体" w:eastAsia="宋体" w:cs="宋体"/>
                <w:color w:val="000000"/>
                <w:sz w:val="24"/>
                <w:szCs w:val="24"/>
                <w:highlight w:val="yellow"/>
              </w:rPr>
              <w:t>0%增值税专用发票（税率为13 %，正本一份，复印件二份）并附带该套合同设备最终验收报告的原件及其复印件两份，经买方依照财务制度审核无误后【30】日后支付。</w:t>
            </w:r>
          </w:p>
          <w:p>
            <w:pPr>
              <w:ind w:firstLine="480" w:firstLineChars="200"/>
              <w:rPr>
                <w:rFonts w:ascii="宋体" w:hAnsi="宋体" w:eastAsia="宋体" w:cs="宋体"/>
                <w:sz w:val="24"/>
                <w:szCs w:val="24"/>
              </w:rPr>
            </w:pPr>
            <w:r>
              <w:rPr>
                <w:rFonts w:hint="eastAsia" w:ascii="宋体" w:hAnsi="宋体" w:eastAsia="宋体" w:cs="宋体"/>
                <w:color w:val="000000"/>
                <w:sz w:val="24"/>
                <w:szCs w:val="24"/>
                <w:highlight w:val="yellow"/>
              </w:rPr>
              <w:t>（3）合同含税总价款的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名称：中国重汽集团济南动力有限公司</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地址：章丘市圣井唐王山路北潘王路西</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纳税人识别号：91370100787411873C</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开户行：中国银行章丘支行</w:t>
            </w:r>
          </w:p>
          <w:p>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电话：0531-58062198</w:t>
            </w:r>
          </w:p>
          <w:p>
            <w:pPr>
              <w:ind w:firstLine="480" w:firstLineChars="200"/>
              <w:rPr>
                <w:rFonts w:ascii="宋体" w:hAnsi="宋体" w:cs="宋体"/>
                <w:bCs/>
                <w:sz w:val="24"/>
                <w:szCs w:val="24"/>
              </w:rPr>
            </w:pPr>
            <w:r>
              <w:rPr>
                <w:rFonts w:hint="eastAsia" w:ascii="宋体" w:hAnsi="宋体" w:eastAsia="宋体" w:cs="宋体"/>
                <w:color w:val="000000"/>
                <w:sz w:val="24"/>
                <w:szCs w:val="24"/>
                <w:highlight w:val="yellow"/>
              </w:rPr>
              <w:t>账号：2377 0557 4474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3"/>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3"/>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3"/>
              <w:ind w:firstLine="480" w:firstLineChars="200"/>
              <w:rPr>
                <w:rFonts w:ascii="宋体" w:hAnsi="宋体" w:eastAsia="宋体" w:cs="宋体"/>
                <w:sz w:val="24"/>
                <w:szCs w:val="24"/>
              </w:rPr>
            </w:pPr>
            <w:r>
              <w:rPr>
                <w:rFonts w:hint="eastAsia" w:ascii="宋体" w:hAnsi="宋体" w:eastAsia="宋体" w:cs="宋体"/>
                <w:sz w:val="24"/>
                <w:szCs w:val="24"/>
                <w:highlight w:val="yellow"/>
              </w:rPr>
              <w:t>中标方应在合同签订</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0日内需根据设计</w:t>
            </w:r>
            <w:r>
              <w:rPr>
                <w:rStyle w:val="47"/>
                <w:rFonts w:hint="eastAsia" w:ascii="宋体" w:hAnsi="宋体" w:eastAsia="宋体" w:cs="宋体"/>
                <w:sz w:val="24"/>
                <w:szCs w:val="24"/>
                <w:highlight w:val="yellow"/>
              </w:rPr>
              <w:t>提资</w:t>
            </w:r>
            <w:r>
              <w:rPr>
                <w:rFonts w:hint="eastAsia" w:ascii="宋体" w:hAnsi="宋体" w:eastAsia="宋体" w:cs="宋体"/>
                <w:sz w:val="24"/>
                <w:szCs w:val="24"/>
                <w:highlight w:val="yellow"/>
              </w:rPr>
              <w:t>要求提供详细的</w:t>
            </w:r>
            <w:r>
              <w:rPr>
                <w:rStyle w:val="47"/>
                <w:rFonts w:hint="eastAsia" w:ascii="宋体" w:hAnsi="宋体" w:eastAsia="宋体" w:cs="宋体"/>
                <w:sz w:val="24"/>
                <w:szCs w:val="24"/>
                <w:highlight w:val="yellow"/>
              </w:rPr>
              <w:t>设备</w:t>
            </w:r>
            <w:r>
              <w:rPr>
                <w:rFonts w:hint="eastAsia" w:ascii="宋体" w:hAnsi="宋体" w:eastAsia="宋体" w:cs="宋体"/>
                <w:sz w:val="24"/>
                <w:szCs w:val="24"/>
                <w:highlight w:val="yellow"/>
              </w:rPr>
              <w:t>图纸等资料,其中包含</w:t>
            </w:r>
            <w:r>
              <w:rPr>
                <w:rStyle w:val="47"/>
                <w:rFonts w:hint="eastAsia" w:ascii="宋体" w:hAnsi="宋体" w:eastAsia="宋体" w:cs="宋体"/>
                <w:sz w:val="24"/>
                <w:szCs w:val="24"/>
                <w:highlight w:val="yellow"/>
              </w:rPr>
              <w:t>设备</w:t>
            </w:r>
            <w:r>
              <w:rPr>
                <w:rFonts w:hint="eastAsia" w:ascii="宋体" w:hAnsi="宋体" w:eastAsia="宋体" w:cs="宋体"/>
                <w:sz w:val="24"/>
                <w:szCs w:val="24"/>
                <w:highlight w:val="yellow"/>
              </w:rPr>
              <w:t>的外形尺寸,运维空间</w:t>
            </w:r>
            <w:r>
              <w:rPr>
                <w:rStyle w:val="47"/>
                <w:rFonts w:hint="eastAsia" w:ascii="宋体" w:hAnsi="宋体" w:eastAsia="宋体" w:cs="宋体"/>
                <w:sz w:val="24"/>
                <w:szCs w:val="24"/>
                <w:highlight w:val="yellow"/>
              </w:rPr>
              <w:t>,设备</w:t>
            </w:r>
            <w:r>
              <w:rPr>
                <w:rFonts w:hint="eastAsia" w:ascii="宋体" w:hAnsi="宋体" w:eastAsia="宋体" w:cs="宋体"/>
                <w:sz w:val="24"/>
                <w:szCs w:val="24"/>
                <w:highlight w:val="yellow"/>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rPr>
          <w:rFonts w:hint="eastAsia"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br w:type="page"/>
      </w:r>
    </w:p>
    <w:p>
      <w:pPr>
        <w:pStyle w:val="20"/>
        <w:jc w:val="center"/>
        <w:outlineLvl w:val="0"/>
        <w:rPr>
          <w:rFonts w:ascii="Calibri" w:hAnsi="Calibri" w:eastAsia="宋体" w:cs="Times New Roman"/>
          <w:b/>
          <w:bCs/>
          <w:kern w:val="44"/>
          <w:sz w:val="36"/>
          <w:szCs w:val="44"/>
          <w:highlight w:val="green"/>
        </w:rPr>
      </w:pPr>
      <w:r>
        <w:rPr>
          <w:rFonts w:hint="eastAsia" w:ascii="Calibri" w:hAnsi="Calibri" w:eastAsia="宋体" w:cs="Times New Roman"/>
          <w:b/>
          <w:bCs/>
          <w:kern w:val="44"/>
          <w:sz w:val="36"/>
          <w:szCs w:val="44"/>
          <w:highlight w:val="green"/>
        </w:rPr>
        <w:t>第二部分 投标须知</w:t>
      </w:r>
      <w:bookmarkEnd w:id="4"/>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3"/>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pPr>
        <w:pStyle w:val="20"/>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3"/>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0"/>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准备资料并上传，资质审查通过即为报名成功，公示期间请尽快报名。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0"/>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0"/>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lang w:eastAsia="zh-CN"/>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20"/>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0"/>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rPr>
        <w:t>4.7</w:t>
      </w:r>
      <w:r>
        <w:rPr>
          <w:rFonts w:hint="eastAsia" w:hAnsi="宋体" w:eastAsia="宋体" w:cs="宋体"/>
          <w:color w:val="000000"/>
          <w:sz w:val="24"/>
          <w:szCs w:val="24"/>
          <w:highlight w:val="yellow"/>
        </w:rPr>
        <w:t>设备设施颜色严格执行我公司企业标准《设备设施颜色标识》（Q/ZZ30070</w:t>
      </w:r>
    </w:p>
    <w:p>
      <w:pPr>
        <w:pStyle w:val="20"/>
        <w:spacing w:line="360" w:lineRule="auto"/>
        <w:rPr>
          <w:rFonts w:hAnsi="宋体" w:eastAsia="宋体" w:cs="宋体"/>
          <w:color w:val="000000"/>
          <w:sz w:val="24"/>
          <w:szCs w:val="24"/>
          <w:highlight w:val="yellow"/>
        </w:rPr>
      </w:pPr>
      <w:r>
        <w:rPr>
          <w:rFonts w:hint="eastAsia" w:hAnsi="宋体" w:eastAsia="宋体" w:cs="宋体"/>
          <w:color w:val="000000"/>
          <w:sz w:val="24"/>
          <w:szCs w:val="24"/>
          <w:highlight w:val="yellow"/>
        </w:rPr>
        <w:t>—2020）。</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见《投标须知前附表》第二条，逾期不受理。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ascii="宋体" w:hAnsi="宋体" w:eastAsia="宋体" w:cs="宋体"/>
          <w:sz w:val="24"/>
          <w:szCs w:val="24"/>
          <w:highlight w:val="yellow"/>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pPr>
        <w:pStyle w:val="117"/>
        <w:ind w:firstLine="480"/>
        <w:rPr>
          <w:rFonts w:eastAsia="宋体" w:cs="宋体"/>
        </w:rPr>
      </w:pPr>
      <w:r>
        <w:rPr>
          <w:rFonts w:hint="eastAsia" w:eastAsia="宋体" w:cs="宋体"/>
        </w:rPr>
        <w:t>4.2招标人银行账户信息如下：见《投标须知前附表》4.2。</w:t>
      </w:r>
    </w:p>
    <w:p>
      <w:pPr>
        <w:pStyle w:val="117"/>
        <w:ind w:firstLine="480"/>
        <w:rPr>
          <w:rFonts w:eastAsia="宋体" w:cs="宋体"/>
        </w:rPr>
      </w:pPr>
      <w:r>
        <w:rPr>
          <w:rFonts w:hint="eastAsia" w:eastAsia="宋体" w:cs="宋体"/>
        </w:rPr>
        <w:t>转账附言：公司名称+项目名称+投标保证金；</w:t>
      </w:r>
    </w:p>
    <w:p>
      <w:pPr>
        <w:pStyle w:val="117"/>
        <w:ind w:firstLine="480"/>
        <w:rPr>
          <w:rFonts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pPr>
        <w:pStyle w:val="117"/>
        <w:ind w:firstLine="480"/>
        <w:rPr>
          <w:rFonts w:eastAsia="宋体" w:cs="宋体"/>
        </w:rPr>
      </w:pPr>
      <w:r>
        <w:rPr>
          <w:rFonts w:hint="eastAsia" w:eastAsia="宋体" w:cs="宋体"/>
        </w:rPr>
        <w:t>4.3说明</w:t>
      </w:r>
    </w:p>
    <w:p>
      <w:pPr>
        <w:pStyle w:val="117"/>
        <w:ind w:firstLine="480"/>
        <w:rPr>
          <w:rFonts w:eastAsia="宋体" w:cs="宋体"/>
        </w:rPr>
      </w:pPr>
      <w:r>
        <w:rPr>
          <w:rFonts w:hint="eastAsia" w:eastAsia="宋体" w:cs="宋体"/>
        </w:rPr>
        <w:t>4.3.1 投标人在向招标人出示《投标保证金缴纳凭证》后方可进行投标；</w:t>
      </w:r>
    </w:p>
    <w:p>
      <w:pPr>
        <w:pStyle w:val="117"/>
        <w:ind w:firstLine="480"/>
        <w:rPr>
          <w:rFonts w:eastAsia="宋体" w:cs="宋体"/>
        </w:rPr>
      </w:pPr>
      <w:r>
        <w:rPr>
          <w:rFonts w:hint="eastAsia" w:eastAsia="宋体" w:cs="宋体"/>
        </w:rPr>
        <w:t>4.3.2 发生以下情况时，招标人有权没收保证金：</w:t>
      </w:r>
    </w:p>
    <w:p>
      <w:pPr>
        <w:pStyle w:val="117"/>
        <w:ind w:firstLine="480"/>
        <w:rPr>
          <w:rFonts w:eastAsia="宋体" w:cs="宋体"/>
        </w:rPr>
      </w:pPr>
      <w:r>
        <w:rPr>
          <w:rFonts w:hint="eastAsia" w:eastAsia="宋体" w:cs="宋体"/>
        </w:rPr>
        <w:t>4.3.2.1 截至开标前3天，投标人无正当理由且未以书面形式递交说明而在投标截止日不来投标的；</w:t>
      </w:r>
    </w:p>
    <w:p>
      <w:pPr>
        <w:pStyle w:val="117"/>
        <w:ind w:firstLine="480"/>
        <w:rPr>
          <w:rFonts w:eastAsia="宋体" w:cs="宋体"/>
        </w:rPr>
      </w:pPr>
      <w:r>
        <w:rPr>
          <w:rFonts w:hint="eastAsia" w:eastAsia="宋体" w:cs="宋体"/>
        </w:rPr>
        <w:t>4.3.2.2 投标人递送投标文件后，无正当理由放弃投标的；</w:t>
      </w:r>
    </w:p>
    <w:p>
      <w:pPr>
        <w:pStyle w:val="117"/>
        <w:ind w:firstLine="480"/>
        <w:rPr>
          <w:rFonts w:eastAsia="宋体" w:cs="宋体"/>
        </w:rPr>
      </w:pPr>
      <w:r>
        <w:rPr>
          <w:rFonts w:hint="eastAsia" w:eastAsia="宋体" w:cs="宋体"/>
        </w:rPr>
        <w:t>4.3.2.3若为视频开标，招标过程中澄清函等资料原件未按要求提交的；</w:t>
      </w:r>
    </w:p>
    <w:p>
      <w:pPr>
        <w:pStyle w:val="117"/>
        <w:ind w:firstLine="480"/>
        <w:rPr>
          <w:rFonts w:eastAsia="宋体" w:cs="宋体"/>
        </w:rPr>
      </w:pPr>
      <w:r>
        <w:rPr>
          <w:rFonts w:hint="eastAsia" w:eastAsia="宋体" w:cs="宋体"/>
        </w:rPr>
        <w:t>4.3.2.4自中标通知书发出之日起30日内，中标人无正当理由不签订合同的；</w:t>
      </w:r>
    </w:p>
    <w:p>
      <w:pPr>
        <w:pStyle w:val="117"/>
        <w:ind w:firstLine="480"/>
        <w:rPr>
          <w:rFonts w:eastAsia="宋体" w:cs="宋体"/>
        </w:rPr>
      </w:pPr>
      <w:r>
        <w:rPr>
          <w:rFonts w:hint="eastAsia" w:eastAsia="宋体" w:cs="宋体"/>
        </w:rPr>
        <w:t>4.3.2.5投标人在投标过程中被查实有串标、围标、陪标等违规违纪行为的；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pPr>
        <w:pStyle w:val="117"/>
        <w:ind w:firstLine="480"/>
        <w:rPr>
          <w:rFonts w:eastAsia="宋体" w:cs="宋体"/>
        </w:rPr>
      </w:pPr>
      <w:r>
        <w:rPr>
          <w:rFonts w:hint="eastAsia" w:eastAsia="宋体" w:cs="宋体"/>
        </w:rPr>
        <w:t>4.4投标报名截止时间</w:t>
      </w:r>
    </w:p>
    <w:p>
      <w:pPr>
        <w:pStyle w:val="117"/>
        <w:ind w:firstLine="480"/>
        <w:rPr>
          <w:rFonts w:eastAsia="宋体" w:cs="宋体"/>
          <w:highlight w:val="yellow"/>
        </w:rPr>
      </w:pPr>
      <w:r>
        <w:rPr>
          <w:rFonts w:hint="eastAsia" w:eastAsia="宋体" w:cs="宋体"/>
          <w:highlight w:val="yellow"/>
        </w:rPr>
        <w:t>报名方式：见《投标须知前附表》2.3。</w:t>
      </w:r>
    </w:p>
    <w:p>
      <w:pPr>
        <w:pStyle w:val="117"/>
        <w:ind w:firstLine="480"/>
        <w:rPr>
          <w:rFonts w:eastAsia="宋体" w:cs="宋体"/>
        </w:rPr>
      </w:pPr>
      <w:r>
        <w:rPr>
          <w:rFonts w:hint="eastAsia" w:eastAsia="宋体" w:cs="宋体"/>
        </w:rPr>
        <w:t>报名提交资料：均为盖章电子扫描版，用“公司名称+文件名称”命名。</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见《投标须知前附表》5.1，若有变动另行通知。</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pPr>
        <w:spacing w:line="360" w:lineRule="auto"/>
        <w:jc w:val="left"/>
        <w:outlineLvl w:val="1"/>
        <w:rPr>
          <w:rFonts w:ascii="宋体" w:hAnsi="宋体" w:eastAsia="宋体" w:cs="宋体"/>
          <w:b/>
          <w:sz w:val="24"/>
          <w:szCs w:val="24"/>
        </w:rPr>
      </w:pPr>
      <w:bookmarkStart w:id="6" w:name="_Toc33285487"/>
      <w:bookmarkStart w:id="7" w:name="_Toc33265752"/>
      <w:bookmarkStart w:id="8" w:name="_Toc33265653"/>
      <w:bookmarkStart w:id="9" w:name="_Toc33266627"/>
      <w:bookmarkStart w:id="10" w:name="_Toc33266950"/>
      <w:bookmarkStart w:id="11" w:name="_Toc33267001"/>
      <w:bookmarkStart w:id="12" w:name="_Toc33266914"/>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1.评标</w:t>
      </w:r>
    </w:p>
    <w:p>
      <w:pPr>
        <w:adjustRightInd w:val="0"/>
        <w:snapToGrid w:val="0"/>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sz w:val="24"/>
          <w:szCs w:val="24"/>
        </w:rPr>
        <w:t>本次招标采用</w:t>
      </w:r>
      <w:bookmarkStart w:id="14" w:name="_Toc33266915"/>
      <w:bookmarkStart w:id="15" w:name="_Toc33285489"/>
      <w:bookmarkStart w:id="16" w:name="_Toc33266628"/>
      <w:bookmarkStart w:id="17" w:name="_Toc395116634"/>
      <w:bookmarkStart w:id="18" w:name="_Toc33265654"/>
      <w:bookmarkStart w:id="19" w:name="_Toc33267002"/>
      <w:bookmarkStart w:id="20" w:name="_Toc33265753"/>
      <w:bookmarkStart w:id="21" w:name="_Toc33266951"/>
      <w:r>
        <w:rPr>
          <w:rFonts w:hint="eastAsia" w:ascii="宋体" w:hAnsi="宋体" w:eastAsia="宋体" w:cs="宋体"/>
          <w:b/>
          <w:bCs/>
          <w:sz w:val="24"/>
          <w:szCs w:val="24"/>
          <w:highlight w:val="yellow"/>
          <w:lang w:val="en-US" w:eastAsia="zh-CN"/>
        </w:rPr>
        <w:t>技术标入围后</w:t>
      </w:r>
      <w:r>
        <w:rPr>
          <w:rFonts w:hint="eastAsia" w:ascii="宋体" w:hAnsi="宋体" w:eastAsia="宋体" w:cs="宋体"/>
          <w:sz w:val="24"/>
          <w:szCs w:val="24"/>
          <w:highlight w:val="yellow"/>
          <w:lang w:val="en-US" w:eastAsia="zh-CN"/>
        </w:rPr>
        <w:t>，</w:t>
      </w:r>
      <w:r>
        <w:rPr>
          <w:rFonts w:hint="eastAsia" w:ascii="宋体" w:hAnsi="宋体" w:eastAsia="宋体" w:cs="宋体"/>
          <w:b/>
          <w:bCs/>
          <w:color w:val="auto"/>
          <w:sz w:val="24"/>
          <w:szCs w:val="24"/>
          <w:highlight w:val="yellow"/>
          <w:lang w:eastAsia="zh-CN"/>
        </w:rPr>
        <w:t>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w:t>
      </w:r>
      <w:r>
        <w:rPr>
          <w:rFonts w:hint="eastAsia" w:ascii="宋体" w:hAnsi="宋体" w:eastAsia="宋体" w:cs="宋体"/>
          <w:b/>
          <w:bCs/>
          <w:color w:val="000000"/>
          <w:sz w:val="24"/>
          <w:szCs w:val="24"/>
          <w:highlight w:val="yellow"/>
        </w:rPr>
        <w:t>在通过技术标评审后入围的前提下，</w:t>
      </w:r>
      <w:r>
        <w:rPr>
          <w:rFonts w:hint="eastAsia" w:ascii="宋体" w:hAnsi="宋体" w:eastAsia="宋体" w:cs="宋体"/>
          <w:b/>
          <w:bCs/>
          <w:color w:val="000000"/>
          <w:sz w:val="24"/>
          <w:szCs w:val="24"/>
          <w:highlight w:val="yellow"/>
          <w:lang w:val="en-US" w:eastAsia="zh-CN"/>
        </w:rPr>
        <w:t>选择合理最低价</w:t>
      </w:r>
      <w:r>
        <w:rPr>
          <w:rFonts w:hint="eastAsia" w:ascii="Calibri" w:hAnsi="宋体" w:eastAsia="宋体" w:cs="Times New Roman"/>
          <w:b/>
          <w:bCs/>
          <w:color w:val="000000"/>
          <w:sz w:val="24"/>
          <w:szCs w:val="24"/>
          <w:highlight w:val="yellow"/>
        </w:rPr>
        <w:t>确定中标人</w:t>
      </w:r>
      <w:r>
        <w:rPr>
          <w:rFonts w:hint="eastAsia" w:ascii="宋体" w:hAnsi="宋体" w:eastAsia="宋体" w:cs="宋体"/>
          <w:b/>
          <w:bCs/>
          <w:color w:val="000000"/>
          <w:sz w:val="24"/>
          <w:szCs w:val="24"/>
          <w:highlight w:val="yellow"/>
        </w:rPr>
        <w:t>，</w:t>
      </w:r>
      <w:r>
        <w:rPr>
          <w:rFonts w:hint="eastAsia" w:ascii="宋体" w:hAnsi="宋体" w:eastAsia="宋体" w:cs="宋体"/>
          <w:b/>
          <w:color w:val="000000"/>
          <w:sz w:val="24"/>
          <w:szCs w:val="24"/>
          <w:highlight w:val="yellow"/>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20"/>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w:t>
      </w:r>
      <w:r>
        <w:rPr>
          <w:rFonts w:hint="eastAsia" w:hAnsi="宋体" w:eastAsia="宋体" w:cs="宋体"/>
          <w:b/>
          <w:color w:val="000000"/>
          <w:sz w:val="24"/>
          <w:szCs w:val="24"/>
          <w:lang w:val="en-US" w:eastAsia="zh-CN"/>
        </w:rPr>
        <w:t>+</w:t>
      </w:r>
      <w:r>
        <w:rPr>
          <w:rFonts w:hint="eastAsia" w:hAnsi="宋体" w:eastAsia="宋体" w:cs="宋体"/>
          <w:b/>
          <w:color w:val="000000"/>
          <w:sz w:val="24"/>
          <w:szCs w:val="24"/>
        </w:rPr>
        <w:t>（开标一览表），共计三个文件。</w:t>
      </w:r>
    </w:p>
    <w:p>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按照第三部分第三条投标文件组成资格证明文件中的1.1-1.1</w:t>
      </w: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8"/>
        </w:numPr>
        <w:spacing w:line="360" w:lineRule="auto"/>
        <w:rPr>
          <w:rFonts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pPr>
        <w:numPr>
          <w:ilvl w:val="0"/>
          <w:numId w:val="8"/>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rPr>
        <w:t>技术标评分标准见附件14；</w:t>
      </w:r>
    </w:p>
    <w:p>
      <w:pPr>
        <w:numPr>
          <w:ilvl w:val="0"/>
          <w:numId w:val="9"/>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pPr>
        <w:numPr>
          <w:ilvl w:val="0"/>
          <w:numId w:val="10"/>
        </w:numPr>
        <w:spacing w:line="360" w:lineRule="auto"/>
        <w:rPr>
          <w:rFonts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eastAsia="宋体" w:cs="宋体"/>
          <w:b/>
          <w:sz w:val="24"/>
          <w:szCs w:val="24"/>
          <w:highlight w:val="yellow"/>
        </w:rPr>
        <w:t>技术标入围后，原则上</w:t>
      </w:r>
      <w:r>
        <w:rPr>
          <w:rFonts w:hint="eastAsia" w:ascii="宋体" w:hAnsi="宋体" w:eastAsia="宋体" w:cs="宋体"/>
          <w:b/>
          <w:bCs/>
          <w:sz w:val="24"/>
          <w:szCs w:val="24"/>
          <w:highlight w:val="yellow"/>
          <w:lang w:eastAsia="zh-CN"/>
        </w:rPr>
        <w:t>合理最低价</w:t>
      </w:r>
      <w:r>
        <w:rPr>
          <w:rFonts w:hint="eastAsia" w:ascii="宋体" w:hAnsi="宋体" w:eastAsia="宋体" w:cs="宋体"/>
          <w:b/>
          <w:bCs/>
          <w:sz w:val="24"/>
          <w:szCs w:val="24"/>
          <w:highlight w:val="yellow"/>
        </w:rPr>
        <w:t>的投标方</w:t>
      </w:r>
      <w:r>
        <w:rPr>
          <w:rFonts w:hint="eastAsia" w:ascii="宋体" w:hAnsi="宋体" w:eastAsia="宋体" w:cs="宋体"/>
          <w:b/>
          <w:sz w:val="24"/>
          <w:szCs w:val="24"/>
          <w:highlight w:val="yellow"/>
        </w:rPr>
        <w:t>中标。</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20"/>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20"/>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20"/>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pPr>
        <w:pStyle w:val="20"/>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（14）投标人报价均超过投标限价的；</w:t>
      </w:r>
    </w:p>
    <w:p>
      <w:pPr>
        <w:spacing w:line="360" w:lineRule="auto"/>
        <w:ind w:right="2" w:firstLine="480" w:firstLineChars="200"/>
      </w:pPr>
      <w:r>
        <w:rPr>
          <w:rFonts w:hint="eastAsia" w:ascii="宋体" w:hAnsi="宋体" w:eastAsia="宋体" w:cs="宋体"/>
          <w:color w:val="000000"/>
          <w:sz w:val="24"/>
          <w:szCs w:val="24"/>
        </w:rPr>
        <w:t>（15）法律、法规规定的其他情况。</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9"/>
      <w:bookmarkStart w:id="24" w:name="OLE_LINK28"/>
      <w:bookmarkStart w:id="25" w:name="OLE_LINK25"/>
      <w:bookmarkStart w:id="26" w:name="OLE_LINK26"/>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20"/>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20"/>
        <w:spacing w:line="360" w:lineRule="auto"/>
        <w:jc w:val="center"/>
        <w:rPr>
          <w:rFonts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20"/>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本项目投标文件为</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w:t>
      </w:r>
      <w:r>
        <w:rPr>
          <w:rFonts w:hint="eastAsia" w:ascii="宋体" w:hAnsi="宋体" w:eastAsia="宋体" w:cs="宋体"/>
          <w:bCs/>
          <w:sz w:val="24"/>
          <w:szCs w:val="24"/>
          <w:lang w:val="en-US" w:eastAsia="zh-CN"/>
        </w:rPr>
        <w:t>3</w:t>
      </w:r>
      <w:r>
        <w:rPr>
          <w:rFonts w:hint="eastAsia" w:ascii="宋体" w:hAnsi="宋体" w:eastAsia="宋体" w:cs="宋体"/>
          <w:bCs/>
          <w:color w:val="000000"/>
          <w:sz w:val="24"/>
          <w:szCs w:val="24"/>
        </w:rPr>
        <w:t>个文件。</w:t>
      </w:r>
    </w:p>
    <w:p>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w:t>
      </w:r>
      <w:r>
        <w:rPr>
          <w:rFonts w:hint="eastAsia" w:ascii="宋体" w:hAnsi="宋体" w:eastAsia="宋体" w:cs="宋体"/>
          <w:bCs/>
          <w:color w:val="000000"/>
          <w:sz w:val="24"/>
          <w:szCs w:val="24"/>
          <w:lang w:val="en-US" w:eastAsia="zh-CN"/>
        </w:rPr>
        <w:t>2</w:t>
      </w:r>
      <w:r>
        <w:rPr>
          <w:rFonts w:hint="eastAsia" w:ascii="宋体" w:hAnsi="宋体" w:eastAsia="宋体" w:cs="宋体"/>
          <w:bCs/>
          <w:color w:val="000000"/>
          <w:sz w:val="24"/>
          <w:szCs w:val="24"/>
        </w:rPr>
        <w:t>，其余未尽事宜请按各单位习惯制定即可。</w:t>
      </w:r>
    </w:p>
    <w:p>
      <w:pPr>
        <w:numPr>
          <w:ilvl w:val="0"/>
          <w:numId w:val="0"/>
        </w:numPr>
        <w:spacing w:line="360" w:lineRule="auto"/>
        <w:ind w:firstLine="482" w:firstLineChars="200"/>
        <w:rPr>
          <w:rFonts w:hint="default" w:ascii="宋体" w:hAnsi="宋体" w:eastAsia="宋体" w:cs="宋体"/>
          <w:b/>
          <w:bCs/>
          <w:color w:val="000000"/>
          <w:kern w:val="2"/>
          <w:sz w:val="24"/>
          <w:szCs w:val="24"/>
          <w:highlight w:val="yellow"/>
          <w:lang w:val="en-US" w:eastAsia="zh-CN" w:bidi="ar-SA"/>
        </w:rPr>
      </w:pPr>
      <w:r>
        <w:rPr>
          <w:rFonts w:hint="eastAsia" w:ascii="宋体" w:hAnsi="宋体" w:eastAsia="宋体" w:cs="宋体"/>
          <w:b/>
          <w:bCs/>
          <w:sz w:val="24"/>
          <w:szCs w:val="24"/>
          <w:lang w:val="en-US" w:eastAsia="zh-CN"/>
        </w:rPr>
        <w:t>1.</w:t>
      </w:r>
      <w:r>
        <w:rPr>
          <w:rFonts w:hint="eastAsia" w:ascii="宋体" w:hAnsi="宋体" w:eastAsia="宋体" w:cs="宋体"/>
          <w:b/>
          <w:bCs/>
          <w:sz w:val="24"/>
          <w:szCs w:val="24"/>
        </w:rPr>
        <w:t>《投标文件（资质标）》包括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highlight w:val="yellow"/>
        </w:rPr>
        <w:t>；</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1.6投标人在国家企业信用信息公示系统中无与本项目有关的行政处罚、经营异常和失信信息的声明；（附投标当日系统内相关截图）</w:t>
      </w:r>
    </w:p>
    <w:p>
      <w:pPr>
        <w:spacing w:line="360" w:lineRule="auto"/>
        <w:ind w:firstLine="480" w:firstLineChars="200"/>
      </w:pPr>
      <w:r>
        <w:rPr>
          <w:rFonts w:hint="eastAsia" w:ascii="宋体" w:hAnsi="宋体" w:eastAsia="宋体" w:cs="宋体"/>
          <w:color w:val="000000"/>
          <w:sz w:val="24"/>
          <w:szCs w:val="24"/>
        </w:rPr>
        <w:t>1.7</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1.8企业信用证明材料（征信中心出具的信用报告）；</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1.9代理商投标要携带生产商的授权书、原厂售后服务承诺书，根据实际情况提供即可，无格式限制</w:t>
      </w:r>
      <w:r>
        <w:rPr>
          <w:rFonts w:hint="eastAsia" w:hAnsi="宋体" w:eastAsia="宋体" w:cs="宋体"/>
          <w:color w:val="000000"/>
          <w:sz w:val="24"/>
          <w:szCs w:val="24"/>
        </w:rPr>
        <w:t>（</w:t>
      </w:r>
      <w:r>
        <w:rPr>
          <w:rFonts w:hint="eastAsia" w:hAnsi="宋体" w:eastAsia="宋体" w:cs="宋体"/>
          <w:b/>
          <w:bCs/>
          <w:color w:val="FF0000"/>
          <w:sz w:val="24"/>
          <w:szCs w:val="24"/>
        </w:rPr>
        <w:t>包括所代理品牌针</w:t>
      </w:r>
      <w:r>
        <w:rPr>
          <w:rFonts w:hint="eastAsia" w:hAnsi="宋体" w:eastAsia="宋体" w:cs="宋体"/>
          <w:b/>
          <w:bCs/>
          <w:color w:val="FF0000"/>
          <w:sz w:val="24"/>
          <w:szCs w:val="24"/>
          <w:lang w:eastAsia="zh-CN"/>
        </w:rPr>
        <w:t>本项目的</w:t>
      </w:r>
      <w:r>
        <w:rPr>
          <w:rFonts w:hint="eastAsia" w:hAnsi="宋体" w:eastAsia="宋体" w:cs="宋体"/>
          <w:b/>
          <w:bCs/>
          <w:color w:val="FF0000"/>
          <w:sz w:val="24"/>
          <w:szCs w:val="24"/>
        </w:rPr>
        <w:t>授权书</w:t>
      </w:r>
      <w:r>
        <w:rPr>
          <w:rFonts w:hint="eastAsia" w:hAnsi="宋体" w:eastAsia="宋体" w:cs="宋体"/>
          <w:color w:val="000000"/>
          <w:sz w:val="24"/>
          <w:szCs w:val="24"/>
        </w:rPr>
        <w:t>）</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1.12 2021年1月1日至今，企业近三年同类项目业绩证明，</w:t>
      </w:r>
      <w:r>
        <w:rPr>
          <w:rFonts w:ascii="宋体" w:hAnsi="宋体" w:eastAsia="宋体" w:cs="宋体"/>
          <w:sz w:val="24"/>
          <w:szCs w:val="24"/>
        </w:rPr>
        <w:t>须提供</w:t>
      </w:r>
      <w:r>
        <w:rPr>
          <w:rFonts w:hint="eastAsia" w:hAnsi="宋体" w:eastAsia="宋体" w:cs="宋体"/>
          <w:b/>
          <w:bCs/>
          <w:color w:val="000000"/>
          <w:kern w:val="0"/>
          <w:sz w:val="24"/>
          <w:szCs w:val="24"/>
        </w:rPr>
        <w:t>用户清单</w:t>
      </w:r>
      <w:r>
        <w:rPr>
          <w:rFonts w:ascii="宋体" w:hAnsi="宋体" w:eastAsia="宋体" w:cs="宋体"/>
          <w:sz w:val="24"/>
          <w:szCs w:val="24"/>
        </w:rPr>
        <w:t>、采购合同</w:t>
      </w:r>
      <w:r>
        <w:rPr>
          <w:rFonts w:hint="eastAsia" w:ascii="宋体" w:hAnsi="宋体" w:eastAsia="宋体" w:cs="宋体"/>
          <w:sz w:val="24"/>
          <w:szCs w:val="24"/>
        </w:rPr>
        <w:t>复印件</w:t>
      </w:r>
      <w:r>
        <w:rPr>
          <w:rFonts w:hint="eastAsia" w:ascii="宋体" w:hAnsi="宋体" w:eastAsia="宋体" w:cs="宋体"/>
          <w:color w:val="000000"/>
          <w:sz w:val="24"/>
          <w:szCs w:val="24"/>
        </w:rPr>
        <w:t>；</w:t>
      </w:r>
    </w:p>
    <w:p>
      <w:pPr>
        <w:spacing w:line="360" w:lineRule="auto"/>
        <w:ind w:firstLine="480" w:firstLineChars="200"/>
        <w:rPr>
          <w:rFonts w:hint="eastAsia" w:eastAsia="宋体"/>
          <w:lang w:eastAsia="zh-CN"/>
        </w:rPr>
      </w:pPr>
      <w:r>
        <w:rPr>
          <w:rFonts w:hint="eastAsia" w:ascii="宋体" w:hAnsi="宋体" w:eastAsia="宋体" w:cs="宋体"/>
          <w:color w:val="000000"/>
          <w:sz w:val="24"/>
          <w:szCs w:val="24"/>
        </w:rPr>
        <w:t>1.13投标保证金缴纳凭证，同时正文描述付款账号、户名、开户行名称、开户行行号、保证金金额</w:t>
      </w:r>
      <w:r>
        <w:rPr>
          <w:rFonts w:hint="eastAsia" w:ascii="宋体" w:hAnsi="宋体" w:eastAsia="宋体" w:cs="宋体"/>
          <w:color w:val="000000"/>
          <w:sz w:val="24"/>
          <w:szCs w:val="24"/>
          <w:lang w:eastAsia="zh-CN"/>
        </w:rPr>
        <w:t>。</w:t>
      </w:r>
    </w:p>
    <w:p>
      <w:pPr>
        <w:spacing w:line="360" w:lineRule="auto"/>
        <w:ind w:firstLine="482" w:firstLineChars="200"/>
        <w:rPr>
          <w:rFonts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Ansi="宋体" w:eastAsia="宋体" w:cs="宋体"/>
          <w:b/>
          <w:color w:val="000000"/>
          <w:sz w:val="24"/>
          <w:szCs w:val="24"/>
        </w:rPr>
      </w:pPr>
      <w:r>
        <w:rPr>
          <w:rFonts w:hint="eastAsia" w:ascii="宋体" w:hAnsi="宋体" w:eastAsia="宋体" w:cs="宋体"/>
          <w:bCs/>
          <w:color w:val="000000"/>
          <w:sz w:val="24"/>
          <w:szCs w:val="24"/>
        </w:rPr>
        <w:t>2.2</w:t>
      </w:r>
      <w:r>
        <w:rPr>
          <w:rFonts w:hint="eastAsia" w:hAnsi="宋体" w:eastAsia="宋体" w:cs="宋体"/>
          <w:color w:val="000000"/>
          <w:sz w:val="24"/>
          <w:szCs w:val="24"/>
        </w:rPr>
        <w:t>设备分项配置表（附件5-2），列明项目设备分项配置规格型号、品牌等信息（要求分项明细与附表9-1完全对应），但</w:t>
      </w:r>
      <w:r>
        <w:rPr>
          <w:rFonts w:hint="eastAsia" w:ascii="宋体" w:hAnsi="宋体" w:eastAsia="宋体" w:cs="宋体"/>
          <w:b/>
          <w:color w:val="000000"/>
          <w:sz w:val="24"/>
          <w:szCs w:val="24"/>
        </w:rPr>
        <w:t>注意：</w:t>
      </w:r>
      <w:r>
        <w:rPr>
          <w:rFonts w:hint="eastAsia" w:hAnsi="宋体" w:eastAsia="宋体" w:cs="宋体"/>
          <w:b/>
          <w:color w:val="000000"/>
          <w:sz w:val="24"/>
          <w:szCs w:val="24"/>
        </w:rPr>
        <w:t>此表在技术标书中，禁止出现任何分项价格及项目总价；</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2.3提供2021年1月1日以来同类产品的制造销售业绩（用户名单、联系方式），并附合同复印件。该同类项目业绩一览表必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2.4供货期及保证措施；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2.6交货进度及计划；</w:t>
      </w:r>
    </w:p>
    <w:p>
      <w:pPr>
        <w:spacing w:line="360" w:lineRule="auto"/>
        <w:ind w:firstLine="480" w:firstLineChars="200"/>
        <w:rPr>
          <w:rFonts w:ascii="宋体" w:hAnsi="宋体" w:eastAsia="宋体" w:cs="宋体"/>
          <w:color w:val="000000"/>
          <w:sz w:val="24"/>
          <w:szCs w:val="24"/>
        </w:rPr>
      </w:pPr>
      <w:bookmarkStart w:id="29" w:name="_Toc536542319"/>
      <w:r>
        <w:rPr>
          <w:rFonts w:hint="eastAsia" w:ascii="宋体" w:hAnsi="宋体" w:eastAsia="宋体" w:cs="宋体"/>
          <w:color w:val="000000"/>
          <w:sz w:val="24"/>
          <w:szCs w:val="24"/>
        </w:rPr>
        <w:t>2.7投标产品技术支持材料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2.8设备质量承诺函（附件7）；</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pPr>
        <w:pStyle w:val="20"/>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pPr>
        <w:pStyle w:val="20"/>
      </w:pPr>
    </w:p>
    <w:p>
      <w:pPr>
        <w:pStyle w:val="20"/>
      </w:pPr>
    </w:p>
    <w:p>
      <w:pPr>
        <w:pStyle w:val="20"/>
      </w:pPr>
    </w:p>
    <w:p>
      <w:pPr>
        <w:pStyle w:val="20"/>
      </w:pPr>
    </w:p>
    <w:p>
      <w:pPr>
        <w:jc w:val="center"/>
        <w:rPr>
          <w:rFonts w:hint="default" w:ascii="Calibri" w:hAnsi="宋体" w:eastAsia="宋体" w:cs="Times New Roman"/>
          <w:b/>
          <w:bCs/>
          <w:color w:val="000000"/>
          <w:spacing w:val="-8"/>
          <w:sz w:val="48"/>
          <w:szCs w:val="44"/>
          <w:highlight w:val="none"/>
          <w:lang w:val="en-US" w:eastAsia="zh-CN"/>
        </w:rPr>
      </w:pPr>
      <w:r>
        <w:rPr>
          <w:rFonts w:hint="eastAsia" w:ascii="Calibri" w:hAnsi="宋体" w:eastAsia="宋体" w:cs="Times New Roman"/>
          <w:b/>
          <w:bCs/>
          <w:color w:val="000000"/>
          <w:spacing w:val="-8"/>
          <w:sz w:val="48"/>
          <w:szCs w:val="44"/>
          <w:highlight w:val="none"/>
          <w:lang w:val="en-US" w:eastAsia="zh-CN"/>
        </w:rPr>
        <w:t>中国重汽集团</w:t>
      </w:r>
      <w:r>
        <w:rPr>
          <w:rFonts w:hint="eastAsia" w:ascii="Calibri" w:hAnsi="宋体" w:eastAsia="宋体" w:cs="Times New Roman"/>
          <w:b/>
          <w:bCs/>
          <w:color w:val="000000"/>
          <w:spacing w:val="-8"/>
          <w:sz w:val="48"/>
          <w:szCs w:val="44"/>
          <w:highlight w:val="none"/>
          <w:lang w:eastAsia="zh-CN"/>
        </w:rPr>
        <w:t>济南商用车</w:t>
      </w:r>
      <w:r>
        <w:rPr>
          <w:rFonts w:hint="eastAsia" w:ascii="Calibri" w:hAnsi="宋体" w:eastAsia="宋体" w:cs="Times New Roman"/>
          <w:b/>
          <w:bCs/>
          <w:color w:val="000000"/>
          <w:spacing w:val="-8"/>
          <w:sz w:val="48"/>
          <w:szCs w:val="44"/>
          <w:highlight w:val="none"/>
          <w:lang w:val="en-US" w:eastAsia="zh-CN"/>
        </w:rPr>
        <w:t>制造公司</w:t>
      </w:r>
    </w:p>
    <w:p>
      <w:pPr>
        <w:jc w:val="center"/>
        <w:rPr>
          <w:rFonts w:hint="default" w:ascii="Calibri" w:hAnsi="宋体" w:eastAsia="宋体" w:cs="Times New Roman"/>
          <w:b/>
          <w:bCs/>
          <w:color w:val="000000"/>
          <w:spacing w:val="-8"/>
          <w:sz w:val="48"/>
          <w:szCs w:val="44"/>
          <w:highlight w:val="none"/>
          <w:lang w:val="en-US" w:eastAsia="zh-CN"/>
        </w:rPr>
      </w:pPr>
      <w:r>
        <w:rPr>
          <w:rFonts w:hint="eastAsia" w:ascii="Calibri" w:hAnsi="宋体" w:eastAsia="宋体" w:cs="Times New Roman"/>
          <w:b/>
          <w:bCs/>
          <w:color w:val="000000"/>
          <w:spacing w:val="-8"/>
          <w:sz w:val="48"/>
          <w:szCs w:val="44"/>
          <w:highlight w:val="none"/>
          <w:lang w:val="en-US" w:eastAsia="zh-CN"/>
        </w:rPr>
        <w:t>新建顶导流罩分装线项目</w:t>
      </w:r>
    </w:p>
    <w:p>
      <w:pPr>
        <w:jc w:val="center"/>
        <w:rPr>
          <w:rFonts w:hint="eastAsia" w:ascii="Calibri" w:hAnsi="宋体" w:eastAsia="宋体" w:cs="Times New Roman"/>
          <w:b/>
          <w:bCs/>
          <w:color w:val="000000"/>
          <w:spacing w:val="-8"/>
          <w:sz w:val="48"/>
          <w:szCs w:val="44"/>
          <w:highlight w:val="none"/>
          <w:lang w:val="en-US" w:eastAsia="zh-CN"/>
        </w:rPr>
      </w:pPr>
    </w:p>
    <w:p>
      <w:pPr>
        <w:spacing w:line="480" w:lineRule="exact"/>
        <w:jc w:val="left"/>
        <w:rPr>
          <w:rFonts w:ascii="仿宋" w:hAnsi="仿宋" w:eastAsia="仿宋" w:cs="仿宋"/>
          <w:sz w:val="32"/>
          <w:szCs w:val="32"/>
          <w:u w:val="single"/>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p>
    <w:p>
      <w:pPr>
        <w:spacing w:line="860" w:lineRule="exact"/>
        <w:ind w:firstLine="2570" w:firstLineChars="800"/>
        <w:rPr>
          <w:rFonts w:hint="eastAsia" w:ascii="华文仿宋" w:hAnsi="华文仿宋" w:eastAsia="华文仿宋"/>
          <w:b/>
          <w:bCs/>
          <w:sz w:val="32"/>
          <w:szCs w:val="28"/>
        </w:rPr>
      </w:pP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0"/>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p>
    <w:p>
      <w:pPr>
        <w:jc w:val="center"/>
        <w:rPr>
          <w:rFonts w:hint="eastAsia" w:ascii="宋体" w:hAnsi="宋体" w:eastAsia="宋体" w:cs="Times New Roman"/>
          <w:color w:val="000000"/>
          <w:sz w:val="28"/>
          <w:szCs w:val="28"/>
          <w:lang w:val="en-US" w:eastAsia="zh-CN"/>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11月</w:t>
      </w:r>
    </w:p>
    <w:p>
      <w:pPr>
        <w:jc w:val="center"/>
        <w:rPr>
          <w:rFonts w:hint="eastAsia" w:ascii="宋体" w:hAnsi="宋体" w:eastAsia="宋体" w:cs="Times New Roman"/>
          <w:color w:val="000000"/>
          <w:sz w:val="28"/>
          <w:szCs w:val="28"/>
          <w:lang w:val="en-US" w:eastAsia="zh-CN"/>
        </w:rPr>
      </w:pPr>
    </w:p>
    <w:p>
      <w:pPr>
        <w:jc w:val="center"/>
        <w:rPr>
          <w:rFonts w:hint="eastAsia" w:ascii="宋体" w:hAnsi="宋体" w:eastAsia="宋体" w:cs="Times New Roman"/>
          <w:color w:val="000000"/>
          <w:sz w:val="28"/>
          <w:szCs w:val="28"/>
          <w:lang w:val="en-US" w:eastAsia="zh-CN"/>
        </w:rPr>
      </w:pPr>
    </w:p>
    <w:p>
      <w:pPr>
        <w:jc w:val="center"/>
        <w:rPr>
          <w:rFonts w:hint="eastAsia" w:ascii="宋体" w:hAnsi="宋体" w:eastAsia="宋体" w:cs="Times New Roman"/>
          <w:color w:val="000000"/>
          <w:sz w:val="28"/>
          <w:szCs w:val="28"/>
          <w:lang w:val="en-US" w:eastAsia="zh-CN"/>
        </w:rPr>
      </w:pPr>
    </w:p>
    <w:p>
      <w:pPr>
        <w:pStyle w:val="2"/>
        <w:keepNext/>
        <w:keepLines/>
        <w:pageBreakBefore w:val="0"/>
        <w:widowControl w:val="0"/>
        <w:kinsoku/>
        <w:wordWrap/>
        <w:overflowPunct/>
        <w:topLinePunct w:val="0"/>
        <w:autoSpaceDE/>
        <w:autoSpaceDN/>
        <w:bidi w:val="0"/>
        <w:adjustRightInd/>
        <w:snapToGrid/>
        <w:spacing w:line="360" w:lineRule="auto"/>
        <w:jc w:val="center"/>
        <w:textAlignment w:val="auto"/>
        <w:rPr>
          <w:rStyle w:val="140"/>
          <w:rFonts w:hint="eastAsia" w:ascii="宋体" w:hAnsi="宋体" w:eastAsia="宋体" w:cs="宋体"/>
          <w:b/>
          <w:bCs w:val="0"/>
          <w:highlight w:val="none"/>
        </w:rPr>
      </w:pPr>
      <w:bookmarkStart w:id="33" w:name="_Toc178067741"/>
      <w:bookmarkStart w:id="34" w:name="_Hlk178062560"/>
      <w:r>
        <w:rPr>
          <w:rStyle w:val="140"/>
          <w:rFonts w:hint="eastAsia" w:ascii="宋体" w:hAnsi="宋体" w:eastAsia="宋体" w:cs="宋体"/>
          <w:b/>
          <w:bCs w:val="0"/>
          <w:highlight w:val="none"/>
        </w:rPr>
        <w:t>一、</w:t>
      </w:r>
      <w:bookmarkEnd w:id="33"/>
      <w:r>
        <w:rPr>
          <w:rStyle w:val="140"/>
          <w:rFonts w:hint="eastAsia" w:ascii="宋体" w:hAnsi="宋体" w:eastAsia="宋体" w:cs="宋体"/>
          <w:b/>
          <w:bCs w:val="0"/>
          <w:highlight w:val="none"/>
        </w:rPr>
        <w:t>项目概况</w:t>
      </w:r>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35" w:name="_Toc1842"/>
      <w:bookmarkStart w:id="36" w:name="_Toc178067742"/>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在</w:t>
      </w:r>
      <w:r>
        <w:rPr>
          <w:rFonts w:hint="eastAsia" w:ascii="宋体" w:hAnsi="宋体" w:eastAsia="宋体" w:cs="宋体"/>
          <w:color w:val="FF0000"/>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调试</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车间现有的</w:t>
      </w:r>
      <w:r>
        <w:rPr>
          <w:rFonts w:hint="eastAsia" w:ascii="宋体" w:hAnsi="宋体" w:eastAsia="宋体" w:cs="宋体"/>
          <w:color w:val="FF0000"/>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顶导流罩</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分装工位范围内，建设</w:t>
      </w:r>
      <w:r>
        <w:rPr>
          <w:rFonts w:hint="eastAsia" w:ascii="宋体" w:hAnsi="宋体" w:eastAsia="宋体" w:cs="宋体"/>
          <w:color w:val="FF0000"/>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两</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条地上板式输送链，替代当前的</w:t>
      </w:r>
      <w:r>
        <w:rPr>
          <w:rFonts w:hint="eastAsia" w:ascii="宋体" w:hAnsi="宋体" w:eastAsia="宋体" w:cs="宋体"/>
          <w:color w:val="FF0000"/>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手推小车</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。包含机械框架、轨道及输送链板、驱动和涨紧机构、电气控制系统等。本项目为交钥匙工程，投标方负责全部设备、设施采购、制造、安装调试，直至实现本协议要求的全部功能。</w:t>
      </w:r>
    </w:p>
    <w:p>
      <w:pPr>
        <w:pStyle w:val="141"/>
        <w:keepNext w:val="0"/>
        <w:keepLines w:val="0"/>
        <w:pageBreakBefore w:val="0"/>
        <w:widowControl w:val="0"/>
        <w:kinsoku/>
        <w:wordWrap/>
        <w:overflowPunct/>
        <w:topLinePunct w:val="0"/>
        <w:autoSpaceDE/>
        <w:autoSpaceDN/>
        <w:bidi w:val="0"/>
        <w:adjustRightInd/>
        <w:snapToGrid/>
        <w:ind w:firstLine="480"/>
        <w:textAlignment w:val="auto"/>
        <w:rPr>
          <w:rStyle w:val="140"/>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整条分装线用型材加工做承重骨架，全部采用地上结构，地脚螺栓固定，不做设备基础。花纹板折弯后做承重链板，两端固定在链条上。</w:t>
      </w:r>
      <w:r>
        <w:rPr>
          <w:rFonts w:hint="eastAsia" w:ascii="宋体" w:hAnsi="宋体" w:eastAsia="宋体" w:cs="宋体"/>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在板式链上</w:t>
      </w:r>
      <w:r>
        <w:rPr>
          <w:rFonts w:hint="eastAsia" w:ascii="宋体" w:hAnsi="宋体" w:eastAsia="宋体" w:cs="宋体"/>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划分6个工位</w:t>
      </w:r>
      <w:r>
        <w:rPr>
          <w:rFonts w:hint="eastAsia" w:ascii="宋体" w:hAnsi="宋体" w:eastAsia="宋体" w:cs="宋体"/>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，用于</w:t>
      </w:r>
      <w:r>
        <w:rPr>
          <w:rFonts w:hint="eastAsia" w:ascii="宋体" w:hAnsi="宋体" w:eastAsia="宋体" w:cs="宋体"/>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放置导流罩</w:t>
      </w:r>
      <w:r>
        <w:rPr>
          <w:rFonts w:hint="eastAsia" w:ascii="宋体" w:hAnsi="宋体" w:eastAsia="宋体" w:cs="宋体"/>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总成。</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分装线骨架的侧面、链板与骨架缝隙处，均加装护板，防止操作工发生机械夹伤。</w:t>
      </w:r>
      <w:r>
        <w:rPr>
          <w:rFonts w:hint="eastAsia" w:ascii="宋体" w:hAnsi="宋体" w:eastAsia="宋体" w:cs="宋体"/>
          <w:highlight w:val="none"/>
          <w:lang w:val="en-US" w:eastAsia="zh-CN"/>
        </w:rPr>
        <w:t>分装线和导流罩接触面与可能造成导流罩磕碰划伤部分应使用软质材料包裹，防止磕碰划伤。每条板链均</w:t>
      </w:r>
      <w:r>
        <w:rPr>
          <w:rFonts w:hint="eastAsia" w:ascii="宋体" w:hAnsi="宋体" w:eastAsia="宋体" w:cs="宋体"/>
          <w:color w:val="FF0000"/>
          <w:highlight w:val="no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设置6个工位，每个工位安装1个启停按钮，作为输送线的启停信号。控制柜优先选择安装在分装线的线首或线尾，减少占地面积。减速电机选用一级能效。</w:t>
      </w:r>
    </w:p>
    <w:p>
      <w:pPr>
        <w:spacing w:line="360" w:lineRule="auto"/>
        <w:jc w:val="center"/>
        <w:rPr>
          <w:rStyle w:val="140"/>
          <w:rFonts w:hint="eastAsia" w:ascii="宋体" w:hAnsi="宋体" w:eastAsia="宋体" w:cs="宋体"/>
          <w:highlight w:val="none"/>
        </w:rPr>
      </w:pPr>
      <w:r>
        <w:rPr>
          <w:rStyle w:val="140"/>
          <w:rFonts w:hint="eastAsia" w:ascii="宋体" w:hAnsi="宋体" w:eastAsia="宋体" w:cs="宋体"/>
          <w:highlight w:val="none"/>
        </w:rPr>
        <w:t>二、使用环境</w:t>
      </w:r>
      <w:bookmarkEnd w:id="35"/>
      <w:bookmarkEnd w:id="36"/>
    </w:p>
    <w:p>
      <w:pPr>
        <w:pStyle w:val="141"/>
        <w:ind w:firstLine="480"/>
        <w:rPr>
          <w:rFonts w:hint="eastAsia" w:ascii="宋体" w:hAnsi="宋体" w:eastAsia="宋体" w:cs="宋体"/>
          <w:highlight w:val="none"/>
        </w:rPr>
      </w:pPr>
      <w:r>
        <w:rPr>
          <w:rFonts w:hint="eastAsia" w:ascii="宋体" w:hAnsi="宋体" w:eastAsia="宋体" w:cs="宋体"/>
          <w:highlight w:val="none"/>
        </w:rPr>
        <w:t>1.产能：双班10万辆/年</w:t>
      </w:r>
    </w:p>
    <w:p>
      <w:pPr>
        <w:pStyle w:val="141"/>
        <w:ind w:firstLine="480"/>
        <w:rPr>
          <w:rFonts w:hint="eastAsia" w:ascii="宋体" w:hAnsi="宋体" w:eastAsia="宋体" w:cs="宋体"/>
          <w:highlight w:val="none"/>
          <w:u w:val="single"/>
          <w:lang w:bidi="ar"/>
        </w:rPr>
      </w:pPr>
      <w:r>
        <w:rPr>
          <w:rFonts w:hint="eastAsia" w:ascii="宋体" w:hAnsi="宋体" w:eastAsia="宋体" w:cs="宋体"/>
          <w:highlight w:val="none"/>
        </w:rPr>
        <w:t>2.工作地点：济南商用车制造公司（章丘重汽工业园）</w:t>
      </w:r>
    </w:p>
    <w:p>
      <w:pPr>
        <w:pStyle w:val="141"/>
        <w:ind w:firstLine="480"/>
        <w:rPr>
          <w:rFonts w:hint="eastAsia" w:ascii="宋体" w:hAnsi="宋体" w:eastAsia="宋体" w:cs="宋体"/>
          <w:highlight w:val="none"/>
        </w:rPr>
      </w:pPr>
      <w:r>
        <w:rPr>
          <w:rFonts w:hint="eastAsia" w:ascii="宋体" w:hAnsi="宋体" w:eastAsia="宋体" w:cs="宋体"/>
          <w:highlight w:val="none"/>
        </w:rPr>
        <w:t>3.工作制度：全年工作345天，双班22小时/天</w:t>
      </w:r>
    </w:p>
    <w:p>
      <w:pPr>
        <w:pStyle w:val="141"/>
        <w:ind w:firstLine="480"/>
        <w:rPr>
          <w:rFonts w:hint="eastAsia" w:ascii="宋体" w:hAnsi="宋体" w:eastAsia="宋体" w:cs="宋体"/>
          <w:highlight w:val="none"/>
        </w:rPr>
      </w:pPr>
      <w:r>
        <w:rPr>
          <w:rFonts w:hint="eastAsia" w:ascii="宋体" w:hAnsi="宋体" w:eastAsia="宋体" w:cs="宋体"/>
          <w:highlight w:val="none"/>
        </w:rPr>
        <w:t>4.年时基数：设备年时基数7600小时</w:t>
      </w:r>
    </w:p>
    <w:p>
      <w:pPr>
        <w:pStyle w:val="141"/>
        <w:ind w:firstLine="480"/>
        <w:rPr>
          <w:rFonts w:hint="eastAsia" w:ascii="宋体" w:hAnsi="宋体" w:eastAsia="宋体" w:cs="宋体"/>
          <w:highlight w:val="none"/>
        </w:rPr>
      </w:pPr>
      <w:r>
        <w:rPr>
          <w:rFonts w:hint="eastAsia" w:ascii="宋体" w:hAnsi="宋体" w:eastAsia="宋体" w:cs="宋体"/>
          <w:highlight w:val="none"/>
        </w:rPr>
        <w:t>5.使用年限：≥10年</w:t>
      </w:r>
    </w:p>
    <w:p>
      <w:pPr>
        <w:pStyle w:val="141"/>
        <w:ind w:firstLine="480"/>
        <w:rPr>
          <w:rFonts w:hint="eastAsia" w:ascii="宋体" w:hAnsi="宋体" w:eastAsia="宋体" w:cs="宋体"/>
          <w:highlight w:val="none"/>
        </w:rPr>
      </w:pPr>
      <w:r>
        <w:rPr>
          <w:rFonts w:hint="eastAsia" w:ascii="宋体" w:hAnsi="宋体" w:eastAsia="宋体" w:cs="宋体"/>
          <w:highlight w:val="none"/>
        </w:rPr>
        <w:t>6.使用地点区域自然环境：</w:t>
      </w:r>
    </w:p>
    <w:p>
      <w:pPr>
        <w:pStyle w:val="141"/>
        <w:ind w:firstLine="480"/>
        <w:rPr>
          <w:rFonts w:hint="eastAsia" w:ascii="宋体" w:hAnsi="宋体" w:eastAsia="宋体" w:cs="宋体"/>
          <w:highlight w:val="none"/>
        </w:rPr>
      </w:pPr>
      <w:r>
        <w:rPr>
          <w:rFonts w:hint="eastAsia" w:ascii="宋体" w:hAnsi="宋体" w:eastAsia="宋体" w:cs="宋体"/>
          <w:highlight w:val="none"/>
        </w:rPr>
        <w:t>6.1.海拔高度：4000m以下</w:t>
      </w:r>
    </w:p>
    <w:p>
      <w:pPr>
        <w:pStyle w:val="141"/>
        <w:ind w:firstLine="480"/>
        <w:rPr>
          <w:rFonts w:hint="eastAsia" w:ascii="宋体" w:hAnsi="宋体" w:eastAsia="宋体" w:cs="宋体"/>
          <w:highlight w:val="none"/>
        </w:rPr>
      </w:pPr>
      <w:r>
        <w:rPr>
          <w:rFonts w:hint="eastAsia" w:ascii="宋体" w:hAnsi="宋体" w:eastAsia="宋体" w:cs="宋体"/>
          <w:highlight w:val="none"/>
        </w:rPr>
        <w:t>6.2.室外温度：-20℃～45℃，昼夜最大温差25℃</w:t>
      </w:r>
    </w:p>
    <w:p>
      <w:pPr>
        <w:pStyle w:val="141"/>
        <w:ind w:firstLine="480"/>
        <w:rPr>
          <w:rFonts w:hint="eastAsia" w:ascii="宋体" w:hAnsi="宋体" w:eastAsia="宋体" w:cs="宋体"/>
          <w:highlight w:val="none"/>
        </w:rPr>
      </w:pPr>
      <w:r>
        <w:rPr>
          <w:rFonts w:hint="eastAsia" w:ascii="宋体" w:hAnsi="宋体" w:eastAsia="宋体" w:cs="宋体"/>
          <w:highlight w:val="none"/>
        </w:rPr>
        <w:t>6.3.室内温度：-10℃～45℃</w:t>
      </w:r>
      <w:r>
        <w:rPr>
          <w:rFonts w:hint="eastAsia" w:ascii="宋体" w:hAnsi="宋体" w:eastAsia="宋体" w:cs="宋体"/>
          <w:highlight w:val="none"/>
        </w:rPr>
        <w:tab/>
      </w:r>
    </w:p>
    <w:p>
      <w:pPr>
        <w:pStyle w:val="141"/>
        <w:ind w:firstLine="480"/>
        <w:rPr>
          <w:rFonts w:hint="eastAsia" w:ascii="宋体" w:hAnsi="宋体" w:eastAsia="宋体" w:cs="宋体"/>
          <w:highlight w:val="none"/>
        </w:rPr>
      </w:pPr>
      <w:r>
        <w:rPr>
          <w:rFonts w:hint="eastAsia" w:ascii="宋体" w:hAnsi="宋体" w:eastAsia="宋体" w:cs="宋体"/>
          <w:highlight w:val="none"/>
        </w:rPr>
        <w:t>6.4.环境湿度：年平均59%，最大95%、最小15%</w:t>
      </w:r>
    </w:p>
    <w:p>
      <w:pPr>
        <w:pStyle w:val="141"/>
        <w:ind w:firstLine="480"/>
        <w:rPr>
          <w:rFonts w:hint="eastAsia" w:ascii="宋体" w:hAnsi="宋体" w:eastAsia="宋体" w:cs="宋体"/>
          <w:highlight w:val="none"/>
        </w:rPr>
      </w:pPr>
      <w:r>
        <w:rPr>
          <w:rFonts w:hint="eastAsia" w:ascii="宋体" w:hAnsi="宋体" w:eastAsia="宋体" w:cs="宋体"/>
          <w:highlight w:val="none"/>
        </w:rPr>
        <w:t>7.压缩空气压力：厂区空压机自产压缩空气，0.55～0.7 Mpa</w:t>
      </w:r>
    </w:p>
    <w:p>
      <w:pPr>
        <w:pStyle w:val="141"/>
        <w:ind w:firstLine="480"/>
        <w:rPr>
          <w:rFonts w:hint="eastAsia" w:ascii="宋体" w:hAnsi="宋体" w:eastAsia="宋体" w:cs="宋体"/>
          <w:highlight w:val="none"/>
        </w:rPr>
      </w:pPr>
      <w:r>
        <w:rPr>
          <w:rFonts w:hint="eastAsia" w:ascii="宋体" w:hAnsi="宋体" w:eastAsia="宋体" w:cs="宋体"/>
          <w:highlight w:val="none"/>
        </w:rPr>
        <w:t>8.电源电压：三相五线制，符合中国制式，供电电压：AC380V±10%</w:t>
      </w:r>
    </w:p>
    <w:p>
      <w:pPr>
        <w:pStyle w:val="141"/>
        <w:ind w:firstLine="480"/>
        <w:rPr>
          <w:rFonts w:hint="eastAsia" w:ascii="宋体" w:hAnsi="宋体" w:eastAsia="宋体" w:cs="宋体"/>
          <w:highlight w:val="none"/>
        </w:rPr>
      </w:pPr>
      <w:r>
        <w:rPr>
          <w:rFonts w:hint="eastAsia" w:ascii="宋体" w:hAnsi="宋体" w:eastAsia="宋体" w:cs="宋体"/>
          <w:highlight w:val="none"/>
        </w:rPr>
        <w:t>供电频率：50Hz±0.5Hz，单相电：AC220V±10%，供电频率：50Hz±0.5Hz</w:t>
      </w:r>
    </w:p>
    <w:p>
      <w:pPr>
        <w:pStyle w:val="2"/>
        <w:keepNext/>
        <w:keepLines/>
        <w:pageBreakBefore w:val="0"/>
        <w:widowControl w:val="0"/>
        <w:kinsoku/>
        <w:wordWrap/>
        <w:overflowPunct/>
        <w:topLinePunct w:val="0"/>
        <w:autoSpaceDE/>
        <w:autoSpaceDN/>
        <w:bidi w:val="0"/>
        <w:adjustRightInd/>
        <w:snapToGrid/>
        <w:spacing w:line="360" w:lineRule="auto"/>
        <w:jc w:val="center"/>
        <w:textAlignment w:val="auto"/>
        <w:rPr>
          <w:rStyle w:val="140"/>
          <w:rFonts w:hint="eastAsia" w:ascii="宋体" w:hAnsi="宋体" w:eastAsia="宋体" w:cs="宋体"/>
          <w:b/>
          <w:bCs w:val="0"/>
          <w:highlight w:val="none"/>
        </w:rPr>
      </w:pPr>
      <w:bookmarkStart w:id="37" w:name="_Toc178067743"/>
      <w:r>
        <w:rPr>
          <w:rStyle w:val="140"/>
          <w:rFonts w:hint="eastAsia" w:ascii="宋体" w:hAnsi="宋体" w:eastAsia="宋体" w:cs="宋体"/>
          <w:b/>
          <w:bCs w:val="0"/>
          <w:highlight w:val="none"/>
        </w:rPr>
        <w:t>三、涉及</w:t>
      </w:r>
      <w:bookmarkEnd w:id="37"/>
      <w:r>
        <w:rPr>
          <w:rStyle w:val="140"/>
          <w:rFonts w:hint="eastAsia" w:ascii="宋体" w:hAnsi="宋体" w:eastAsia="宋体" w:cs="宋体"/>
          <w:b/>
          <w:bCs w:val="0"/>
          <w:highlight w:val="none"/>
        </w:rPr>
        <w:t>产品</w:t>
      </w:r>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sz w:val="24"/>
          <w:szCs w:val="24"/>
          <w:highlight w:val="none"/>
          <w:lang w:val="en-US" w:eastAsia="zh-CN"/>
        </w:rPr>
      </w:pPr>
      <w:bookmarkStart w:id="38" w:name="_Hlk171344980"/>
      <w:r>
        <w:rPr>
          <w:rFonts w:hint="eastAsia" w:ascii="宋体" w:hAnsi="宋体" w:eastAsia="宋体" w:cs="宋体"/>
          <w:highlight w:val="none"/>
          <w:lang w:val="en-US" w:eastAsia="zh-CN"/>
        </w:rPr>
        <w:t>两条顶导流分装线均匀划分6个工位，输送的</w:t>
      </w:r>
      <w:r>
        <w:rPr>
          <w:rFonts w:hint="eastAsia" w:ascii="宋体" w:hAnsi="宋体" w:eastAsia="宋体" w:cs="宋体"/>
          <w:highlight w:val="none"/>
        </w:rPr>
        <w:t>产品件</w:t>
      </w:r>
      <w:bookmarkEnd w:id="38"/>
      <w:r>
        <w:rPr>
          <w:rFonts w:hint="eastAsia" w:ascii="宋体" w:hAnsi="宋体" w:eastAsia="宋体" w:cs="宋体"/>
          <w:highlight w:val="none"/>
          <w:lang w:val="en-US" w:eastAsia="zh-CN"/>
        </w:rPr>
        <w:t>为济南商用车制造公司所有的顶导流罩与翼导流罩。</w:t>
      </w:r>
    </w:p>
    <w:p>
      <w:pPr>
        <w:pStyle w:val="2"/>
        <w:keepNext/>
        <w:keepLines/>
        <w:pageBreakBefore w:val="0"/>
        <w:widowControl w:val="0"/>
        <w:kinsoku/>
        <w:wordWrap/>
        <w:overflowPunct/>
        <w:topLinePunct w:val="0"/>
        <w:autoSpaceDE/>
        <w:autoSpaceDN/>
        <w:bidi w:val="0"/>
        <w:adjustRightInd/>
        <w:snapToGrid/>
        <w:spacing w:line="360" w:lineRule="auto"/>
        <w:jc w:val="center"/>
        <w:textAlignment w:val="auto"/>
        <w:rPr>
          <w:rStyle w:val="140"/>
          <w:rFonts w:hint="eastAsia" w:ascii="宋体" w:hAnsi="宋体" w:eastAsia="宋体" w:cs="宋体"/>
          <w:b/>
          <w:bCs w:val="0"/>
          <w:highlight w:val="none"/>
        </w:rPr>
      </w:pPr>
      <w:bookmarkStart w:id="39" w:name="_Toc178067744"/>
      <w:bookmarkStart w:id="40" w:name="_Toc30056"/>
      <w:r>
        <w:rPr>
          <w:rStyle w:val="140"/>
          <w:rFonts w:hint="eastAsia" w:ascii="宋体" w:hAnsi="宋体" w:eastAsia="宋体" w:cs="宋体"/>
          <w:b/>
          <w:bCs w:val="0"/>
          <w:highlight w:val="none"/>
        </w:rPr>
        <w:t>四、供货范围</w:t>
      </w:r>
      <w:bookmarkEnd w:id="39"/>
      <w:bookmarkEnd w:id="40"/>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highlight w:val="none"/>
        </w:rPr>
      </w:pPr>
      <w:r>
        <w:rPr>
          <w:rFonts w:hint="eastAsia" w:ascii="宋体" w:hAnsi="宋体" w:eastAsia="宋体" w:cs="宋体"/>
          <w:highlight w:val="none"/>
        </w:rPr>
        <w:t>本项目包含</w:t>
      </w:r>
      <w:r>
        <w:rPr>
          <w:rFonts w:hint="eastAsia" w:ascii="宋体" w:hAnsi="宋体" w:eastAsia="宋体" w:cs="宋体"/>
          <w:highlight w:val="none"/>
          <w:lang w:val="en-US" w:eastAsia="zh-CN"/>
        </w:rPr>
        <w:t>顶导流罩</w:t>
      </w:r>
      <w:r>
        <w:rPr>
          <w:rFonts w:hint="eastAsia" w:ascii="宋体" w:hAnsi="宋体" w:eastAsia="宋体" w:cs="宋体"/>
          <w:highlight w:val="none"/>
        </w:rPr>
        <w:t>分装线所涉及的设计、采购、制造、运输、装卸、安装、调试、验收及培训等，直至交付使用，同时包含安全、环保相关设备的设计、制造、采购任务，并提供相关的售后服务、最终的工艺安装图、电控程序等技术文件，以及必须的备品备件清单。</w:t>
      </w:r>
      <w:bookmarkStart w:id="41" w:name="_Toc11536"/>
    </w:p>
    <w:p>
      <w:pPr>
        <w:pStyle w:val="141"/>
        <w:ind w:firstLine="480"/>
        <w:rPr>
          <w:rFonts w:hint="eastAsia" w:ascii="宋体" w:hAnsi="宋体" w:eastAsia="宋体" w:cs="宋体"/>
          <w:highlight w:val="none"/>
        </w:rPr>
      </w:pPr>
      <w:r>
        <w:rPr>
          <w:rFonts w:hint="eastAsia" w:ascii="宋体" w:hAnsi="宋体" w:eastAsia="宋体" w:cs="宋体"/>
          <w:highlight w:val="none"/>
        </w:rPr>
        <w:t>1.主要设备、设施</w:t>
      </w:r>
    </w:p>
    <w:tbl>
      <w:tblPr>
        <w:tblStyle w:val="41"/>
        <w:tblW w:w="906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11"/>
        <w:gridCol w:w="2404"/>
        <w:gridCol w:w="709"/>
        <w:gridCol w:w="4559"/>
        <w:gridCol w:w="6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6" w:hRule="atLeast"/>
          <w:jc w:val="center"/>
        </w:trPr>
        <w:tc>
          <w:tcPr>
            <w:tcW w:w="711"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序号</w:t>
            </w:r>
          </w:p>
        </w:tc>
        <w:tc>
          <w:tcPr>
            <w:tcW w:w="2404" w:type="dxa"/>
            <w:tcBorders>
              <w:right w:val="single" w:color="auto" w:sz="4" w:space="0"/>
            </w:tcBorders>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名称</w:t>
            </w:r>
          </w:p>
        </w:tc>
        <w:tc>
          <w:tcPr>
            <w:tcW w:w="709"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数量</w:t>
            </w:r>
          </w:p>
        </w:tc>
        <w:tc>
          <w:tcPr>
            <w:tcW w:w="4559"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说明</w:t>
            </w:r>
          </w:p>
        </w:tc>
        <w:tc>
          <w:tcPr>
            <w:tcW w:w="678"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11"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1</w:t>
            </w:r>
          </w:p>
        </w:tc>
        <w:tc>
          <w:tcPr>
            <w:tcW w:w="2404" w:type="dxa"/>
            <w:tcBorders>
              <w:top w:val="single" w:color="auto" w:sz="4" w:space="0"/>
            </w:tcBorders>
            <w:vAlign w:val="center"/>
          </w:tcPr>
          <w:p>
            <w:pPr>
              <w:jc w:val="center"/>
              <w:rPr>
                <w:rFonts w:hint="eastAsia" w:ascii="宋体" w:hAnsi="宋体" w:eastAsia="宋体" w:cs="宋体"/>
                <w:color w:val="000000"/>
                <w:kern w:val="0"/>
                <w:highlight w:val="none"/>
              </w:rPr>
            </w:pPr>
            <w:r>
              <w:rPr>
                <w:rFonts w:hint="eastAsia" w:ascii="宋体" w:hAnsi="宋体" w:eastAsia="宋体" w:cs="宋体"/>
                <w:color w:val="000000"/>
                <w:kern w:val="0"/>
                <w:highlight w:val="none"/>
              </w:rPr>
              <w:t>设备主体框架</w:t>
            </w:r>
          </w:p>
        </w:tc>
        <w:tc>
          <w:tcPr>
            <w:tcW w:w="709" w:type="dxa"/>
            <w:tcBorders>
              <w:top w:val="single" w:color="auto" w:sz="4" w:space="0"/>
              <w:bottom w:val="single" w:color="auto" w:sz="4" w:space="0"/>
            </w:tcBorders>
            <w:vAlign w:val="center"/>
          </w:tcPr>
          <w:p>
            <w:pPr>
              <w:jc w:val="center"/>
              <w:rPr>
                <w:rFonts w:hint="default" w:ascii="宋体" w:hAnsi="宋体" w:eastAsia="宋体" w:cs="宋体"/>
                <w:kern w:val="0"/>
                <w:highlight w:val="none"/>
                <w:lang w:val="en-US" w:eastAsia="zh-CN"/>
              </w:rPr>
            </w:pPr>
            <w:r>
              <w:rPr>
                <w:rFonts w:hint="eastAsia" w:ascii="宋体" w:hAnsi="宋体" w:eastAsia="宋体" w:cs="宋体"/>
                <w:kern w:val="0"/>
                <w:highlight w:val="none"/>
                <w:lang w:val="en-US" w:eastAsia="zh-CN"/>
              </w:rPr>
              <w:t>2</w:t>
            </w:r>
          </w:p>
        </w:tc>
        <w:tc>
          <w:tcPr>
            <w:tcW w:w="4559" w:type="dxa"/>
            <w:tcBorders>
              <w:top w:val="single" w:color="auto" w:sz="4" w:space="0"/>
              <w:bottom w:val="single" w:color="auto" w:sz="4" w:space="0"/>
            </w:tcBorders>
            <w:vAlign w:val="center"/>
          </w:tcPr>
          <w:p>
            <w:pPr>
              <w:jc w:val="left"/>
              <w:rPr>
                <w:rFonts w:hint="eastAsia" w:ascii="宋体" w:hAnsi="宋体" w:eastAsia="宋体" w:cs="宋体"/>
                <w:kern w:val="0"/>
                <w:highlight w:val="none"/>
              </w:rPr>
            </w:pPr>
            <w:r>
              <w:rPr>
                <w:rFonts w:hint="eastAsia" w:ascii="宋体" w:hAnsi="宋体" w:eastAsia="宋体" w:cs="宋体"/>
                <w:kern w:val="0"/>
                <w:highlight w:val="none"/>
              </w:rPr>
              <w:t>型材切割加工后，焊接或螺栓连接做设备主体框架。现场安装尽量采用螺栓连接。</w:t>
            </w:r>
          </w:p>
        </w:tc>
        <w:tc>
          <w:tcPr>
            <w:tcW w:w="678" w:type="dxa"/>
            <w:tcBorders>
              <w:top w:val="single" w:color="auto" w:sz="4" w:space="0"/>
            </w:tcBorders>
            <w:vAlign w:val="center"/>
          </w:tcPr>
          <w:p>
            <w:pPr>
              <w:jc w:val="center"/>
              <w:rPr>
                <w:rFonts w:hint="eastAsia" w:ascii="宋体" w:hAnsi="宋体" w:eastAsia="宋体" w:cs="宋体"/>
                <w:kern w:val="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11"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2</w:t>
            </w:r>
          </w:p>
        </w:tc>
        <w:tc>
          <w:tcPr>
            <w:tcW w:w="2404" w:type="dxa"/>
            <w:tcBorders>
              <w:top w:val="single" w:color="auto" w:sz="4" w:space="0"/>
            </w:tcBorders>
            <w:vAlign w:val="center"/>
          </w:tcPr>
          <w:p>
            <w:pPr>
              <w:jc w:val="center"/>
              <w:rPr>
                <w:rFonts w:hint="eastAsia" w:ascii="宋体" w:hAnsi="宋体" w:eastAsia="宋体" w:cs="宋体"/>
                <w:color w:val="000000"/>
                <w:highlight w:val="none"/>
              </w:rPr>
            </w:pPr>
            <w:r>
              <w:rPr>
                <w:rFonts w:hint="eastAsia" w:ascii="宋体" w:hAnsi="宋体" w:eastAsia="宋体" w:cs="宋体"/>
                <w:color w:val="000000"/>
                <w:highlight w:val="none"/>
              </w:rPr>
              <w:t>驱动部分与链板</w:t>
            </w:r>
          </w:p>
        </w:tc>
        <w:tc>
          <w:tcPr>
            <w:tcW w:w="709" w:type="dxa"/>
            <w:tcBorders>
              <w:top w:val="single" w:color="auto" w:sz="4" w:space="0"/>
              <w:bottom w:val="single" w:color="auto" w:sz="4" w:space="0"/>
            </w:tcBorders>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lang w:val="en-US" w:eastAsia="zh-CN"/>
              </w:rPr>
              <w:t>2</w:t>
            </w:r>
          </w:p>
        </w:tc>
        <w:tc>
          <w:tcPr>
            <w:tcW w:w="4559" w:type="dxa"/>
            <w:tcBorders>
              <w:top w:val="single" w:color="auto" w:sz="4" w:space="0"/>
              <w:bottom w:val="single" w:color="auto" w:sz="4" w:space="0"/>
            </w:tcBorders>
            <w:vAlign w:val="center"/>
          </w:tcPr>
          <w:p>
            <w:pPr>
              <w:jc w:val="left"/>
              <w:rPr>
                <w:rFonts w:hint="eastAsia" w:ascii="宋体" w:hAnsi="宋体" w:eastAsia="宋体" w:cs="宋体"/>
                <w:kern w:val="0"/>
                <w:highlight w:val="none"/>
              </w:rPr>
            </w:pPr>
            <w:r>
              <w:rPr>
                <w:rFonts w:hint="eastAsia" w:ascii="宋体" w:hAnsi="宋体" w:eastAsia="宋体" w:cs="宋体"/>
                <w:kern w:val="0"/>
                <w:highlight w:val="none"/>
              </w:rPr>
              <w:t>驱动电机选用变频减速电机，链条选用耐磨链条，链板用花纹板折弯加工。</w:t>
            </w:r>
          </w:p>
        </w:tc>
        <w:tc>
          <w:tcPr>
            <w:tcW w:w="678" w:type="dxa"/>
            <w:tcBorders>
              <w:top w:val="single" w:color="auto" w:sz="4" w:space="0"/>
            </w:tcBorders>
            <w:vAlign w:val="center"/>
          </w:tcPr>
          <w:p>
            <w:pPr>
              <w:jc w:val="center"/>
              <w:rPr>
                <w:rFonts w:hint="eastAsia" w:ascii="宋体" w:hAnsi="宋体" w:eastAsia="宋体" w:cs="宋体"/>
                <w:kern w:val="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11"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3</w:t>
            </w:r>
          </w:p>
        </w:tc>
        <w:tc>
          <w:tcPr>
            <w:tcW w:w="2404" w:type="dxa"/>
            <w:tcBorders>
              <w:top w:val="single" w:color="auto" w:sz="4" w:space="0"/>
            </w:tcBorders>
            <w:vAlign w:val="center"/>
          </w:tcPr>
          <w:p>
            <w:pPr>
              <w:jc w:val="center"/>
              <w:rPr>
                <w:rFonts w:hint="eastAsia" w:ascii="宋体" w:hAnsi="宋体" w:eastAsia="宋体" w:cs="宋体"/>
                <w:color w:val="000000"/>
                <w:highlight w:val="none"/>
              </w:rPr>
            </w:pPr>
            <w:r>
              <w:rPr>
                <w:rFonts w:hint="eastAsia" w:ascii="宋体" w:hAnsi="宋体" w:eastAsia="宋体" w:cs="宋体"/>
                <w:color w:val="000000"/>
                <w:highlight w:val="none"/>
              </w:rPr>
              <w:t>控制部分</w:t>
            </w:r>
          </w:p>
        </w:tc>
        <w:tc>
          <w:tcPr>
            <w:tcW w:w="709" w:type="dxa"/>
            <w:tcBorders>
              <w:top w:val="single" w:color="auto" w:sz="4" w:space="0"/>
              <w:bottom w:val="single" w:color="auto" w:sz="4" w:space="0"/>
            </w:tcBorders>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lang w:val="en-US" w:eastAsia="zh-CN"/>
              </w:rPr>
              <w:t>2</w:t>
            </w:r>
          </w:p>
        </w:tc>
        <w:tc>
          <w:tcPr>
            <w:tcW w:w="4559" w:type="dxa"/>
            <w:tcBorders>
              <w:top w:val="single" w:color="auto" w:sz="4" w:space="0"/>
              <w:bottom w:val="single" w:color="auto" w:sz="4" w:space="0"/>
            </w:tcBorders>
            <w:vAlign w:val="center"/>
          </w:tcPr>
          <w:p>
            <w:pPr>
              <w:widowControl/>
              <w:jc w:val="left"/>
              <w:rPr>
                <w:rFonts w:hint="eastAsia" w:ascii="宋体" w:hAnsi="宋体" w:eastAsia="宋体" w:cs="宋体"/>
                <w:kern w:val="0"/>
                <w:highlight w:val="none"/>
              </w:rPr>
            </w:pPr>
            <w:r>
              <w:rPr>
                <w:rFonts w:hint="eastAsia" w:ascii="宋体" w:hAnsi="宋体" w:eastAsia="宋体" w:cs="宋体"/>
                <w:kern w:val="0"/>
                <w:highlight w:val="none"/>
              </w:rPr>
              <w:t>西门子S7系列PLC</w:t>
            </w:r>
          </w:p>
        </w:tc>
        <w:tc>
          <w:tcPr>
            <w:tcW w:w="678" w:type="dxa"/>
            <w:tcBorders>
              <w:top w:val="single" w:color="auto" w:sz="4" w:space="0"/>
            </w:tcBorders>
            <w:vAlign w:val="center"/>
          </w:tcPr>
          <w:p>
            <w:pPr>
              <w:jc w:val="center"/>
              <w:rPr>
                <w:rFonts w:hint="eastAsia" w:ascii="宋体" w:hAnsi="宋体" w:eastAsia="宋体" w:cs="宋体"/>
                <w:kern w:val="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11" w:type="dxa"/>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rPr>
              <w:t>4</w:t>
            </w:r>
          </w:p>
        </w:tc>
        <w:tc>
          <w:tcPr>
            <w:tcW w:w="2404" w:type="dxa"/>
            <w:tcBorders>
              <w:top w:val="single" w:color="auto" w:sz="4" w:space="0"/>
              <w:bottom w:val="single" w:color="auto" w:sz="4" w:space="0"/>
            </w:tcBorders>
            <w:vAlign w:val="center"/>
          </w:tcPr>
          <w:p>
            <w:pPr>
              <w:jc w:val="center"/>
              <w:rPr>
                <w:rFonts w:hint="eastAsia" w:ascii="宋体" w:hAnsi="宋体" w:eastAsia="宋体" w:cs="宋体"/>
                <w:color w:val="000000"/>
                <w:highlight w:val="none"/>
              </w:rPr>
            </w:pPr>
            <w:r>
              <w:rPr>
                <w:rFonts w:hint="eastAsia" w:ascii="宋体" w:hAnsi="宋体" w:eastAsia="宋体" w:cs="宋体"/>
                <w:color w:val="000000"/>
                <w:highlight w:val="none"/>
              </w:rPr>
              <w:t>安全防护部分</w:t>
            </w:r>
          </w:p>
        </w:tc>
        <w:tc>
          <w:tcPr>
            <w:tcW w:w="709" w:type="dxa"/>
            <w:tcBorders>
              <w:top w:val="single" w:color="auto" w:sz="4" w:space="0"/>
              <w:bottom w:val="single" w:color="auto" w:sz="4" w:space="0"/>
            </w:tcBorders>
            <w:vAlign w:val="center"/>
          </w:tcPr>
          <w:p>
            <w:pPr>
              <w:jc w:val="center"/>
              <w:rPr>
                <w:rFonts w:hint="eastAsia" w:ascii="宋体" w:hAnsi="宋体" w:eastAsia="宋体" w:cs="宋体"/>
                <w:kern w:val="0"/>
                <w:highlight w:val="none"/>
              </w:rPr>
            </w:pPr>
            <w:r>
              <w:rPr>
                <w:rFonts w:hint="eastAsia" w:ascii="宋体" w:hAnsi="宋体" w:eastAsia="宋体" w:cs="宋体"/>
                <w:kern w:val="0"/>
                <w:highlight w:val="none"/>
                <w:lang w:val="en-US" w:eastAsia="zh-CN"/>
              </w:rPr>
              <w:t>2</w:t>
            </w:r>
          </w:p>
        </w:tc>
        <w:tc>
          <w:tcPr>
            <w:tcW w:w="4559" w:type="dxa"/>
            <w:tcBorders>
              <w:top w:val="single" w:color="auto" w:sz="4" w:space="0"/>
              <w:bottom w:val="single" w:color="auto" w:sz="4" w:space="0"/>
            </w:tcBorders>
            <w:vAlign w:val="center"/>
          </w:tcPr>
          <w:p>
            <w:pPr>
              <w:widowControl/>
              <w:jc w:val="left"/>
              <w:rPr>
                <w:rFonts w:hint="eastAsia" w:ascii="宋体" w:hAnsi="宋体" w:eastAsia="宋体" w:cs="宋体"/>
                <w:kern w:val="0"/>
                <w:highlight w:val="none"/>
              </w:rPr>
            </w:pPr>
            <w:r>
              <w:rPr>
                <w:rFonts w:hint="eastAsia" w:ascii="宋体" w:hAnsi="宋体" w:eastAsia="宋体" w:cs="宋体"/>
                <w:kern w:val="0"/>
                <w:highlight w:val="none"/>
              </w:rPr>
              <w:t>线头、线尾、线体侧面、链板与骨架的缝隙处，安装防护钢板，防止挤伤操作人员。</w:t>
            </w:r>
          </w:p>
        </w:tc>
        <w:tc>
          <w:tcPr>
            <w:tcW w:w="678" w:type="dxa"/>
            <w:tcBorders>
              <w:top w:val="single" w:color="auto" w:sz="4" w:space="0"/>
              <w:bottom w:val="single" w:color="auto" w:sz="4" w:space="0"/>
            </w:tcBorders>
            <w:vAlign w:val="center"/>
          </w:tcPr>
          <w:p>
            <w:pPr>
              <w:jc w:val="center"/>
              <w:rPr>
                <w:rFonts w:hint="eastAsia" w:ascii="宋体" w:hAnsi="宋体" w:eastAsia="宋体" w:cs="宋体"/>
                <w:kern w:val="0"/>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711" w:type="dxa"/>
            <w:vAlign w:val="center"/>
          </w:tcPr>
          <w:p>
            <w:pPr>
              <w:jc w:val="center"/>
              <w:rPr>
                <w:rFonts w:hint="eastAsia" w:ascii="宋体" w:hAnsi="宋体" w:eastAsia="宋体" w:cs="宋体"/>
                <w:kern w:val="0"/>
                <w:highlight w:val="none"/>
                <w:lang w:val="en-US" w:eastAsia="zh-CN"/>
              </w:rPr>
            </w:pPr>
            <w:r>
              <w:rPr>
                <w:rFonts w:hint="eastAsia" w:ascii="宋体" w:hAnsi="宋体" w:eastAsia="宋体" w:cs="宋体"/>
                <w:kern w:val="0"/>
                <w:highlight w:val="none"/>
                <w:lang w:val="en-US" w:eastAsia="zh-CN"/>
              </w:rPr>
              <w:t>5</w:t>
            </w:r>
          </w:p>
        </w:tc>
        <w:tc>
          <w:tcPr>
            <w:tcW w:w="2404" w:type="dxa"/>
            <w:tcBorders>
              <w:top w:val="single" w:color="auto" w:sz="4" w:space="0"/>
            </w:tcBorders>
            <w:vAlign w:val="center"/>
          </w:tcPr>
          <w:p>
            <w:pPr>
              <w:jc w:val="center"/>
              <w:rPr>
                <w:rFonts w:hint="eastAsia" w:ascii="宋体" w:hAnsi="宋体" w:eastAsia="宋体" w:cs="宋体"/>
                <w:color w:val="000000"/>
                <w:highlight w:val="none"/>
                <w:lang w:val="en-US" w:eastAsia="zh-CN"/>
              </w:rPr>
            </w:pPr>
            <w:r>
              <w:rPr>
                <w:rFonts w:hint="eastAsia" w:ascii="宋体" w:hAnsi="宋体" w:eastAsia="宋体" w:cs="宋体"/>
                <w:color w:val="000000"/>
                <w:highlight w:val="none"/>
                <w:lang w:val="en-US" w:eastAsia="zh-CN"/>
              </w:rPr>
              <w:t>防磕碰部分</w:t>
            </w:r>
          </w:p>
        </w:tc>
        <w:tc>
          <w:tcPr>
            <w:tcW w:w="709" w:type="dxa"/>
            <w:tcBorders>
              <w:top w:val="single" w:color="auto" w:sz="4" w:space="0"/>
              <w:bottom w:val="single" w:color="auto" w:sz="4" w:space="0"/>
            </w:tcBorders>
            <w:vAlign w:val="center"/>
          </w:tcPr>
          <w:p>
            <w:pPr>
              <w:jc w:val="center"/>
              <w:rPr>
                <w:rFonts w:hint="eastAsia" w:ascii="宋体" w:hAnsi="宋体" w:eastAsia="宋体" w:cs="宋体"/>
                <w:kern w:val="0"/>
                <w:highlight w:val="none"/>
                <w:lang w:val="en-US" w:eastAsia="zh-CN"/>
              </w:rPr>
            </w:pPr>
            <w:r>
              <w:rPr>
                <w:rFonts w:hint="eastAsia" w:ascii="宋体" w:hAnsi="宋体" w:eastAsia="宋体" w:cs="宋体"/>
                <w:kern w:val="0"/>
                <w:highlight w:val="none"/>
                <w:lang w:val="en-US" w:eastAsia="zh-CN"/>
              </w:rPr>
              <w:t>2</w:t>
            </w:r>
          </w:p>
        </w:tc>
        <w:tc>
          <w:tcPr>
            <w:tcW w:w="4559" w:type="dxa"/>
            <w:tcBorders>
              <w:top w:val="single" w:color="auto" w:sz="4" w:space="0"/>
              <w:bottom w:val="single" w:color="auto" w:sz="4" w:space="0"/>
            </w:tcBorders>
            <w:vAlign w:val="center"/>
          </w:tcPr>
          <w:p>
            <w:pPr>
              <w:widowControl/>
              <w:jc w:val="left"/>
              <w:rPr>
                <w:rFonts w:hint="eastAsia" w:ascii="宋体" w:hAnsi="宋体" w:eastAsia="宋体" w:cs="宋体"/>
                <w:kern w:val="0"/>
                <w:highlight w:val="none"/>
              </w:rPr>
            </w:pPr>
            <w:r>
              <w:rPr>
                <w:rFonts w:hint="eastAsia" w:ascii="宋体" w:hAnsi="宋体" w:eastAsia="宋体" w:cs="宋体"/>
                <w:highlight w:val="none"/>
                <w:lang w:val="en-US" w:eastAsia="zh-CN"/>
              </w:rPr>
              <w:t>分装线和导流罩接触面与可能造成导流罩磕碰划伤部分应使用软质材料包裹，防止磕碰划伤。</w:t>
            </w:r>
          </w:p>
        </w:tc>
        <w:tc>
          <w:tcPr>
            <w:tcW w:w="678" w:type="dxa"/>
            <w:tcBorders>
              <w:top w:val="single" w:color="auto" w:sz="4" w:space="0"/>
            </w:tcBorders>
            <w:vAlign w:val="center"/>
          </w:tcPr>
          <w:p>
            <w:pPr>
              <w:jc w:val="center"/>
              <w:rPr>
                <w:rFonts w:hint="eastAsia" w:ascii="宋体" w:hAnsi="宋体" w:eastAsia="宋体" w:cs="宋体"/>
                <w:kern w:val="0"/>
                <w:highlight w:val="none"/>
              </w:rPr>
            </w:pPr>
          </w:p>
        </w:tc>
      </w:tr>
      <w:bookmarkEnd w:id="41"/>
    </w:tbl>
    <w:p>
      <w:pPr>
        <w:rPr>
          <w:rFonts w:hint="eastAsia" w:ascii="宋体" w:hAnsi="宋体" w:eastAsia="宋体" w:cs="宋体"/>
          <w:sz w:val="24"/>
          <w:szCs w:val="24"/>
          <w:highlight w:val="none"/>
        </w:rPr>
      </w:pPr>
    </w:p>
    <w:p>
      <w:pPr>
        <w:pStyle w:val="141"/>
        <w:ind w:firstLine="480"/>
        <w:rPr>
          <w:rFonts w:hint="eastAsia" w:ascii="宋体" w:hAnsi="宋体" w:eastAsia="宋体" w:cs="宋体"/>
          <w:highlight w:val="none"/>
        </w:rPr>
      </w:pPr>
      <w:r>
        <w:rPr>
          <w:rFonts w:hint="eastAsia" w:ascii="宋体" w:hAnsi="宋体" w:eastAsia="宋体" w:cs="宋体"/>
          <w:highlight w:val="none"/>
        </w:rPr>
        <w:t>2.主要器件品牌表</w:t>
      </w:r>
    </w:p>
    <w:tbl>
      <w:tblPr>
        <w:tblStyle w:val="41"/>
        <w:tblW w:w="9042" w:type="dxa"/>
        <w:tblInd w:w="93" w:type="dxa"/>
        <w:tblLayout w:type="fixed"/>
        <w:tblCellMar>
          <w:top w:w="0" w:type="dxa"/>
          <w:left w:w="108" w:type="dxa"/>
          <w:bottom w:w="0" w:type="dxa"/>
          <w:right w:w="108" w:type="dxa"/>
        </w:tblCellMar>
      </w:tblPr>
      <w:tblGrid>
        <w:gridCol w:w="656"/>
        <w:gridCol w:w="3170"/>
        <w:gridCol w:w="3726"/>
        <w:gridCol w:w="1490"/>
      </w:tblGrid>
      <w:tr>
        <w:tblPrEx>
          <w:tblCellMar>
            <w:top w:w="0" w:type="dxa"/>
            <w:left w:w="108" w:type="dxa"/>
            <w:bottom w:w="0" w:type="dxa"/>
            <w:right w:w="108" w:type="dxa"/>
          </w:tblCellMar>
        </w:tblPrEx>
        <w:trPr>
          <w:trHeight w:val="454" w:hRule="atLeast"/>
        </w:trPr>
        <w:tc>
          <w:tcPr>
            <w:tcW w:w="656"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jc w:val="center"/>
              <w:textAlignment w:val="center"/>
              <w:rPr>
                <w:rFonts w:hint="eastAsia" w:ascii="宋体" w:hAnsi="宋体" w:eastAsia="宋体" w:cs="宋体"/>
                <w:color w:val="000000"/>
                <w:highlight w:val="none"/>
              </w:rPr>
            </w:pPr>
            <w:r>
              <w:rPr>
                <w:rStyle w:val="142"/>
                <w:rFonts w:hint="eastAsia" w:ascii="宋体" w:hAnsi="宋体" w:eastAsia="宋体" w:cs="宋体"/>
                <w:b w:val="0"/>
                <w:bCs w:val="0"/>
                <w:sz w:val="21"/>
                <w:szCs w:val="21"/>
                <w:highlight w:val="none"/>
                <w:lang w:bidi="ar"/>
              </w:rPr>
              <w:t>序号</w:t>
            </w:r>
          </w:p>
        </w:tc>
        <w:tc>
          <w:tcPr>
            <w:tcW w:w="3170" w:type="dxa"/>
            <w:tcBorders>
              <w:top w:val="single" w:color="000000" w:sz="8" w:space="0"/>
              <w:left w:val="nil"/>
              <w:bottom w:val="single" w:color="000000" w:sz="8" w:space="0"/>
              <w:right w:val="single" w:color="000000" w:sz="8" w:space="0"/>
            </w:tcBorders>
            <w:shd w:val="clear" w:color="auto" w:fill="FFFFFF"/>
            <w:noWrap/>
            <w:vAlign w:val="center"/>
          </w:tcPr>
          <w:p>
            <w:pPr>
              <w:widowControl/>
              <w:jc w:val="center"/>
              <w:textAlignment w:val="center"/>
              <w:rPr>
                <w:rFonts w:hint="eastAsia" w:ascii="宋体" w:hAnsi="宋体" w:eastAsia="宋体" w:cs="宋体"/>
                <w:color w:val="000000"/>
                <w:highlight w:val="none"/>
              </w:rPr>
            </w:pPr>
            <w:r>
              <w:rPr>
                <w:rStyle w:val="142"/>
                <w:rFonts w:hint="eastAsia" w:ascii="宋体" w:hAnsi="宋体" w:eastAsia="宋体" w:cs="宋体"/>
                <w:b w:val="0"/>
                <w:bCs w:val="0"/>
                <w:sz w:val="21"/>
                <w:szCs w:val="21"/>
                <w:highlight w:val="none"/>
                <w:lang w:bidi="ar"/>
              </w:rPr>
              <w:t>名称</w:t>
            </w:r>
          </w:p>
        </w:tc>
        <w:tc>
          <w:tcPr>
            <w:tcW w:w="3726" w:type="dxa"/>
            <w:tcBorders>
              <w:top w:val="single" w:color="000000" w:sz="8" w:space="0"/>
              <w:left w:val="nil"/>
              <w:bottom w:val="single" w:color="000000" w:sz="8" w:space="0"/>
              <w:right w:val="single" w:color="000000" w:sz="8" w:space="0"/>
            </w:tcBorders>
            <w:shd w:val="clear" w:color="auto" w:fill="FFFFFF"/>
            <w:noWrap/>
            <w:vAlign w:val="center"/>
          </w:tcPr>
          <w:p>
            <w:pPr>
              <w:widowControl/>
              <w:jc w:val="center"/>
              <w:textAlignment w:val="center"/>
              <w:rPr>
                <w:rFonts w:hint="eastAsia" w:ascii="宋体" w:hAnsi="宋体" w:eastAsia="宋体" w:cs="宋体"/>
                <w:color w:val="000000"/>
                <w:highlight w:val="none"/>
              </w:rPr>
            </w:pPr>
            <w:r>
              <w:rPr>
                <w:rStyle w:val="142"/>
                <w:rFonts w:hint="eastAsia" w:ascii="宋体" w:hAnsi="宋体" w:eastAsia="宋体" w:cs="宋体"/>
                <w:b w:val="0"/>
                <w:bCs w:val="0"/>
                <w:sz w:val="21"/>
                <w:szCs w:val="21"/>
                <w:highlight w:val="none"/>
                <w:lang w:bidi="ar"/>
              </w:rPr>
              <w:t>品牌</w:t>
            </w:r>
          </w:p>
        </w:tc>
        <w:tc>
          <w:tcPr>
            <w:tcW w:w="1490" w:type="dxa"/>
            <w:tcBorders>
              <w:top w:val="single" w:color="000000" w:sz="8" w:space="0"/>
              <w:left w:val="nil"/>
              <w:bottom w:val="single" w:color="000000" w:sz="8" w:space="0"/>
              <w:right w:val="single" w:color="000000" w:sz="8" w:space="0"/>
            </w:tcBorders>
            <w:shd w:val="clear" w:color="auto" w:fill="FFFFFF"/>
            <w:noWrap/>
            <w:vAlign w:val="center"/>
          </w:tcPr>
          <w:p>
            <w:pPr>
              <w:widowControl/>
              <w:jc w:val="center"/>
              <w:textAlignment w:val="center"/>
              <w:rPr>
                <w:rFonts w:hint="eastAsia" w:ascii="宋体" w:hAnsi="宋体" w:eastAsia="宋体" w:cs="宋体"/>
                <w:color w:val="000000"/>
                <w:highlight w:val="none"/>
              </w:rPr>
            </w:pPr>
            <w:r>
              <w:rPr>
                <w:rStyle w:val="142"/>
                <w:rFonts w:hint="eastAsia" w:ascii="宋体" w:hAnsi="宋体" w:eastAsia="宋体" w:cs="宋体"/>
                <w:b w:val="0"/>
                <w:bCs w:val="0"/>
                <w:sz w:val="21"/>
                <w:szCs w:val="21"/>
                <w:highlight w:val="none"/>
                <w:lang w:bidi="ar"/>
              </w:rPr>
              <w:t>型号</w:t>
            </w: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电气柜</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kern w:val="0"/>
                <w:highlight w:val="none"/>
              </w:rPr>
              <w:t>仿威图</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空调</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RITAL或同等品牌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风冷、蒸发式</w:t>
            </w: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PLC</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SIEMENS/OMRON</w:t>
            </w:r>
            <w:r>
              <w:rPr>
                <w:rStyle w:val="143"/>
                <w:rFonts w:hint="eastAsia" w:ascii="宋体" w:hAnsi="宋体" w:eastAsia="宋体" w:cs="宋体"/>
                <w:sz w:val="21"/>
                <w:szCs w:val="21"/>
                <w:highlight w:val="none"/>
                <w:lang w:bidi="ar"/>
              </w:rPr>
              <w:t>/施耐德或同等品牌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4</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HMI</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SIEMENS/OMRON</w:t>
            </w:r>
            <w:r>
              <w:rPr>
                <w:rStyle w:val="143"/>
                <w:rFonts w:hint="eastAsia" w:ascii="宋体" w:hAnsi="宋体" w:eastAsia="宋体" w:cs="宋体"/>
                <w:sz w:val="21"/>
                <w:szCs w:val="21"/>
                <w:highlight w:val="none"/>
                <w:lang w:bidi="ar"/>
              </w:rPr>
              <w:t>/施耐德或同等品牌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5</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三色柱灯</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SIEMENS/施耐德/邦纳或同等品牌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6</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交换机</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SIEMENS/赫斯曼/MOXA/施耐德</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7</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熔断器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8</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微型断路器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9</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电机断路器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10</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接触器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11</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热继电器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12</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中间继电器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SIEMENS/施耐德或同等品牌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13</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安全继电器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PLIZ/OMRON/施耐德或同等品牌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14</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伺服电机</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SIEMENS/SEW</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15</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伺服驱动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SIEMENS/SEW</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16</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变频器</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SIEMENS/SEW</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17</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选择开关</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SIEMENS/Schneider</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18</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急停开关</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SIEMENS/Schneider</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19</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按钮</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SIEMENS/Schneider</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20</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指示灯</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val="de-DE" w:bidi="ar"/>
              </w:rPr>
            </w:pPr>
            <w:r>
              <w:rPr>
                <w:rStyle w:val="143"/>
                <w:rFonts w:hint="eastAsia" w:ascii="宋体" w:hAnsi="宋体" w:eastAsia="宋体" w:cs="宋体"/>
                <w:sz w:val="21"/>
                <w:szCs w:val="21"/>
                <w:highlight w:val="none"/>
                <w:lang w:val="de-DE" w:bidi="ar"/>
              </w:rPr>
              <w:t>SIEMENS/Schneider</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val="de-DE"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21</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电源插座</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Schneider或同等品牌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22</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端子</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Style w:val="143"/>
                <w:rFonts w:hint="eastAsia" w:ascii="宋体" w:hAnsi="宋体" w:eastAsia="宋体" w:cs="宋体"/>
                <w:sz w:val="21"/>
                <w:szCs w:val="21"/>
                <w:highlight w:val="none"/>
                <w:lang w:bidi="ar"/>
              </w:rPr>
            </w:pPr>
            <w:r>
              <w:rPr>
                <w:rStyle w:val="143"/>
                <w:rFonts w:hint="eastAsia" w:ascii="宋体" w:hAnsi="宋体" w:eastAsia="宋体" w:cs="宋体"/>
                <w:sz w:val="21"/>
                <w:szCs w:val="21"/>
                <w:highlight w:val="none"/>
                <w:lang w:bidi="ar"/>
              </w:rPr>
              <w:t>PHOENIX/WEIDMULLER//施耐德或同等品牌</w:t>
            </w:r>
          </w:p>
        </w:tc>
        <w:tc>
          <w:tcPr>
            <w:tcW w:w="149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Style w:val="143"/>
                <w:rFonts w:hint="eastAsia" w:ascii="宋体" w:hAnsi="宋体" w:eastAsia="宋体" w:cs="宋体"/>
                <w:sz w:val="21"/>
                <w:szCs w:val="21"/>
                <w:highlight w:val="none"/>
                <w:lang w:bidi="ar"/>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23</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安全门锁</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lang w:val="de-DE"/>
              </w:rPr>
            </w:pPr>
            <w:r>
              <w:rPr>
                <w:rFonts w:hint="eastAsia" w:ascii="宋体" w:hAnsi="宋体" w:eastAsia="宋体" w:cs="宋体"/>
                <w:color w:val="000000"/>
                <w:kern w:val="0"/>
                <w:highlight w:val="none"/>
                <w:lang w:val="de-DE" w:bidi="ar"/>
              </w:rPr>
              <w:t>EUCHNER/OMRON</w:t>
            </w:r>
            <w:r>
              <w:rPr>
                <w:rStyle w:val="143"/>
                <w:rFonts w:hint="eastAsia" w:ascii="宋体" w:hAnsi="宋体" w:eastAsia="宋体" w:cs="宋体"/>
                <w:sz w:val="21"/>
                <w:szCs w:val="21"/>
                <w:highlight w:val="none"/>
                <w:lang w:bidi="ar"/>
              </w:rPr>
              <w:t>/施耐德</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lang w:val="de-D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24</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工位照明</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飞利浦</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25</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传感器接插线</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Style w:val="144"/>
                <w:rFonts w:hint="eastAsia" w:ascii="宋体" w:hAnsi="宋体" w:eastAsia="宋体" w:cs="宋体"/>
                <w:sz w:val="21"/>
                <w:szCs w:val="21"/>
                <w:highlight w:val="none"/>
                <w:lang w:bidi="ar"/>
              </w:rPr>
              <w:t>Balluff</w:t>
            </w:r>
            <w:r>
              <w:rPr>
                <w:rStyle w:val="143"/>
                <w:rFonts w:hint="eastAsia" w:ascii="宋体" w:hAnsi="宋体" w:eastAsia="宋体" w:cs="宋体"/>
                <w:sz w:val="21"/>
                <w:szCs w:val="21"/>
                <w:highlight w:val="none"/>
                <w:lang w:bidi="ar"/>
              </w:rPr>
              <w:t>或</w:t>
            </w:r>
            <w:r>
              <w:rPr>
                <w:rStyle w:val="144"/>
                <w:rFonts w:hint="eastAsia" w:ascii="宋体" w:hAnsi="宋体" w:eastAsia="宋体" w:cs="宋体"/>
                <w:sz w:val="21"/>
                <w:szCs w:val="21"/>
                <w:highlight w:val="none"/>
                <w:lang w:bidi="ar"/>
              </w:rPr>
              <w:t>TRUCK</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26</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电线电缆</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COLAN</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27</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HMI</w:t>
            </w:r>
            <w:r>
              <w:rPr>
                <w:rStyle w:val="143"/>
                <w:rFonts w:hint="eastAsia" w:ascii="宋体" w:hAnsi="宋体" w:eastAsia="宋体" w:cs="宋体"/>
                <w:sz w:val="21"/>
                <w:szCs w:val="21"/>
                <w:highlight w:val="none"/>
                <w:lang w:bidi="ar"/>
              </w:rPr>
              <w:t>悬臂</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RITAL</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28</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HMI</w:t>
            </w:r>
            <w:r>
              <w:rPr>
                <w:rStyle w:val="143"/>
                <w:rFonts w:hint="eastAsia" w:ascii="宋体" w:hAnsi="宋体" w:eastAsia="宋体" w:cs="宋体"/>
                <w:sz w:val="21"/>
                <w:szCs w:val="21"/>
                <w:highlight w:val="none"/>
                <w:lang w:bidi="ar"/>
              </w:rPr>
              <w:t>柜子</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RITAL</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highlight w:val="none"/>
              </w:rPr>
              <w:t>29</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预制线（</w:t>
            </w:r>
            <w:r>
              <w:rPr>
                <w:rFonts w:hint="eastAsia" w:ascii="宋体" w:hAnsi="宋体" w:eastAsia="宋体" w:cs="宋体"/>
                <w:color w:val="000000"/>
                <w:kern w:val="0"/>
                <w:highlight w:val="none"/>
                <w:lang w:bidi="ar"/>
              </w:rPr>
              <w:t>profinet</w:t>
            </w:r>
            <w:r>
              <w:rPr>
                <w:rStyle w:val="143"/>
                <w:rFonts w:hint="eastAsia" w:ascii="宋体" w:hAnsi="宋体" w:eastAsia="宋体" w:cs="宋体"/>
                <w:sz w:val="21"/>
                <w:szCs w:val="21"/>
                <w:highlight w:val="none"/>
                <w:lang w:bidi="ar"/>
              </w:rPr>
              <w:t>接插线）</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lang w:val="de-DE"/>
              </w:rPr>
            </w:pPr>
            <w:r>
              <w:rPr>
                <w:rFonts w:hint="eastAsia" w:ascii="宋体" w:hAnsi="宋体" w:eastAsia="宋体" w:cs="宋体"/>
                <w:color w:val="000000"/>
                <w:kern w:val="0"/>
                <w:highlight w:val="none"/>
                <w:lang w:val="de-DE" w:bidi="ar"/>
              </w:rPr>
              <w:t>MURR/SIEMENS</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lang w:val="de-D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30</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 xml:space="preserve">profinet </w:t>
            </w:r>
            <w:r>
              <w:rPr>
                <w:rStyle w:val="143"/>
                <w:rFonts w:hint="eastAsia" w:ascii="宋体" w:hAnsi="宋体" w:eastAsia="宋体" w:cs="宋体"/>
                <w:sz w:val="21"/>
                <w:szCs w:val="21"/>
                <w:highlight w:val="none"/>
                <w:lang w:bidi="ar"/>
              </w:rPr>
              <w:t>电缆</w:t>
            </w:r>
            <w:r>
              <w:rPr>
                <w:rFonts w:hint="eastAsia" w:ascii="宋体" w:hAnsi="宋体" w:eastAsia="宋体" w:cs="宋体"/>
                <w:color w:val="000000"/>
                <w:kern w:val="0"/>
                <w:highlight w:val="none"/>
                <w:lang w:bidi="ar"/>
              </w:rPr>
              <w:t>(</w:t>
            </w:r>
            <w:r>
              <w:rPr>
                <w:rStyle w:val="143"/>
                <w:rFonts w:hint="eastAsia" w:ascii="宋体" w:hAnsi="宋体" w:eastAsia="宋体" w:cs="宋体"/>
                <w:sz w:val="21"/>
                <w:szCs w:val="21"/>
                <w:highlight w:val="none"/>
                <w:lang w:bidi="ar"/>
              </w:rPr>
              <w:t>非预铸线</w:t>
            </w:r>
            <w:r>
              <w:rPr>
                <w:rFonts w:hint="eastAsia" w:ascii="宋体" w:hAnsi="宋体" w:eastAsia="宋体" w:cs="宋体"/>
                <w:color w:val="000000"/>
                <w:kern w:val="0"/>
                <w:highlight w:val="none"/>
                <w:lang w:bidi="ar"/>
              </w:rPr>
              <w:t>)</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SIEMENS或同等品牌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31</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智能电流分配器</w:t>
            </w:r>
          </w:p>
        </w:tc>
        <w:tc>
          <w:tcPr>
            <w:tcW w:w="3726" w:type="dxa"/>
            <w:tcBorders>
              <w:top w:val="nil"/>
              <w:left w:val="nil"/>
              <w:bottom w:val="single" w:color="000000" w:sz="8" w:space="0"/>
              <w:right w:val="single" w:color="000000" w:sz="8" w:space="0"/>
            </w:tcBorders>
            <w:shd w:val="clear" w:color="auto" w:fill="auto"/>
            <w:noWrap/>
            <w:vAlign w:val="bottom"/>
          </w:tcPr>
          <w:p>
            <w:pPr>
              <w:widowControl/>
              <w:jc w:val="left"/>
              <w:textAlignment w:val="bottom"/>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MURR/</w:t>
            </w:r>
            <w:r>
              <w:rPr>
                <w:rStyle w:val="143"/>
                <w:rFonts w:hint="eastAsia" w:ascii="宋体" w:hAnsi="宋体" w:eastAsia="宋体" w:cs="宋体"/>
                <w:sz w:val="21"/>
                <w:szCs w:val="21"/>
                <w:highlight w:val="none"/>
                <w:lang w:bidi="ar"/>
              </w:rPr>
              <w:t>普尔士或同等品牌</w:t>
            </w:r>
          </w:p>
        </w:tc>
        <w:tc>
          <w:tcPr>
            <w:tcW w:w="1490" w:type="dxa"/>
            <w:tcBorders>
              <w:top w:val="nil"/>
              <w:left w:val="nil"/>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32</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四孔按钮</w:t>
            </w:r>
            <w:r>
              <w:rPr>
                <w:rFonts w:hint="eastAsia" w:ascii="宋体" w:hAnsi="宋体" w:eastAsia="宋体" w:cs="宋体"/>
                <w:color w:val="000000"/>
                <w:kern w:val="0"/>
                <w:highlight w:val="none"/>
                <w:lang w:bidi="ar"/>
              </w:rPr>
              <w:t>+</w:t>
            </w:r>
            <w:r>
              <w:rPr>
                <w:rStyle w:val="143"/>
                <w:rFonts w:hint="eastAsia" w:ascii="宋体" w:hAnsi="宋体" w:eastAsia="宋体" w:cs="宋体"/>
                <w:sz w:val="21"/>
                <w:szCs w:val="21"/>
                <w:highlight w:val="none"/>
                <w:lang w:bidi="ar"/>
              </w:rPr>
              <w:t>急停</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lang w:val="de-DE"/>
              </w:rPr>
            </w:pPr>
            <w:r>
              <w:rPr>
                <w:rFonts w:hint="eastAsia" w:ascii="宋体" w:hAnsi="宋体" w:eastAsia="宋体" w:cs="宋体"/>
                <w:color w:val="000000"/>
                <w:kern w:val="0"/>
                <w:highlight w:val="none"/>
                <w:lang w:val="de-DE" w:bidi="ar"/>
              </w:rPr>
              <w:t>SIEMENS</w:t>
            </w:r>
            <w:r>
              <w:rPr>
                <w:rStyle w:val="144"/>
                <w:rFonts w:hint="eastAsia" w:ascii="宋体" w:hAnsi="宋体" w:eastAsia="宋体" w:cs="宋体"/>
                <w:sz w:val="21"/>
                <w:szCs w:val="21"/>
                <w:highlight w:val="none"/>
                <w:lang w:val="de-DE" w:bidi="ar"/>
              </w:rPr>
              <w:t>/Schneider</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lang w:val="de-D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33</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电缆标签</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MURR或同等品牌</w:t>
            </w:r>
          </w:p>
        </w:tc>
        <w:tc>
          <w:tcPr>
            <w:tcW w:w="1490" w:type="dxa"/>
            <w:tcBorders>
              <w:top w:val="nil"/>
              <w:left w:val="nil"/>
              <w:bottom w:val="single" w:color="000000" w:sz="8" w:space="0"/>
              <w:right w:val="single" w:color="000000" w:sz="8" w:space="0"/>
            </w:tcBorders>
            <w:shd w:val="clear" w:color="auto" w:fill="auto"/>
            <w:noWrap/>
            <w:vAlign w:val="center"/>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34</w:t>
            </w:r>
          </w:p>
        </w:tc>
        <w:tc>
          <w:tcPr>
            <w:tcW w:w="3170" w:type="dxa"/>
            <w:tcBorders>
              <w:top w:val="nil"/>
              <w:left w:val="nil"/>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前置面板接口套件</w:t>
            </w:r>
          </w:p>
        </w:tc>
        <w:tc>
          <w:tcPr>
            <w:tcW w:w="3726" w:type="dxa"/>
            <w:tcBorders>
              <w:top w:val="nil"/>
              <w:left w:val="nil"/>
              <w:bottom w:val="single" w:color="000000" w:sz="8" w:space="0"/>
              <w:right w:val="single" w:color="000000" w:sz="8" w:space="0"/>
            </w:tcBorders>
            <w:shd w:val="clear" w:color="auto" w:fill="auto"/>
            <w:noWrap/>
            <w:vAlign w:val="bottom"/>
          </w:tcPr>
          <w:p>
            <w:pPr>
              <w:widowControl/>
              <w:jc w:val="left"/>
              <w:textAlignment w:val="bottom"/>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MURR</w:t>
            </w:r>
            <w:r>
              <w:rPr>
                <w:rStyle w:val="143"/>
                <w:rFonts w:hint="eastAsia" w:ascii="宋体" w:hAnsi="宋体" w:eastAsia="宋体" w:cs="宋体"/>
                <w:sz w:val="21"/>
                <w:szCs w:val="21"/>
                <w:highlight w:val="none"/>
                <w:lang w:bidi="ar"/>
              </w:rPr>
              <w:t>/施耐德</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vAlign w:val="center"/>
          </w:tcPr>
          <w:p>
            <w:pPr>
              <w:widowControl/>
              <w:jc w:val="center"/>
              <w:textAlignment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35</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接近开关</w:t>
            </w:r>
          </w:p>
        </w:tc>
        <w:tc>
          <w:tcPr>
            <w:tcW w:w="3726" w:type="dxa"/>
            <w:tcBorders>
              <w:top w:val="nil"/>
              <w:left w:val="nil"/>
              <w:bottom w:val="single" w:color="000000" w:sz="8" w:space="0"/>
              <w:right w:val="single" w:color="000000" w:sz="8" w:space="0"/>
            </w:tcBorders>
            <w:shd w:val="clear" w:color="auto" w:fill="auto"/>
            <w:noWrap/>
            <w:vAlign w:val="bottom"/>
          </w:tcPr>
          <w:p>
            <w:pPr>
              <w:widowControl/>
              <w:jc w:val="left"/>
              <w:textAlignment w:val="bottom"/>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BALUFF</w:t>
            </w:r>
            <w:r>
              <w:rPr>
                <w:rStyle w:val="143"/>
                <w:rFonts w:hint="eastAsia" w:ascii="宋体" w:hAnsi="宋体" w:eastAsia="宋体" w:cs="宋体"/>
                <w:sz w:val="21"/>
                <w:szCs w:val="21"/>
                <w:highlight w:val="none"/>
                <w:lang w:bidi="ar"/>
              </w:rPr>
              <w:t>/施耐德</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36</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光电开关</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BALUFF</w:t>
            </w:r>
            <w:r>
              <w:rPr>
                <w:rStyle w:val="143"/>
                <w:rFonts w:hint="eastAsia" w:ascii="宋体" w:hAnsi="宋体" w:eastAsia="宋体" w:cs="宋体"/>
                <w:sz w:val="21"/>
                <w:szCs w:val="21"/>
                <w:highlight w:val="none"/>
                <w:lang w:bidi="ar"/>
              </w:rPr>
              <w:t>/施耐德</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37</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气动元件</w:t>
            </w:r>
          </w:p>
        </w:tc>
        <w:tc>
          <w:tcPr>
            <w:tcW w:w="3726" w:type="dxa"/>
            <w:tcBorders>
              <w:top w:val="nil"/>
              <w:left w:val="nil"/>
              <w:bottom w:val="single" w:color="000000" w:sz="8" w:space="0"/>
              <w:right w:val="single" w:color="000000" w:sz="8" w:space="0"/>
            </w:tcBorders>
            <w:shd w:val="clear" w:color="auto" w:fill="auto"/>
            <w:noWrap/>
            <w:vAlign w:val="bottom"/>
          </w:tcPr>
          <w:p>
            <w:pPr>
              <w:widowControl/>
              <w:jc w:val="left"/>
              <w:textAlignment w:val="bottom"/>
              <w:rPr>
                <w:rFonts w:hint="eastAsia" w:ascii="宋体" w:hAnsi="宋体" w:eastAsia="宋体" w:cs="宋体"/>
                <w:color w:val="000000"/>
                <w:highlight w:val="none"/>
                <w:lang w:val="de-DE"/>
              </w:rPr>
            </w:pPr>
            <w:r>
              <w:rPr>
                <w:rFonts w:hint="eastAsia" w:ascii="宋体" w:hAnsi="宋体" w:eastAsia="宋体" w:cs="宋体"/>
                <w:color w:val="000000"/>
                <w:kern w:val="0"/>
                <w:highlight w:val="none"/>
                <w:lang w:val="de-DE" w:bidi="ar"/>
              </w:rPr>
              <w:t>FESTO/SMC</w:t>
            </w:r>
            <w:r>
              <w:rPr>
                <w:rFonts w:hint="eastAsia" w:ascii="宋体" w:hAnsi="宋体" w:eastAsia="宋体" w:cs="宋体"/>
                <w:color w:val="000000"/>
                <w:kern w:val="0"/>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lang w:val="de-D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38</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5"/>
                <w:rFonts w:hint="eastAsia" w:ascii="宋体" w:hAnsi="宋体" w:eastAsia="宋体" w:cs="宋体"/>
                <w:highlight w:val="none"/>
                <w:lang w:bidi="ar"/>
              </w:rPr>
              <w:t>直线轴承</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Style w:val="146"/>
                <w:rFonts w:hint="eastAsia" w:ascii="宋体" w:hAnsi="宋体" w:eastAsia="宋体" w:cs="宋体"/>
                <w:highlight w:val="none"/>
                <w:lang w:bidi="ar"/>
              </w:rPr>
              <w:t>THK</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39</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5"/>
                <w:rFonts w:hint="eastAsia" w:ascii="宋体" w:hAnsi="宋体" w:eastAsia="宋体" w:cs="宋体"/>
                <w:highlight w:val="none"/>
                <w:lang w:bidi="ar"/>
              </w:rPr>
              <w:t>润滑系统</w:t>
            </w:r>
            <w:r>
              <w:rPr>
                <w:rStyle w:val="146"/>
                <w:rFonts w:hint="eastAsia" w:ascii="宋体" w:hAnsi="宋体" w:eastAsia="宋体" w:cs="宋体"/>
                <w:highlight w:val="none"/>
                <w:lang w:bidi="ar"/>
              </w:rPr>
              <w:t>/</w:t>
            </w:r>
            <w:r>
              <w:rPr>
                <w:rStyle w:val="145"/>
                <w:rFonts w:hint="eastAsia" w:ascii="宋体" w:hAnsi="宋体" w:eastAsia="宋体" w:cs="宋体"/>
                <w:highlight w:val="none"/>
                <w:lang w:bidi="ar"/>
              </w:rPr>
              <w:t>涂油脂装置</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SKF/VOGEL</w:t>
            </w:r>
            <w:r>
              <w:rPr>
                <w:rStyle w:val="147"/>
                <w:rFonts w:hint="eastAsia" w:ascii="宋体" w:hAnsi="宋体" w:eastAsia="宋体" w:cs="宋体"/>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40</w:t>
            </w:r>
          </w:p>
        </w:tc>
        <w:tc>
          <w:tcPr>
            <w:tcW w:w="3170" w:type="dxa"/>
            <w:tcBorders>
              <w:top w:val="nil"/>
              <w:left w:val="nil"/>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Style w:val="145"/>
                <w:rFonts w:hint="eastAsia" w:ascii="宋体" w:hAnsi="宋体" w:eastAsia="宋体" w:cs="宋体"/>
                <w:highlight w:val="none"/>
                <w:lang w:bidi="ar"/>
              </w:rPr>
              <w:t>关键部件轴承</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Style w:val="146"/>
                <w:rFonts w:hint="eastAsia" w:ascii="宋体" w:hAnsi="宋体" w:eastAsia="宋体" w:cs="宋体"/>
                <w:highlight w:val="none"/>
                <w:lang w:bidi="ar"/>
              </w:rPr>
              <w:t>SKF</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41</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液压元件</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Parker</w:t>
            </w:r>
            <w:r>
              <w:rPr>
                <w:rStyle w:val="143"/>
                <w:rFonts w:hint="eastAsia" w:ascii="宋体" w:hAnsi="宋体" w:eastAsia="宋体" w:cs="宋体"/>
                <w:sz w:val="21"/>
                <w:szCs w:val="21"/>
                <w:highlight w:val="none"/>
                <w:lang w:bidi="ar"/>
              </w:rPr>
              <w:t>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r>
        <w:tblPrEx>
          <w:tblCellMar>
            <w:top w:w="0" w:type="dxa"/>
            <w:left w:w="108" w:type="dxa"/>
            <w:bottom w:w="0" w:type="dxa"/>
            <w:right w:w="108" w:type="dxa"/>
          </w:tblCellMar>
        </w:tblPrEx>
        <w:trPr>
          <w:trHeight w:val="454" w:hRule="atLeast"/>
        </w:trPr>
        <w:tc>
          <w:tcPr>
            <w:tcW w:w="656" w:type="dxa"/>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42</w:t>
            </w:r>
          </w:p>
        </w:tc>
        <w:tc>
          <w:tcPr>
            <w:tcW w:w="3170" w:type="dxa"/>
            <w:tcBorders>
              <w:top w:val="nil"/>
              <w:left w:val="nil"/>
              <w:bottom w:val="single" w:color="000000" w:sz="8" w:space="0"/>
              <w:right w:val="single" w:color="000000" w:sz="8" w:space="0"/>
            </w:tcBorders>
            <w:shd w:val="clear" w:color="auto" w:fill="auto"/>
            <w:noWrap/>
            <w:vAlign w:val="bottom"/>
          </w:tcPr>
          <w:p>
            <w:pPr>
              <w:widowControl/>
              <w:jc w:val="center"/>
              <w:textAlignment w:val="bottom"/>
              <w:rPr>
                <w:rFonts w:hint="eastAsia" w:ascii="宋体" w:hAnsi="宋体" w:eastAsia="宋体" w:cs="宋体"/>
                <w:color w:val="000000"/>
                <w:highlight w:val="none"/>
              </w:rPr>
            </w:pPr>
            <w:r>
              <w:rPr>
                <w:rStyle w:val="143"/>
                <w:rFonts w:hint="eastAsia" w:ascii="宋体" w:hAnsi="宋体" w:eastAsia="宋体" w:cs="宋体"/>
                <w:sz w:val="21"/>
                <w:szCs w:val="21"/>
                <w:highlight w:val="none"/>
                <w:lang w:bidi="ar"/>
              </w:rPr>
              <w:t>电机</w:t>
            </w:r>
          </w:p>
        </w:tc>
        <w:tc>
          <w:tcPr>
            <w:tcW w:w="3726" w:type="dxa"/>
            <w:tcBorders>
              <w:top w:val="nil"/>
              <w:left w:val="nil"/>
              <w:bottom w:val="single" w:color="000000" w:sz="8" w:space="0"/>
              <w:right w:val="single" w:color="000000" w:sz="8" w:space="0"/>
            </w:tcBorders>
            <w:shd w:val="clear" w:color="auto" w:fill="auto"/>
            <w:noWrap/>
            <w:vAlign w:val="center"/>
          </w:tcPr>
          <w:p>
            <w:pPr>
              <w:widowControl/>
              <w:jc w:val="left"/>
              <w:textAlignment w:val="center"/>
              <w:rPr>
                <w:rFonts w:hint="eastAsia" w:ascii="宋体" w:hAnsi="宋体" w:eastAsia="宋体" w:cs="宋体"/>
                <w:color w:val="000000"/>
                <w:highlight w:val="none"/>
              </w:rPr>
            </w:pPr>
            <w:r>
              <w:rPr>
                <w:rFonts w:hint="eastAsia" w:ascii="宋体" w:hAnsi="宋体" w:eastAsia="宋体" w:cs="宋体"/>
                <w:color w:val="000000"/>
                <w:kern w:val="0"/>
                <w:highlight w:val="none"/>
                <w:lang w:bidi="ar"/>
              </w:rPr>
              <w:t>SEW或同等品牌</w:t>
            </w:r>
          </w:p>
        </w:tc>
        <w:tc>
          <w:tcPr>
            <w:tcW w:w="1490" w:type="dxa"/>
            <w:tcBorders>
              <w:top w:val="nil"/>
              <w:left w:val="nil"/>
              <w:bottom w:val="single" w:color="000000" w:sz="8" w:space="0"/>
              <w:right w:val="single" w:color="000000" w:sz="8" w:space="0"/>
            </w:tcBorders>
            <w:shd w:val="clear" w:color="auto" w:fill="auto"/>
            <w:noWrap/>
            <w:vAlign w:val="bottom"/>
          </w:tcPr>
          <w:p>
            <w:pPr>
              <w:jc w:val="center"/>
              <w:rPr>
                <w:rFonts w:hint="eastAsia" w:ascii="宋体" w:hAnsi="宋体" w:eastAsia="宋体" w:cs="宋体"/>
                <w:color w:val="000000"/>
                <w:highlight w:val="none"/>
              </w:rPr>
            </w:pPr>
          </w:p>
        </w:tc>
      </w:tr>
    </w:tbl>
    <w:p>
      <w:pPr>
        <w:rPr>
          <w:rFonts w:hint="eastAsia" w:ascii="宋体" w:hAnsi="宋体" w:eastAsia="宋体" w:cs="宋体"/>
          <w:highlight w:val="none"/>
        </w:rPr>
      </w:pPr>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highlight w:val="none"/>
        </w:rPr>
      </w:pPr>
      <w:r>
        <w:rPr>
          <w:rFonts w:hint="eastAsia" w:ascii="宋体" w:hAnsi="宋体" w:eastAsia="宋体" w:cs="宋体"/>
          <w:highlight w:val="none"/>
        </w:rPr>
        <w:t>3.投标方在图纸会签和技术协议中应说明所用配置具体产品品牌、规格、型号、参数、数量、产地等，满足招标方使用要求。</w:t>
      </w:r>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highlight w:val="none"/>
        </w:rPr>
      </w:pPr>
      <w:r>
        <w:rPr>
          <w:rFonts w:hint="eastAsia" w:ascii="宋体" w:hAnsi="宋体" w:eastAsia="宋体" w:cs="宋体"/>
          <w:highlight w:val="none"/>
        </w:rPr>
        <w:t>4.设备表面漆面颜色符合《Q-ZZ 30070 设备设施颜色标识》规定，外观无明显缺陷。</w:t>
      </w:r>
    </w:p>
    <w:p>
      <w:pPr>
        <w:pStyle w:val="141"/>
        <w:ind w:firstLine="480"/>
        <w:rPr>
          <w:rFonts w:hint="eastAsia" w:ascii="宋体" w:hAnsi="宋体" w:eastAsia="宋体" w:cs="宋体"/>
          <w:highlight w:val="none"/>
        </w:rPr>
      </w:pPr>
      <w:r>
        <w:rPr>
          <w:rFonts w:hint="eastAsia" w:ascii="宋体" w:hAnsi="宋体" w:eastAsia="宋体" w:cs="宋体"/>
          <w:highlight w:val="none"/>
        </w:rPr>
        <w:t>5.工程界面</w:t>
      </w:r>
    </w:p>
    <w:tbl>
      <w:tblPr>
        <w:tblStyle w:val="41"/>
        <w:tblpPr w:leftFromText="180" w:rightFromText="180" w:vertAnchor="text" w:horzAnchor="page" w:tblpX="1340" w:tblpY="241"/>
        <w:tblOverlap w:val="never"/>
        <w:tblW w:w="93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58"/>
        <w:gridCol w:w="5100"/>
        <w:gridCol w:w="1338"/>
        <w:gridCol w:w="1525"/>
        <w:gridCol w:w="8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序号</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内容</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招标方</w:t>
            </w:r>
          </w:p>
        </w:tc>
        <w:tc>
          <w:tcPr>
            <w:tcW w:w="1525" w:type="dxa"/>
            <w:vAlign w:val="center"/>
          </w:tcPr>
          <w:p>
            <w:pPr>
              <w:jc w:val="center"/>
              <w:rPr>
                <w:rFonts w:hint="eastAsia" w:ascii="宋体" w:hAnsi="宋体" w:eastAsia="宋体" w:cs="宋体"/>
                <w:highlight w:val="none"/>
              </w:rPr>
            </w:pPr>
            <w:r>
              <w:rPr>
                <w:rFonts w:hint="eastAsia" w:ascii="宋体" w:hAnsi="宋体" w:eastAsia="宋体" w:cs="宋体"/>
                <w:highlight w:val="none"/>
              </w:rPr>
              <w:t>投标方</w:t>
            </w:r>
          </w:p>
        </w:tc>
        <w:tc>
          <w:tcPr>
            <w:tcW w:w="859" w:type="dxa"/>
            <w:vAlign w:val="center"/>
          </w:tcPr>
          <w:p>
            <w:pPr>
              <w:jc w:val="center"/>
              <w:rPr>
                <w:rFonts w:hint="eastAsia" w:ascii="宋体" w:hAnsi="宋体" w:eastAsia="宋体" w:cs="宋体"/>
                <w:highlight w:val="none"/>
              </w:rPr>
            </w:pPr>
            <w:r>
              <w:rPr>
                <w:rFonts w:hint="eastAsia" w:ascii="宋体" w:hAnsi="宋体" w:eastAsia="宋体" w:cs="宋体"/>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1</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整体工艺方案设计、布局设计</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2</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设备的设计、采购、制造、安装、调试</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3</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货物的运输、装卸及施工</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4</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输送改造及工艺钢构施工设计安装调试</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5</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设备安放基础的设计、制作</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6</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安调期间施工用能</w:t>
            </w:r>
          </w:p>
        </w:tc>
        <w:tc>
          <w:tcPr>
            <w:tcW w:w="1338"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1525"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7</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工件相关资料提供</w:t>
            </w:r>
          </w:p>
        </w:tc>
        <w:tc>
          <w:tcPr>
            <w:tcW w:w="1338"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1525"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8</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压缩空气</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9</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电源</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10</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施工区域及设备保洁</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11</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施工现场消防、安全</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b/>
                <w:bCs/>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12</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所需的必要设备堆放场地提供</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b/>
                <w:bCs/>
                <w:highlight w:val="none"/>
              </w:rPr>
              <w:t>√</w:t>
            </w:r>
          </w:p>
        </w:tc>
        <w:tc>
          <w:tcPr>
            <w:tcW w:w="1525"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859" w:type="dxa"/>
            <w:vAlign w:val="center"/>
          </w:tcPr>
          <w:p>
            <w:pPr>
              <w:rPr>
                <w:rFonts w:hint="eastAsia" w:ascii="宋体" w:hAnsi="宋体" w:eastAsia="宋体" w:cs="宋体"/>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558" w:type="dxa"/>
            <w:vAlign w:val="center"/>
          </w:tcPr>
          <w:p>
            <w:pPr>
              <w:jc w:val="center"/>
              <w:rPr>
                <w:rFonts w:hint="eastAsia" w:ascii="宋体" w:hAnsi="宋体" w:eastAsia="宋体" w:cs="宋体"/>
                <w:highlight w:val="none"/>
              </w:rPr>
            </w:pPr>
            <w:r>
              <w:rPr>
                <w:rFonts w:hint="eastAsia" w:ascii="宋体" w:hAnsi="宋体" w:eastAsia="宋体" w:cs="宋体"/>
                <w:highlight w:val="none"/>
              </w:rPr>
              <w:t>13</w:t>
            </w:r>
          </w:p>
        </w:tc>
        <w:tc>
          <w:tcPr>
            <w:tcW w:w="5100" w:type="dxa"/>
            <w:vAlign w:val="center"/>
          </w:tcPr>
          <w:p>
            <w:pPr>
              <w:jc w:val="center"/>
              <w:rPr>
                <w:rFonts w:hint="eastAsia" w:ascii="宋体" w:hAnsi="宋体" w:eastAsia="宋体" w:cs="宋体"/>
                <w:highlight w:val="none"/>
              </w:rPr>
            </w:pPr>
            <w:r>
              <w:rPr>
                <w:rFonts w:hint="eastAsia" w:ascii="宋体" w:hAnsi="宋体" w:eastAsia="宋体" w:cs="宋体"/>
                <w:highlight w:val="none"/>
              </w:rPr>
              <w:t>设备技术资料</w:t>
            </w:r>
          </w:p>
        </w:tc>
        <w:tc>
          <w:tcPr>
            <w:tcW w:w="1338" w:type="dxa"/>
            <w:vAlign w:val="center"/>
          </w:tcPr>
          <w:p>
            <w:pPr>
              <w:jc w:val="center"/>
              <w:rPr>
                <w:rFonts w:hint="eastAsia" w:ascii="宋体" w:hAnsi="宋体" w:eastAsia="宋体" w:cs="宋体"/>
                <w:highlight w:val="none"/>
              </w:rPr>
            </w:pPr>
            <w:r>
              <w:rPr>
                <w:rFonts w:hint="eastAsia" w:ascii="宋体" w:hAnsi="宋体" w:eastAsia="宋体" w:cs="宋体"/>
                <w:highlight w:val="none"/>
              </w:rPr>
              <w:t>/</w:t>
            </w:r>
          </w:p>
        </w:tc>
        <w:tc>
          <w:tcPr>
            <w:tcW w:w="1525" w:type="dxa"/>
            <w:vAlign w:val="center"/>
          </w:tcPr>
          <w:p>
            <w:pPr>
              <w:jc w:val="center"/>
              <w:rPr>
                <w:rFonts w:hint="eastAsia" w:ascii="宋体" w:hAnsi="宋体" w:eastAsia="宋体" w:cs="宋体"/>
                <w:highlight w:val="none"/>
              </w:rPr>
            </w:pPr>
            <w:r>
              <w:rPr>
                <w:rFonts w:hint="eastAsia" w:ascii="宋体" w:hAnsi="宋体" w:eastAsia="宋体" w:cs="宋体"/>
                <w:b/>
                <w:bCs/>
                <w:highlight w:val="none"/>
              </w:rPr>
              <w:t>√</w:t>
            </w:r>
          </w:p>
        </w:tc>
        <w:tc>
          <w:tcPr>
            <w:tcW w:w="859" w:type="dxa"/>
            <w:vAlign w:val="center"/>
          </w:tcPr>
          <w:p>
            <w:pPr>
              <w:rPr>
                <w:rFonts w:hint="eastAsia" w:ascii="宋体" w:hAnsi="宋体" w:eastAsia="宋体" w:cs="宋体"/>
                <w:highlight w:val="none"/>
              </w:rPr>
            </w:pPr>
          </w:p>
        </w:tc>
      </w:tr>
    </w:tbl>
    <w:p>
      <w:pPr>
        <w:spacing w:line="360" w:lineRule="auto"/>
        <w:rPr>
          <w:rFonts w:hint="eastAsia" w:ascii="宋体" w:hAnsi="宋体" w:eastAsia="宋体" w:cs="宋体"/>
          <w:sz w:val="28"/>
          <w:szCs w:val="28"/>
          <w:highlight w:val="none"/>
        </w:rPr>
      </w:pPr>
    </w:p>
    <w:p>
      <w:pPr>
        <w:pStyle w:val="2"/>
        <w:jc w:val="center"/>
        <w:rPr>
          <w:rStyle w:val="140"/>
          <w:rFonts w:hint="eastAsia" w:ascii="宋体" w:hAnsi="宋体" w:eastAsia="宋体" w:cs="宋体"/>
          <w:b/>
          <w:bCs/>
          <w:highlight w:val="none"/>
        </w:rPr>
      </w:pPr>
      <w:bookmarkStart w:id="42" w:name="_Toc178067746"/>
      <w:r>
        <w:rPr>
          <w:rStyle w:val="140"/>
          <w:rFonts w:hint="eastAsia" w:ascii="宋体" w:hAnsi="宋体" w:eastAsia="宋体" w:cs="宋体"/>
          <w:b/>
          <w:bCs/>
          <w:highlight w:val="none"/>
        </w:rPr>
        <w:t>五、技术要求</w:t>
      </w:r>
      <w:bookmarkEnd w:id="42"/>
      <w:r>
        <w:rPr>
          <w:rStyle w:val="140"/>
          <w:rFonts w:hint="eastAsia" w:ascii="宋体" w:hAnsi="宋体" w:eastAsia="宋体" w:cs="宋体"/>
          <w:b/>
          <w:bCs/>
          <w:highlight w:val="none"/>
        </w:rPr>
        <w:t>（专用）</w:t>
      </w:r>
    </w:p>
    <w:p>
      <w:pPr>
        <w:pStyle w:val="3"/>
        <w:pageBreakBefore w:val="0"/>
        <w:widowControl w:val="0"/>
        <w:kinsoku/>
        <w:wordWrap/>
        <w:overflowPunct/>
        <w:topLinePunct w:val="0"/>
        <w:autoSpaceDE/>
        <w:autoSpaceDN/>
        <w:bidi w:val="0"/>
        <w:adjustRightInd/>
        <w:snapToGrid/>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1.项目整体要求</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1.1分装线</w:t>
      </w:r>
      <w:r>
        <w:rPr>
          <w:rFonts w:hint="eastAsia" w:ascii="宋体" w:hAnsi="宋体" w:eastAsia="宋体" w:cs="宋体"/>
          <w:color w:val="000000" w:themeColor="text1"/>
          <w:highlight w:val="none"/>
          <w:lang w:val="en-US" w:eastAsia="zh-CN"/>
          <w14:textFill>
            <w14:solidFill>
              <w14:schemeClr w14:val="tx1"/>
            </w14:solidFill>
          </w14:textFill>
        </w:rPr>
        <w:t>输送</w:t>
      </w:r>
      <w:r>
        <w:rPr>
          <w:rFonts w:hint="eastAsia" w:ascii="宋体" w:hAnsi="宋体" w:eastAsia="宋体" w:cs="宋体"/>
          <w:color w:val="000000" w:themeColor="text1"/>
          <w:highlight w:val="none"/>
          <w14:textFill>
            <w14:solidFill>
              <w14:schemeClr w14:val="tx1"/>
            </w14:solidFill>
          </w14:textFill>
        </w:rPr>
        <w:t>的工件及工位，见第三部分”涉及产品”。</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1.2节拍要求：分装线链速</w:t>
      </w:r>
      <w:r>
        <w:rPr>
          <w:rFonts w:hint="eastAsia" w:ascii="宋体" w:hAnsi="宋体" w:eastAsia="宋体" w:cs="宋体"/>
          <w:color w:val="000000" w:themeColor="text1"/>
          <w:highlight w:val="none"/>
          <w:lang w:val="en-US" w:eastAsia="zh-CN"/>
          <w14:textFill>
            <w14:solidFill>
              <w14:schemeClr w14:val="tx1"/>
            </w14:solidFill>
          </w14:textFill>
        </w:rPr>
        <w:t>1</w:t>
      </w:r>
      <w:r>
        <w:rPr>
          <w:rFonts w:hint="eastAsia" w:ascii="宋体" w:hAnsi="宋体" w:eastAsia="宋体" w:cs="宋体"/>
          <w:color w:val="000000" w:themeColor="text1"/>
          <w:highlight w:val="none"/>
          <w14:textFill>
            <w14:solidFill>
              <w14:schemeClr w14:val="tx1"/>
            </w14:solidFill>
          </w14:textFill>
        </w:rPr>
        <w:t>m～3m/min，变频可调。</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highlight w:val="none"/>
        </w:rPr>
      </w:pPr>
      <w:r>
        <w:rPr>
          <w:rFonts w:hint="eastAsia" w:ascii="宋体" w:hAnsi="宋体" w:eastAsia="宋体" w:cs="宋体"/>
          <w:color w:val="000000" w:themeColor="text1"/>
          <w:highlight w:val="none"/>
          <w14:textFill>
            <w14:solidFill>
              <w14:schemeClr w14:val="tx1"/>
            </w14:solidFill>
          </w14:textFill>
        </w:rPr>
        <w:t>1.3</w:t>
      </w:r>
      <w:r>
        <w:rPr>
          <w:rFonts w:hint="eastAsia" w:ascii="宋体" w:hAnsi="宋体" w:eastAsia="宋体" w:cs="宋体"/>
          <w:highlight w:val="none"/>
        </w:rPr>
        <w:t>该</w:t>
      </w:r>
      <w:r>
        <w:rPr>
          <w:rFonts w:hint="eastAsia" w:ascii="宋体" w:hAnsi="宋体" w:eastAsia="宋体" w:cs="宋体"/>
          <w:highlight w:val="none"/>
          <w:lang w:val="en-US" w:eastAsia="zh-CN"/>
        </w:rPr>
        <w:t>顶导流罩</w:t>
      </w:r>
      <w:r>
        <w:rPr>
          <w:rFonts w:hint="eastAsia" w:ascii="宋体" w:hAnsi="宋体" w:eastAsia="宋体" w:cs="宋体"/>
          <w:highlight w:val="none"/>
        </w:rPr>
        <w:t>分装线可以覆盖</w:t>
      </w:r>
      <w:r>
        <w:rPr>
          <w:rFonts w:hint="eastAsia" w:ascii="宋体" w:hAnsi="宋体" w:eastAsia="宋体" w:cs="宋体"/>
          <w:b w:val="0"/>
          <w:bCs w:val="0"/>
          <w:highlight w:val="none"/>
          <w:lang w:val="en-US" w:eastAsia="zh-CN"/>
        </w:rPr>
        <w:t>济南商用车制造公司所有顶导流罩与翼导流罩</w:t>
      </w:r>
      <w:r>
        <w:rPr>
          <w:rFonts w:hint="eastAsia" w:ascii="宋体" w:hAnsi="宋体" w:eastAsia="宋体" w:cs="宋体"/>
          <w:b w:val="0"/>
          <w:bCs w:val="0"/>
          <w:highlight w:val="none"/>
        </w:rPr>
        <w:t>产品。</w:t>
      </w:r>
    </w:p>
    <w:p>
      <w:pPr>
        <w:pStyle w:val="3"/>
        <w:pageBreakBefore w:val="0"/>
        <w:widowControl w:val="0"/>
        <w:kinsoku/>
        <w:wordWrap/>
        <w:overflowPunct/>
        <w:topLinePunct w:val="0"/>
        <w:autoSpaceDE/>
        <w:autoSpaceDN/>
        <w:bidi w:val="0"/>
        <w:adjustRightInd/>
        <w:snapToGrid/>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2.主要结构及技术要求</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
          <w:bCs/>
          <w:color w:val="000000" w:themeColor="text1"/>
          <w:highlight w:val="none"/>
          <w14:textFill>
            <w14:solidFill>
              <w14:schemeClr w14:val="tx1"/>
            </w14:solidFill>
          </w14:textFill>
        </w:rPr>
      </w:pPr>
      <w:r>
        <w:rPr>
          <w:rFonts w:hint="eastAsia" w:ascii="宋体" w:hAnsi="宋体" w:eastAsia="宋体" w:cs="宋体"/>
          <w:b/>
          <w:bCs/>
          <w:color w:val="000000" w:themeColor="text1"/>
          <w:highlight w:val="none"/>
          <w14:textFill>
            <w14:solidFill>
              <w14:schemeClr w14:val="tx1"/>
            </w14:solidFill>
          </w14:textFill>
        </w:rPr>
        <w:t>2.1基础施工</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2.1.1 设备直接安放在当前的混凝土地面上，不再另外做设备基础。</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2.1.2 电、压缩空气等公用动力，基于招标方车间的设施现状，投标方负责接入当前的接口位置。</w:t>
      </w:r>
    </w:p>
    <w:p>
      <w:pPr>
        <w:pStyle w:val="141"/>
        <w:pageBreakBefore w:val="0"/>
        <w:widowControl w:val="0"/>
        <w:kinsoku/>
        <w:wordWrap/>
        <w:overflowPunct/>
        <w:topLinePunct w:val="0"/>
        <w:autoSpaceDE/>
        <w:autoSpaceDN/>
        <w:bidi w:val="0"/>
        <w:adjustRightInd/>
        <w:snapToGrid/>
        <w:ind w:firstLine="482" w:firstLineChars="200"/>
        <w:textAlignment w:val="auto"/>
        <w:rPr>
          <w:rFonts w:hint="eastAsia" w:ascii="宋体" w:hAnsi="宋体" w:eastAsia="宋体" w:cs="宋体"/>
          <w:b/>
          <w:bCs/>
          <w:color w:val="000000" w:themeColor="text1"/>
          <w:highlight w:val="none"/>
          <w14:textFill>
            <w14:solidFill>
              <w14:schemeClr w14:val="tx1"/>
            </w14:solidFill>
          </w14:textFill>
        </w:rPr>
      </w:pPr>
      <w:r>
        <w:rPr>
          <w:rFonts w:hint="eastAsia" w:ascii="宋体" w:hAnsi="宋体" w:eastAsia="宋体" w:cs="宋体"/>
          <w:b/>
          <w:bCs/>
          <w:color w:val="000000" w:themeColor="text1"/>
          <w:highlight w:val="none"/>
          <w14:textFill>
            <w14:solidFill>
              <w14:schemeClr w14:val="tx1"/>
            </w14:solidFill>
          </w14:textFill>
        </w:rPr>
        <w:t>2.2设备主体骨架</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lang w:eastAsia="zh-CN"/>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2.2.1线体主体框架采用80*60*5矩管、60*40*4矩管、</w:t>
      </w:r>
      <w:r>
        <w:rPr>
          <w:rFonts w:hint="eastAsia" w:ascii="宋体" w:hAnsi="宋体" w:eastAsia="宋体" w:cs="宋体"/>
          <w:color w:val="000000" w:themeColor="text1"/>
          <w:highlight w:val="none"/>
          <w:lang w:val="en-US" w:eastAsia="zh-CN"/>
          <w14:textFill>
            <w14:solidFill>
              <w14:schemeClr w14:val="tx1"/>
            </w14:solidFill>
          </w14:textFill>
        </w:rPr>
        <w:t>10</w:t>
      </w:r>
      <w:r>
        <w:rPr>
          <w:rFonts w:hint="eastAsia" w:ascii="宋体" w:hAnsi="宋体" w:eastAsia="宋体" w:cs="宋体"/>
          <w:color w:val="000000" w:themeColor="text1"/>
          <w:highlight w:val="none"/>
          <w14:textFill>
            <w14:solidFill>
              <w14:schemeClr w14:val="tx1"/>
            </w14:solidFill>
          </w14:textFill>
        </w:rPr>
        <w:t>mm钢板组合焊接而成。</w:t>
      </w:r>
      <w:r>
        <w:rPr>
          <w:rFonts w:hint="eastAsia" w:ascii="宋体" w:hAnsi="宋体" w:eastAsia="宋体" w:cs="宋体"/>
          <w:color w:val="000000" w:themeColor="text1"/>
          <w:highlight w:val="none"/>
          <w:lang w:val="en-US" w:eastAsia="zh-CN"/>
          <w14:textFill>
            <w14:solidFill>
              <w14:schemeClr w14:val="tx1"/>
            </w14:solidFill>
          </w14:textFill>
        </w:rPr>
        <w:t>2条</w:t>
      </w:r>
      <w:r>
        <w:rPr>
          <w:rFonts w:hint="eastAsia" w:ascii="宋体" w:hAnsi="宋体" w:eastAsia="宋体" w:cs="宋体"/>
          <w:color w:val="000000" w:themeColor="text1"/>
          <w:highlight w:val="none"/>
          <w14:textFill>
            <w14:solidFill>
              <w14:schemeClr w14:val="tx1"/>
            </w14:solidFill>
          </w14:textFill>
        </w:rPr>
        <w:t>分装线</w:t>
      </w:r>
      <w:r>
        <w:rPr>
          <w:rFonts w:hint="eastAsia" w:ascii="宋体" w:hAnsi="宋体" w:eastAsia="宋体" w:cs="宋体"/>
          <w:color w:val="000000" w:themeColor="text1"/>
          <w:highlight w:val="none"/>
          <w:lang w:val="en-US" w:eastAsia="zh-CN"/>
          <w14:textFill>
            <w14:solidFill>
              <w14:schemeClr w14:val="tx1"/>
            </w14:solidFill>
          </w14:textFill>
        </w:rPr>
        <w:t>皆</w:t>
      </w:r>
      <w:r>
        <w:rPr>
          <w:rFonts w:hint="eastAsia" w:ascii="宋体" w:hAnsi="宋体" w:eastAsia="宋体" w:cs="宋体"/>
          <w:color w:val="000000" w:themeColor="text1"/>
          <w:highlight w:val="none"/>
          <w14:textFill>
            <w14:solidFill>
              <w14:schemeClr w14:val="tx1"/>
            </w14:solidFill>
          </w14:textFill>
        </w:rPr>
        <w:t>长</w:t>
      </w:r>
      <w:r>
        <w:rPr>
          <w:rFonts w:hint="eastAsia" w:ascii="宋体" w:hAnsi="宋体" w:eastAsia="宋体" w:cs="宋体"/>
          <w:color w:val="000000" w:themeColor="text1"/>
          <w:highlight w:val="none"/>
          <w:lang w:val="en-US" w:eastAsia="zh-CN"/>
          <w14:textFill>
            <w14:solidFill>
              <w14:schemeClr w14:val="tx1"/>
            </w14:solidFill>
          </w14:textFill>
        </w:rPr>
        <w:t>14</w:t>
      </w:r>
      <w:r>
        <w:rPr>
          <w:rFonts w:hint="eastAsia" w:ascii="宋体" w:hAnsi="宋体" w:eastAsia="宋体" w:cs="宋体"/>
          <w:color w:val="000000" w:themeColor="text1"/>
          <w:highlight w:val="none"/>
          <w14:textFill>
            <w14:solidFill>
              <w14:schemeClr w14:val="tx1"/>
            </w14:solidFill>
          </w14:textFill>
        </w:rPr>
        <w:t>m、宽</w:t>
      </w:r>
      <w:r>
        <w:rPr>
          <w:rFonts w:hint="eastAsia" w:ascii="宋体" w:hAnsi="宋体" w:eastAsia="宋体" w:cs="宋体"/>
          <w:color w:val="000000" w:themeColor="text1"/>
          <w:highlight w:val="none"/>
          <w:lang w:val="en-US" w:eastAsia="zh-CN"/>
          <w14:textFill>
            <w14:solidFill>
              <w14:schemeClr w14:val="tx1"/>
            </w14:solidFill>
          </w14:textFill>
        </w:rPr>
        <w:t>1.05</w:t>
      </w:r>
      <w:r>
        <w:rPr>
          <w:rFonts w:hint="eastAsia" w:ascii="宋体" w:hAnsi="宋体" w:eastAsia="宋体" w:cs="宋体"/>
          <w:color w:val="000000" w:themeColor="text1"/>
          <w:highlight w:val="none"/>
          <w14:textFill>
            <w14:solidFill>
              <w14:schemeClr w14:val="tx1"/>
            </w14:solidFill>
          </w14:textFill>
        </w:rPr>
        <w:t>m、</w:t>
      </w:r>
      <w:r>
        <w:rPr>
          <w:rFonts w:hint="eastAsia" w:ascii="宋体" w:hAnsi="宋体" w:eastAsia="宋体" w:cs="宋体"/>
          <w:color w:val="000000" w:themeColor="text1"/>
          <w:highlight w:val="none"/>
          <w:lang w:val="en-US" w:eastAsia="zh-CN"/>
          <w14:textFill>
            <w14:solidFill>
              <w14:schemeClr w14:val="tx1"/>
            </w14:solidFill>
          </w14:textFill>
        </w:rPr>
        <w:t>高0.86m</w:t>
      </w:r>
      <w:r>
        <w:rPr>
          <w:rFonts w:hint="eastAsia" w:ascii="宋体" w:hAnsi="宋体" w:eastAsia="宋体" w:cs="宋体"/>
          <w:color w:val="000000" w:themeColor="text1"/>
          <w:highlight w:val="none"/>
          <w:lang w:eastAsia="zh-CN"/>
          <w14:textFill>
            <w14:solidFill>
              <w14:schemeClr w14:val="tx1"/>
            </w14:solidFill>
          </w14:textFill>
        </w:rPr>
        <w:t>。</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2.2.2</w:t>
      </w:r>
      <w:r>
        <w:rPr>
          <w:rFonts w:hint="eastAsia" w:ascii="宋体" w:hAnsi="宋体" w:eastAsia="宋体" w:cs="宋体"/>
          <w:color w:val="000000" w:themeColor="text1"/>
          <w:highlight w:val="none"/>
          <w:lang w:val="en-US" w:eastAsia="zh-CN"/>
          <w14:textFill>
            <w14:solidFill>
              <w14:schemeClr w14:val="tx1"/>
            </w14:solidFill>
          </w14:textFill>
        </w:rPr>
        <w:t>导流罩</w:t>
      </w:r>
      <w:r>
        <w:rPr>
          <w:rFonts w:hint="eastAsia" w:ascii="宋体" w:hAnsi="宋体" w:eastAsia="宋体" w:cs="宋体"/>
          <w:color w:val="000000" w:themeColor="text1"/>
          <w:highlight w:val="none"/>
          <w14:textFill>
            <w14:solidFill>
              <w14:schemeClr w14:val="tx1"/>
            </w14:solidFill>
          </w14:textFill>
        </w:rPr>
        <w:t>总成平行于分装线，共设置6个工位，每工位长</w:t>
      </w:r>
      <w:r>
        <w:rPr>
          <w:rFonts w:hint="eastAsia" w:ascii="宋体" w:hAnsi="宋体" w:eastAsia="宋体" w:cs="宋体"/>
          <w:color w:val="000000" w:themeColor="text1"/>
          <w:highlight w:val="none"/>
          <w:lang w:val="en-US" w:eastAsia="zh-CN"/>
          <w14:textFill>
            <w14:solidFill>
              <w14:schemeClr w14:val="tx1"/>
            </w14:solidFill>
          </w14:textFill>
        </w:rPr>
        <w:t>2.2</w:t>
      </w:r>
      <w:r>
        <w:rPr>
          <w:rFonts w:hint="eastAsia" w:ascii="宋体" w:hAnsi="宋体" w:eastAsia="宋体" w:cs="宋体"/>
          <w:color w:val="000000" w:themeColor="text1"/>
          <w:highlight w:val="none"/>
          <w14:textFill>
            <w14:solidFill>
              <w14:schemeClr w14:val="tx1"/>
            </w14:solidFill>
          </w14:textFill>
        </w:rPr>
        <w:t>m。</w:t>
      </w:r>
      <w:r>
        <w:rPr>
          <w:rFonts w:hint="eastAsia" w:ascii="宋体" w:hAnsi="宋体" w:eastAsia="宋体" w:cs="宋体"/>
          <w:color w:val="000000" w:themeColor="text1"/>
          <w:highlight w:val="none"/>
          <w:lang w:val="en-US" w:eastAsia="zh-CN"/>
          <w14:textFill>
            <w14:solidFill>
              <w14:schemeClr w14:val="tx1"/>
            </w14:solidFill>
          </w14:textFill>
        </w:rPr>
        <w:t>顶导流</w:t>
      </w:r>
      <w:r>
        <w:rPr>
          <w:rFonts w:hint="eastAsia" w:ascii="宋体" w:hAnsi="宋体" w:eastAsia="宋体" w:cs="宋体"/>
          <w:color w:val="000000" w:themeColor="text1"/>
          <w:highlight w:val="none"/>
          <w14:textFill>
            <w14:solidFill>
              <w14:schemeClr w14:val="tx1"/>
            </w14:solidFill>
          </w14:textFill>
        </w:rPr>
        <w:t>分装线由膨胀螺栓与混凝土地面固定。</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2.2.3 承重轨道采用15kg轻轨，轨道压板固定在主体框架上，保证两条轨道的平行度。</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lang w:eastAsia="zh-CN"/>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2.2.4设备主体骨架做成直线式</w:t>
      </w:r>
      <w:r>
        <w:rPr>
          <w:rFonts w:hint="eastAsia" w:ascii="宋体" w:hAnsi="宋体" w:eastAsia="宋体" w:cs="宋体"/>
          <w:color w:val="000000" w:themeColor="text1"/>
          <w:highlight w:val="none"/>
          <w:lang w:eastAsia="zh-CN"/>
          <w14:textFill>
            <w14:solidFill>
              <w14:schemeClr w14:val="tx1"/>
            </w14:solidFill>
          </w14:textFill>
        </w:rPr>
        <w:t>。</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
          <w:bCs/>
          <w:color w:val="000000" w:themeColor="text1"/>
          <w:highlight w:val="none"/>
          <w:lang w:val="en-US" w:eastAsia="zh-CN"/>
          <w14:textFill>
            <w14:solidFill>
              <w14:schemeClr w14:val="tx1"/>
            </w14:solidFill>
          </w14:textFill>
        </w:rPr>
      </w:pPr>
      <w:r>
        <w:rPr>
          <w:rFonts w:hint="eastAsia" w:ascii="宋体" w:hAnsi="宋体" w:eastAsia="宋体" w:cs="宋体"/>
          <w:b/>
          <w:bCs/>
          <w:color w:val="000000" w:themeColor="text1"/>
          <w:highlight w:val="none"/>
          <w14:textFill>
            <w14:solidFill>
              <w14:schemeClr w14:val="tx1"/>
            </w14:solidFill>
          </w14:textFill>
        </w:rPr>
        <w:t>2.3驱动，涨紧部分与</w:t>
      </w:r>
      <w:r>
        <w:rPr>
          <w:rFonts w:hint="eastAsia" w:ascii="宋体" w:hAnsi="宋体" w:eastAsia="宋体" w:cs="宋体"/>
          <w:b/>
          <w:bCs/>
          <w:color w:val="000000" w:themeColor="text1"/>
          <w:highlight w:val="none"/>
          <w:lang w:val="en-US" w:eastAsia="zh-CN"/>
          <w14:textFill>
            <w14:solidFill>
              <w14:schemeClr w14:val="tx1"/>
            </w14:solidFill>
          </w14:textFill>
        </w:rPr>
        <w:t>链板</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2.3.1链条采用材质45#钢，分为内链板和外链板，通过销轴与链轮组合而成。</w:t>
      </w:r>
      <w:r>
        <w:rPr>
          <w:rFonts w:hint="eastAsia" w:ascii="宋体" w:hAnsi="宋体" w:eastAsia="宋体" w:cs="宋体"/>
          <w:highlight w:val="none"/>
        </w:rPr>
        <w:t>链板采用5mm厚扁豆花纹板一体折弯而成，与链条螺栓连接。</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2.3.2驱动部分采用80*60*5矩管等焊接主体框架，配备有主传动轴，传动链轮，带座外球面轴承，32A传动链轮等主要部件。</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2.3.3 涨紧部分采用80*60*5矩管等焊接主体框架，配备有从动轴，从动链轮，涨紧轴承座，涨紧调整机构等。</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2.3.4 驱动部分和涨紧部分，分别安装防护罩进行人机防护。</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
          <w:bCs/>
          <w:color w:val="000000" w:themeColor="text1"/>
          <w:highlight w:val="none"/>
          <w14:textFill>
            <w14:solidFill>
              <w14:schemeClr w14:val="tx1"/>
            </w14:solidFill>
          </w14:textFill>
        </w:rPr>
      </w:pPr>
      <w:r>
        <w:rPr>
          <w:rFonts w:hint="eastAsia" w:ascii="宋体" w:hAnsi="宋体" w:eastAsia="宋体" w:cs="宋体"/>
          <w:b/>
          <w:bCs/>
          <w:color w:val="000000" w:themeColor="text1"/>
          <w:highlight w:val="none"/>
          <w14:textFill>
            <w14:solidFill>
              <w14:schemeClr w14:val="tx1"/>
            </w14:solidFill>
          </w14:textFill>
        </w:rPr>
        <w:t>2.4 电气部分</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2.4.1 电气控制柜采用仿威图设计。</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2.4.2控制柜内安装有PLC S7-200、变频器、接触器、继电器等控制元器件。全线控制由PLC控制，电机调速方式为变频调速。</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2.4.3 电机选用一级能耗减速电机，功率≥1Kw。</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2.4.4设备运行方式有启停、手动/自动模式，可切换。在导流罩吊离</w:t>
      </w:r>
      <w:r>
        <w:rPr>
          <w:rFonts w:hint="eastAsia" w:ascii="宋体" w:hAnsi="宋体" w:eastAsia="宋体" w:cs="宋体"/>
          <w:color w:val="000000" w:themeColor="text1"/>
          <w:sz w:val="24"/>
          <w:szCs w:val="24"/>
          <w:highlight w:val="none"/>
          <w:lang w:val="en-US" w:eastAsia="zh-CN"/>
          <w14:textFill>
            <w14:solidFill>
              <w14:schemeClr w14:val="tx1"/>
            </w14:solidFill>
          </w14:textFill>
        </w:rPr>
        <w:t>分装</w:t>
      </w:r>
      <w:r>
        <w:rPr>
          <w:rFonts w:hint="eastAsia" w:ascii="宋体" w:hAnsi="宋体" w:eastAsia="宋体" w:cs="宋体"/>
          <w:color w:val="000000" w:themeColor="text1"/>
          <w:sz w:val="24"/>
          <w:szCs w:val="24"/>
          <w:highlight w:val="none"/>
          <w14:textFill>
            <w14:solidFill>
              <w14:schemeClr w14:val="tx1"/>
            </w14:solidFill>
          </w14:textFill>
        </w:rPr>
        <w:t>线工位安装传感器，当使用</w:t>
      </w:r>
      <w:r>
        <w:rPr>
          <w:rFonts w:hint="eastAsia" w:ascii="宋体" w:hAnsi="宋体" w:eastAsia="宋体" w:cs="宋体"/>
          <w:color w:val="000000" w:themeColor="text1"/>
          <w:sz w:val="24"/>
          <w:szCs w:val="24"/>
          <w:highlight w:val="none"/>
          <w:lang w:val="en-US" w:eastAsia="zh-CN"/>
          <w14:textFill>
            <w14:solidFill>
              <w14:schemeClr w14:val="tx1"/>
            </w14:solidFill>
          </w14:textFill>
        </w:rPr>
        <w:t>KBK</w:t>
      </w:r>
      <w:r>
        <w:rPr>
          <w:rFonts w:hint="eastAsia" w:ascii="宋体" w:hAnsi="宋体" w:eastAsia="宋体" w:cs="宋体"/>
          <w:color w:val="000000" w:themeColor="text1"/>
          <w:sz w:val="24"/>
          <w:szCs w:val="24"/>
          <w:highlight w:val="none"/>
          <w14:textFill>
            <w14:solidFill>
              <w14:schemeClr w14:val="tx1"/>
            </w14:solidFill>
          </w14:textFill>
        </w:rPr>
        <w:t>吊走导流罩，传感器识别该工位空位，设备自动向前运行一个工位，当传感器识别该工位未空位，设备停止不动，等待吊臂吊走该工位导流罩。</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2.4.5 每个工位配备有急停按钮，并连接声光一体报警。</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2.4.6 控制柜内安装电量计量表，具备联网功能（网线），以备将来联网。</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
          <w:bCs/>
          <w:color w:val="000000" w:themeColor="text1"/>
          <w:highlight w:val="none"/>
          <w14:textFill>
            <w14:solidFill>
              <w14:schemeClr w14:val="tx1"/>
            </w14:solidFill>
          </w14:textFill>
        </w:rPr>
      </w:pPr>
      <w:r>
        <w:rPr>
          <w:rFonts w:hint="eastAsia" w:ascii="宋体" w:hAnsi="宋体" w:eastAsia="宋体" w:cs="宋体"/>
          <w:b/>
          <w:bCs/>
          <w:color w:val="000000" w:themeColor="text1"/>
          <w:highlight w:val="none"/>
          <w14:textFill>
            <w14:solidFill>
              <w14:schemeClr w14:val="tx1"/>
            </w14:solidFill>
          </w14:textFill>
        </w:rPr>
        <w:t>2.5安全防护部分</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2.5.1 线体两侧安装防护板，防止人员误伤。</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2.5.2 驱动部分安装有安全销，当线体运行卡滞时，安全销切断，保护电机过载运行。</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2.5.3 部件下线处安装有光电检测系统，防止部件掉落。</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2.5.4 电气控制系统内部设置电流预警系统，防止线体卡滞时保护电机运行。</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2.5.5 </w:t>
      </w:r>
      <w:r>
        <w:rPr>
          <w:rFonts w:hint="eastAsia" w:ascii="宋体" w:hAnsi="宋体" w:eastAsia="宋体" w:cs="宋体"/>
          <w:sz w:val="24"/>
          <w:szCs w:val="24"/>
          <w:lang w:val="en-US" w:eastAsia="zh-CN"/>
        </w:rPr>
        <w:t>分装线和导流罩接触面与可能造成导流罩磕碰划伤部分应使用软质材料包裹，防止磕碰划伤。</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2.6吊臂</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lang w:val="en-US" w:eastAsia="zh-CN"/>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2.6.1 现场已有</w:t>
      </w:r>
      <w:r>
        <w:rPr>
          <w:rFonts w:hint="eastAsia" w:ascii="宋体" w:hAnsi="宋体" w:eastAsia="宋体" w:cs="宋体"/>
          <w:color w:val="000000" w:themeColor="text1"/>
          <w:highlight w:val="none"/>
          <w:lang w:val="en-US" w:eastAsia="zh-CN"/>
          <w14:textFill>
            <w14:solidFill>
              <w14:schemeClr w14:val="tx1"/>
            </w14:solidFill>
          </w14:textFill>
        </w:rPr>
        <w:t>KBK</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highlight w:val="none"/>
          <w:lang w:val="en-US" w:eastAsia="zh-CN"/>
          <w14:textFill>
            <w14:solidFill>
              <w14:schemeClr w14:val="tx1"/>
            </w14:solidFill>
          </w14:textFill>
        </w:rPr>
        <w:t>分装线需根据现场KBK合理安排放置位置。</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2.7数据通讯</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lang w:val="en-US" w:eastAsia="zh-CN"/>
          <w14:textFill>
            <w14:solidFill>
              <w14:schemeClr w14:val="tx1"/>
            </w14:solidFill>
          </w14:textFill>
        </w:rPr>
        <w:t>顶导流罩</w:t>
      </w:r>
      <w:r>
        <w:rPr>
          <w:rFonts w:hint="eastAsia" w:ascii="宋体" w:hAnsi="宋体" w:eastAsia="宋体" w:cs="宋体"/>
          <w:bCs/>
          <w:color w:val="000000" w:themeColor="text1"/>
          <w:highlight w:val="none"/>
          <w14:textFill>
            <w14:solidFill>
              <w14:schemeClr w14:val="tx1"/>
            </w14:solidFill>
          </w14:textFill>
        </w:rPr>
        <w:t>分装线为独立设备，不与外部网络进行数据通讯。</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2.8培训、陪产、验收</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bCs/>
          <w:color w:val="000000" w:themeColor="text1"/>
          <w:highlight w:val="none"/>
          <w14:textFill>
            <w14:solidFill>
              <w14:schemeClr w14:val="tx1"/>
            </w14:solidFill>
          </w14:textFill>
        </w:rPr>
      </w:pPr>
      <w:r>
        <w:rPr>
          <w:rFonts w:hint="eastAsia" w:ascii="宋体" w:hAnsi="宋体" w:eastAsia="宋体" w:cs="宋体"/>
          <w:bCs/>
          <w:color w:val="000000" w:themeColor="text1"/>
          <w:highlight w:val="none"/>
          <w14:textFill>
            <w14:solidFill>
              <w14:schemeClr w14:val="tx1"/>
            </w14:solidFill>
          </w14:textFill>
        </w:rPr>
        <w:t>本项目设备结构比较简单，不进行预验收。投产后培训半天，陪产1周。试运行结束后，进行终验收。</w:t>
      </w:r>
    </w:p>
    <w:p>
      <w:pPr>
        <w:pStyle w:val="141"/>
        <w:keepNext w:val="0"/>
        <w:keepLines w:val="0"/>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2.9备品备件</w:t>
      </w:r>
    </w:p>
    <w:p>
      <w:pPr>
        <w:pStyle w:val="141"/>
        <w:pageBreakBefore w:val="0"/>
        <w:widowControl w:val="0"/>
        <w:kinsoku/>
        <w:wordWrap/>
        <w:overflowPunct/>
        <w:topLinePunct w:val="0"/>
        <w:autoSpaceDE/>
        <w:autoSpaceDN/>
        <w:bidi w:val="0"/>
        <w:adjustRightInd/>
        <w:snapToGrid/>
        <w:ind w:firstLine="480"/>
        <w:textAlignment w:val="auto"/>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本项目投标报价不含备品备件。</w:t>
      </w:r>
    </w:p>
    <w:p>
      <w:pPr>
        <w:pStyle w:val="3"/>
        <w:rPr>
          <w:rFonts w:hint="eastAsia" w:ascii="宋体" w:hAnsi="宋体" w:eastAsia="宋体" w:cs="宋体"/>
          <w:highlight w:val="none"/>
        </w:rPr>
      </w:pPr>
      <w:r>
        <w:rPr>
          <w:rFonts w:hint="eastAsia" w:ascii="宋体" w:hAnsi="宋体" w:eastAsia="宋体" w:cs="宋体"/>
          <w:highlight w:val="none"/>
        </w:rPr>
        <w:t>3. 改造后</w:t>
      </w:r>
      <w:r>
        <w:rPr>
          <w:rFonts w:hint="eastAsia" w:ascii="宋体" w:hAnsi="宋体" w:eastAsia="宋体" w:cs="宋体"/>
          <w:highlight w:val="none"/>
          <w:lang w:val="en-US" w:eastAsia="zh-CN"/>
        </w:rPr>
        <w:t>顶导流罩</w:t>
      </w:r>
      <w:r>
        <w:rPr>
          <w:rFonts w:hint="eastAsia" w:ascii="宋体" w:hAnsi="宋体" w:eastAsia="宋体" w:cs="宋体"/>
          <w:highlight w:val="none"/>
        </w:rPr>
        <w:t>分装线概览图</w:t>
      </w:r>
    </w:p>
    <w:p>
      <w:pPr>
        <w:pStyle w:val="141"/>
        <w:ind w:firstLine="0" w:firstLineChars="0"/>
        <w:jc w:val="center"/>
        <w:rPr>
          <w:rFonts w:hint="eastAsia" w:ascii="宋体" w:hAnsi="宋体" w:eastAsia="宋体" w:cs="宋体"/>
          <w:bCs/>
          <w:szCs w:val="28"/>
          <w:highlight w:val="none"/>
          <w:lang w:eastAsia="zh-CN"/>
        </w:rPr>
      </w:pPr>
      <w:r>
        <w:rPr>
          <w:rFonts w:hint="eastAsia" w:ascii="宋体" w:hAnsi="宋体" w:eastAsia="宋体" w:cs="宋体"/>
          <w:bCs/>
          <w:szCs w:val="28"/>
          <w:highlight w:val="none"/>
          <w:lang w:eastAsia="zh-CN"/>
        </w:rPr>
        <w:drawing>
          <wp:inline distT="0" distB="0" distL="114300" distR="114300">
            <wp:extent cx="5260340" cy="1690370"/>
            <wp:effectExtent l="0" t="0" r="10160" b="11430"/>
            <wp:docPr id="32" name="图片 32" descr="顶导流工艺方案图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顶导流工艺方案图纸"/>
                    <pic:cNvPicPr>
                      <a:picLocks noChangeAspect="1"/>
                    </pic:cNvPicPr>
                  </pic:nvPicPr>
                  <pic:blipFill>
                    <a:blip r:embed="rId43"/>
                    <a:stretch>
                      <a:fillRect/>
                    </a:stretch>
                  </pic:blipFill>
                  <pic:spPr>
                    <a:xfrm>
                      <a:off x="0" y="0"/>
                      <a:ext cx="5260340" cy="1690370"/>
                    </a:xfrm>
                    <a:prstGeom prst="rect">
                      <a:avLst/>
                    </a:prstGeom>
                  </pic:spPr>
                </pic:pic>
              </a:graphicData>
            </a:graphic>
          </wp:inline>
        </w:drawing>
      </w:r>
    </w:p>
    <w:p>
      <w:pPr>
        <w:ind w:firstLine="0" w:firstLineChars="0"/>
        <w:jc w:val="both"/>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注：分装线上部与顶导流罩的接触面距离地面高度为860mm。</w:t>
      </w:r>
    </w:p>
    <w:p>
      <w:pPr>
        <w:ind w:firstLine="0" w:firstLineChars="0"/>
        <w:jc w:val="both"/>
        <w:rPr>
          <w:rFonts w:hint="eastAsia" w:ascii="宋体" w:hAnsi="宋体" w:eastAsia="宋体" w:cs="宋体"/>
          <w:bCs/>
          <w:sz w:val="24"/>
          <w:szCs w:val="24"/>
          <w:highlight w:val="none"/>
          <w:lang w:val="en-US" w:eastAsia="zh-CN"/>
        </w:rPr>
      </w:pPr>
    </w:p>
    <w:p>
      <w:pPr>
        <w:keepNext/>
        <w:keepLines/>
        <w:pageBreakBefore w:val="0"/>
        <w:widowControl w:val="0"/>
        <w:kinsoku/>
        <w:wordWrap/>
        <w:overflowPunct/>
        <w:topLinePunct w:val="0"/>
        <w:autoSpaceDE/>
        <w:autoSpaceDN/>
        <w:bidi w:val="0"/>
        <w:adjustRightInd/>
        <w:snapToGrid/>
        <w:spacing w:line="360" w:lineRule="auto"/>
        <w:ind w:firstLine="3373" w:firstLineChars="1200"/>
        <w:textAlignment w:val="auto"/>
        <w:outlineLvl w:val="2"/>
        <w:rPr>
          <w:rStyle w:val="140"/>
          <w:rFonts w:hint="eastAsia" w:ascii="宋体" w:hAnsi="宋体" w:eastAsia="宋体" w:cs="宋体"/>
          <w:bCs w:val="0"/>
        </w:rPr>
      </w:pPr>
      <w:r>
        <w:rPr>
          <w:rStyle w:val="140"/>
          <w:rFonts w:hint="eastAsia" w:ascii="宋体" w:hAnsi="宋体" w:eastAsia="宋体" w:cs="宋体"/>
          <w:bCs w:val="0"/>
        </w:rPr>
        <w:t>六．技术要求（通用）</w:t>
      </w:r>
    </w:p>
    <w:p>
      <w:pPr>
        <w:pStyle w:val="141"/>
        <w:ind w:firstLine="480"/>
        <w:rPr>
          <w:rFonts w:hint="eastAsia" w:ascii="宋体" w:hAnsi="宋体" w:eastAsia="宋体" w:cs="宋体"/>
        </w:rPr>
      </w:pPr>
      <w:r>
        <w:rPr>
          <w:rFonts w:hint="eastAsia" w:ascii="宋体" w:hAnsi="宋体" w:eastAsia="宋体" w:cs="宋体"/>
        </w:rPr>
        <w:t>本部分内容为不针对特定项目的通用性要求，如果与专用技术要求有冲突，以专用部分的要求为准。</w:t>
      </w:r>
    </w:p>
    <w:p>
      <w:pPr>
        <w:pStyle w:val="3"/>
        <w:rPr>
          <w:rFonts w:hint="eastAsia" w:ascii="宋体" w:hAnsi="宋体" w:eastAsia="宋体" w:cs="宋体"/>
          <w:b/>
          <w:bCs w:val="0"/>
        </w:rPr>
      </w:pPr>
      <w:r>
        <w:rPr>
          <w:rFonts w:hint="eastAsia" w:ascii="宋体" w:hAnsi="宋体" w:eastAsia="宋体" w:cs="宋体"/>
          <w:b/>
          <w:bCs w:val="0"/>
        </w:rPr>
        <w:t>1.动力基本要求</w:t>
      </w:r>
    </w:p>
    <w:p>
      <w:pPr>
        <w:pStyle w:val="141"/>
        <w:ind w:firstLine="480"/>
        <w:rPr>
          <w:rFonts w:hint="eastAsia" w:ascii="宋体" w:hAnsi="宋体" w:eastAsia="宋体" w:cs="宋体"/>
        </w:rPr>
      </w:pPr>
      <w:r>
        <w:rPr>
          <w:rFonts w:hint="eastAsia" w:ascii="宋体" w:hAnsi="宋体" w:eastAsia="宋体" w:cs="宋体"/>
        </w:rPr>
        <w:t>（1）动力电路从动力箱或屋架上插接母线接入，从车间配电柜到设备的电源的配线施工包含在报价范围内。设备控制柜内图纸要包含液体、气体管路图和加注时序图。张贴在柜的回路图，必须耐水耐腐蚀。</w:t>
      </w:r>
    </w:p>
    <w:p>
      <w:pPr>
        <w:pStyle w:val="141"/>
        <w:ind w:firstLine="480"/>
        <w:rPr>
          <w:rFonts w:hint="eastAsia" w:ascii="宋体" w:hAnsi="宋体" w:eastAsia="宋体" w:cs="宋体"/>
        </w:rPr>
      </w:pPr>
      <w:r>
        <w:rPr>
          <w:rFonts w:hint="eastAsia" w:ascii="宋体" w:hAnsi="宋体" w:eastAsia="宋体" w:cs="宋体"/>
        </w:rPr>
        <w:t>（2）系统设计上须要确保电压在±15%范围内波动能正常使用。若需要提高电能质量，相关的电能处理设备需投标方负责提供。在考虑电流值的基础上，选用电线的种类和尺寸，不得出现电线选型错误导致发热及受到损伤。电缆的选型要考虑腐蚀性、频繁弯折、高温、强电磁干扰等恶劣使用工况，拖链和运动部位的电缆必须采用耐腐蚀或耐高温或耐弯折的高柔性屏蔽电缆等特殊电缆。</w:t>
      </w:r>
    </w:p>
    <w:p>
      <w:pPr>
        <w:pStyle w:val="141"/>
        <w:ind w:firstLine="480"/>
        <w:rPr>
          <w:rFonts w:hint="eastAsia" w:ascii="宋体" w:hAnsi="宋体" w:eastAsia="宋体" w:cs="宋体"/>
        </w:rPr>
      </w:pPr>
      <w:r>
        <w:rPr>
          <w:rFonts w:hint="eastAsia" w:ascii="宋体" w:hAnsi="宋体" w:eastAsia="宋体" w:cs="宋体"/>
        </w:rPr>
        <w:t>（3）安装控制柜时要明确标示电缆去向的设备名称，设备侧的电缆上要明确标明回路的分电盘编号，标识清晰不易脱落。控制柜内应有回路图。</w:t>
      </w:r>
    </w:p>
    <w:p>
      <w:pPr>
        <w:pStyle w:val="141"/>
        <w:ind w:firstLine="480"/>
        <w:rPr>
          <w:rFonts w:hint="eastAsia" w:ascii="宋体" w:hAnsi="宋体" w:eastAsia="宋体" w:cs="宋体"/>
        </w:rPr>
      </w:pPr>
      <w:r>
        <w:rPr>
          <w:rFonts w:hint="eastAsia" w:ascii="宋体" w:hAnsi="宋体" w:eastAsia="宋体" w:cs="宋体"/>
        </w:rPr>
        <w:t>（4）为避免电机用电源线对信号线产生干扰，需进行屏蔽处理，并留有必要间距，强弱电需分开布置。</w:t>
      </w:r>
    </w:p>
    <w:p>
      <w:pPr>
        <w:pStyle w:val="141"/>
        <w:ind w:firstLine="480"/>
        <w:rPr>
          <w:rFonts w:hint="eastAsia" w:ascii="宋体" w:hAnsi="宋体" w:eastAsia="宋体" w:cs="宋体"/>
        </w:rPr>
      </w:pPr>
      <w:r>
        <w:rPr>
          <w:rFonts w:hint="eastAsia" w:ascii="宋体" w:hAnsi="宋体" w:eastAsia="宋体" w:cs="宋体"/>
        </w:rPr>
        <w:t>（5）设备须用地线可靠接地，禁止跨越布线。开关固定可靠，不能固定在安全网上。</w:t>
      </w:r>
    </w:p>
    <w:p>
      <w:pPr>
        <w:pStyle w:val="141"/>
        <w:ind w:firstLine="480"/>
        <w:rPr>
          <w:rFonts w:hint="eastAsia" w:ascii="宋体" w:hAnsi="宋体" w:eastAsia="宋体" w:cs="宋体"/>
        </w:rPr>
      </w:pPr>
      <w:r>
        <w:rPr>
          <w:rFonts w:hint="eastAsia" w:ascii="宋体" w:hAnsi="宋体" w:eastAsia="宋体" w:cs="宋体"/>
        </w:rPr>
        <w:t>（6）禁止跨越布线：每一个接地点都必须通过单独的接地线接到总接地铜排的一个接地端子上。</w:t>
      </w:r>
    </w:p>
    <w:p>
      <w:pPr>
        <w:pStyle w:val="141"/>
        <w:ind w:firstLine="480"/>
        <w:rPr>
          <w:rFonts w:hint="eastAsia" w:ascii="宋体" w:hAnsi="宋体" w:eastAsia="宋体" w:cs="宋体"/>
        </w:rPr>
      </w:pPr>
      <w:bookmarkStart w:id="43" w:name="_Toc29499"/>
      <w:r>
        <w:rPr>
          <w:rFonts w:hint="eastAsia" w:ascii="宋体" w:hAnsi="宋体" w:eastAsia="宋体" w:cs="宋体"/>
        </w:rPr>
        <w:t>（7）接地导体截面积选择：</w:t>
      </w:r>
      <w:bookmarkEnd w:id="43"/>
    </w:p>
    <w:p>
      <w:pPr>
        <w:pStyle w:val="141"/>
        <w:ind w:firstLine="480"/>
        <w:rPr>
          <w:rFonts w:hint="eastAsia" w:ascii="宋体" w:hAnsi="宋体" w:eastAsia="宋体" w:cs="宋体"/>
        </w:rPr>
      </w:pPr>
      <w:bookmarkStart w:id="44" w:name="_Toc21730"/>
      <w:r>
        <w:rPr>
          <w:rFonts w:hint="eastAsia" w:ascii="宋体" w:hAnsi="宋体" w:eastAsia="宋体" w:cs="宋体"/>
        </w:rPr>
        <w:t>—导体截面在16mm²以下时，接地导体截面等于最大的导体截面。</w:t>
      </w:r>
      <w:bookmarkEnd w:id="44"/>
    </w:p>
    <w:p>
      <w:pPr>
        <w:pStyle w:val="141"/>
        <w:ind w:firstLine="480"/>
        <w:rPr>
          <w:rFonts w:hint="eastAsia" w:ascii="宋体" w:hAnsi="宋体" w:eastAsia="宋体" w:cs="宋体"/>
        </w:rPr>
      </w:pPr>
      <w:bookmarkStart w:id="45" w:name="_Toc25669"/>
      <w:r>
        <w:rPr>
          <w:rFonts w:hint="eastAsia" w:ascii="宋体" w:hAnsi="宋体" w:eastAsia="宋体" w:cs="宋体"/>
        </w:rPr>
        <w:t>—导体截面在16～32mm²时，接地导体截面为16mm²。</w:t>
      </w:r>
      <w:bookmarkEnd w:id="45"/>
    </w:p>
    <w:p>
      <w:pPr>
        <w:pStyle w:val="141"/>
        <w:ind w:firstLine="480"/>
        <w:rPr>
          <w:rFonts w:hint="eastAsia" w:ascii="宋体" w:hAnsi="宋体" w:eastAsia="宋体" w:cs="宋体"/>
        </w:rPr>
      </w:pPr>
      <w:bookmarkStart w:id="46" w:name="_Toc17608"/>
      <w:r>
        <w:rPr>
          <w:rFonts w:hint="eastAsia" w:ascii="宋体" w:hAnsi="宋体" w:eastAsia="宋体" w:cs="宋体"/>
        </w:rPr>
        <w:t>—导体截面在32～120mm²时，接地导体截面等于相线截面的一半。</w:t>
      </w:r>
      <w:bookmarkEnd w:id="46"/>
    </w:p>
    <w:p>
      <w:pPr>
        <w:pStyle w:val="141"/>
        <w:ind w:firstLine="480"/>
        <w:rPr>
          <w:rFonts w:hint="eastAsia" w:ascii="宋体" w:hAnsi="宋体" w:eastAsia="宋体" w:cs="宋体"/>
        </w:rPr>
      </w:pPr>
      <w:r>
        <w:rPr>
          <w:rFonts w:hint="eastAsia" w:ascii="宋体" w:hAnsi="宋体" w:eastAsia="宋体" w:cs="宋体"/>
        </w:rPr>
        <w:t>（8）长度1米以上的布线使用线槽或金属管走线，但不允许采用多段线拼接，不允许有端子、铜鼻子等接头。电缆桥架固定可靠，桥架转角、进出口等须用橡胶皮做防护处理，铺设必要的备用线。电缆线槽盖应能方便开启，禁止焊死；电缆线槽内预留至少20%的空间；电缆穿直钢管（最大穿满50%），未保护的弯曲部分或接入设备部分长度不应超过30cm，线槽接头处要用合适截面积的跨接地线，确保屏蔽效果。</w:t>
      </w:r>
    </w:p>
    <w:p>
      <w:pPr>
        <w:pStyle w:val="141"/>
        <w:ind w:firstLine="480"/>
        <w:rPr>
          <w:rFonts w:hint="eastAsia" w:ascii="宋体" w:hAnsi="宋体" w:eastAsia="宋体" w:cs="宋体"/>
        </w:rPr>
      </w:pPr>
      <w:r>
        <w:rPr>
          <w:rFonts w:hint="eastAsia" w:ascii="宋体" w:hAnsi="宋体" w:eastAsia="宋体" w:cs="宋体"/>
        </w:rPr>
        <w:t>（9）电缆进出控制盒、控制柜、接线盒必须安装合适的防护套，过长的线路需处理。</w:t>
      </w:r>
    </w:p>
    <w:p>
      <w:pPr>
        <w:pStyle w:val="141"/>
        <w:ind w:firstLine="480"/>
        <w:rPr>
          <w:rFonts w:hint="eastAsia" w:ascii="宋体" w:hAnsi="宋体" w:eastAsia="宋体" w:cs="宋体"/>
        </w:rPr>
      </w:pPr>
      <w:r>
        <w:rPr>
          <w:rFonts w:hint="eastAsia" w:ascii="宋体" w:hAnsi="宋体" w:eastAsia="宋体" w:cs="宋体"/>
        </w:rPr>
        <w:t>（10）系统需具备完善的互锁保护，需具备双向且不允许同时发生的移动、运转装置等的电气互锁控制，要求必须有硬件触点互锁，不能只有软件互锁。</w:t>
      </w:r>
    </w:p>
    <w:p>
      <w:pPr>
        <w:pStyle w:val="141"/>
        <w:ind w:firstLine="480"/>
        <w:rPr>
          <w:rFonts w:hint="eastAsia" w:ascii="宋体" w:hAnsi="宋体" w:eastAsia="宋体" w:cs="宋体"/>
        </w:rPr>
      </w:pPr>
      <w:r>
        <w:rPr>
          <w:rFonts w:hint="eastAsia" w:ascii="宋体" w:hAnsi="宋体" w:eastAsia="宋体" w:cs="宋体"/>
        </w:rPr>
        <w:t>（11）作业员作业和设备动作时各传感器不能与工件和设备产生干涉。</w:t>
      </w:r>
    </w:p>
    <w:p>
      <w:pPr>
        <w:pStyle w:val="141"/>
        <w:ind w:firstLine="480"/>
        <w:rPr>
          <w:rFonts w:hint="eastAsia" w:ascii="宋体" w:hAnsi="宋体" w:eastAsia="宋体" w:cs="宋体"/>
        </w:rPr>
      </w:pPr>
      <w:r>
        <w:rPr>
          <w:rFonts w:hint="eastAsia" w:ascii="宋体" w:hAnsi="宋体" w:eastAsia="宋体" w:cs="宋体"/>
        </w:rPr>
        <w:t>（12）各传感器的信号需采用独立的输入信号通道。</w:t>
      </w:r>
    </w:p>
    <w:p>
      <w:pPr>
        <w:pStyle w:val="141"/>
        <w:ind w:firstLine="480"/>
        <w:rPr>
          <w:rFonts w:hint="eastAsia" w:ascii="宋体" w:hAnsi="宋体" w:eastAsia="宋体" w:cs="宋体"/>
        </w:rPr>
      </w:pPr>
      <w:r>
        <w:rPr>
          <w:rFonts w:hint="eastAsia" w:ascii="宋体" w:hAnsi="宋体" w:eastAsia="宋体" w:cs="宋体"/>
        </w:rPr>
        <w:t>（13）热继电器、按钮要单独走线，不可串联；禁止将两个感应开关或两个行程开关串联使用。</w:t>
      </w:r>
    </w:p>
    <w:p>
      <w:pPr>
        <w:pStyle w:val="141"/>
        <w:ind w:firstLine="480"/>
        <w:rPr>
          <w:rFonts w:hint="eastAsia" w:ascii="宋体" w:hAnsi="宋体" w:eastAsia="宋体" w:cs="宋体"/>
        </w:rPr>
      </w:pPr>
      <w:r>
        <w:rPr>
          <w:rFonts w:hint="eastAsia" w:ascii="宋体" w:hAnsi="宋体" w:eastAsia="宋体" w:cs="宋体"/>
        </w:rPr>
        <w:t>（14）自动化设备上各类管线（含电缆、气管、液管、信号线等）采用专用管线包布置，用以保护管线不受损伤，提高使用寿命。</w:t>
      </w:r>
    </w:p>
    <w:p>
      <w:pPr>
        <w:pStyle w:val="3"/>
        <w:rPr>
          <w:rFonts w:hint="eastAsia" w:ascii="宋体" w:hAnsi="宋体" w:eastAsia="宋体" w:cs="宋体"/>
          <w:b/>
        </w:rPr>
      </w:pPr>
      <w:r>
        <w:rPr>
          <w:rFonts w:hint="eastAsia" w:ascii="宋体" w:hAnsi="宋体" w:eastAsia="宋体" w:cs="宋体"/>
          <w:b/>
        </w:rPr>
        <w:t>2.控制柜和接线技术要求</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要具备良好强度，钢板厚度1.5mm以上；电源进线须从侧面进线，并敷设线槽。柜体下部有隔离层，进出电缆在下部与上部用隔离板分开；电气控制柜采用闭式电柜，防护等级IP54（电柜底部应封闭，防止潮气进入电柜内部）。在电柜上，除了操作和检测元件外，禁止安装其它元件。</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控制柜内设置照明灯具，灯具电压为220V AC，控制柜内备有插座（标准型），规格：AC220V，10A，单相，照明开闭与门连锁，各接触器必须安装浪涌吸收器。</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所有需要维修编程或监控的控制器，须预留固定的编程接口，编程接口不得被占用。</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电柜配有图纸盒及编程用电脑放置台面，配有电脑用电插孔。</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控制柜靠近物流通道侧，需加装防撞栏杆，栏杆的管径、结构、颜色与车间现有护栏相同。</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控制柜进行整个系统的自动控制、检测、显示、保护、报警等功能，且能进行系统故障自诊断，警告会鸣响蜂鸣器，不同声音表示不同报警，相应各灯亮；</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盘内端子排留有20％的余量，各管线按类别采用不同颜色，并用线码在两端头编号。电箱内部的电线应用下列方式作标记：a)电线两端都作标记；b)同一根线两端标记相同；c)并联线标记相同；d)外部电缆及电箱里每根导线应根据接线图在其两端作标记。</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控制柜具有防倾倒措施。控制柜配备空调降温；控制柜内设置照明装置。系统各部件要求接地良好，电缆桥架、电柜、钢管之间必须做接地跨接。</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输送线体按钮站、控制柜、线束桥架全部做防鼠、防尘、防水处理，防尘、防水标准符合国标要求，各设备和控制系统之间不允许有控制方式、接口不相容因素。为防止上述因素发生，主要产品使用同一厂家生产的系列化产品。所有电器、气动元件需要标识清晰，方便维修人员处理故障。地线联接和地极符合国际（ISO/IEC）标准规范，满足招标方使用要求。</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和接线，控制柜门应有导电门封垫条，以提高抗射频干扰（RFI）能力。控制柜的设计应满足电缆由柜底引入的要求，投标方提供的电缆接线应采用接线端子排方式，而非将电缆直接连接在元件端子上，内部接线应预置。对需散热的控制柜，投标方提供排气风扇和内部循环风扇。排气风扇和内部循环风扇应易于更换。风扇故障应有报警，在图纸会签和技术协议中注明。</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所提供的控制柜内应安装设温度检测开关，当温度过高时应进行报警。</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内的端子排应布置在易于安装接线的地方，即为离柜底300mm以上和距柜顶150mm以下，控制柜（控制台）尺寸、颜色、外形结构相同，其控制柜、控制台颜色由招标方确定。控制柜外壳刚度能满足现场要求（最小厚度≥2mm）。控制柜内附有关本控制柜情况的资料袋。</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所有外部接线至少满足1.5mm 2线芯截面的接线要求。</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控制柜内的每个电气元件、端子排和端子都有清晰的标志，并与图纸和接线表相符。</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端子排、电缆夹头、电缆走线槽及接线槽均由“阻燃”型材料制造。</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控制系统使用的通讯、控制、电力电缆（包括两端的接触件），这些电缆符合国标防火标准。</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所有I/O模块和现场信号的接线接口应为接线端子排，卡件和端子排之间的连线在制造厂内接好，并在端子排上注有明显标记。</w:t>
      </w:r>
    </w:p>
    <w:p>
      <w:pPr>
        <w:numPr>
          <w:ilvl w:val="0"/>
          <w:numId w:val="11"/>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控制柜内应预留充足的空间，元器件安装裕量大于20%，使招标方能增加部分元器件，方便地接线、汇线、布线和查线。所有信号屏蔽层接地应在控制柜侧完成。</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3.自动化控制系统技术要求</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设备自动化控制系统建议选用西门子S7-1500、</w:t>
      </w:r>
      <w:bookmarkStart w:id="47" w:name="_Hlk33008250"/>
      <w:r>
        <w:rPr>
          <w:rFonts w:hint="eastAsia" w:ascii="宋体" w:hAnsi="宋体" w:eastAsia="宋体" w:cs="宋体"/>
          <w:sz w:val="24"/>
          <w:szCs w:val="24"/>
        </w:rPr>
        <w:t>S7-1200</w:t>
      </w:r>
      <w:bookmarkEnd w:id="47"/>
      <w:r>
        <w:rPr>
          <w:rFonts w:hint="eastAsia" w:ascii="宋体" w:hAnsi="宋体" w:eastAsia="宋体" w:cs="宋体"/>
          <w:sz w:val="24"/>
          <w:szCs w:val="24"/>
        </w:rPr>
        <w:t>系列PLC产品，S7-1500PLC</w:t>
      </w:r>
      <w:bookmarkStart w:id="48" w:name="_Hlk33008272"/>
      <w:r>
        <w:rPr>
          <w:rFonts w:hint="eastAsia" w:ascii="宋体" w:hAnsi="宋体" w:eastAsia="宋体" w:cs="宋体"/>
          <w:sz w:val="24"/>
          <w:szCs w:val="24"/>
        </w:rPr>
        <w:t>适用于大、中规模的自动化控制系统</w:t>
      </w:r>
      <w:bookmarkEnd w:id="48"/>
      <w:r>
        <w:rPr>
          <w:rFonts w:hint="eastAsia" w:ascii="宋体" w:hAnsi="宋体" w:eastAsia="宋体" w:cs="宋体"/>
          <w:sz w:val="24"/>
          <w:szCs w:val="24"/>
        </w:rPr>
        <w:t>、车间设备信息采集主控系统，S7-1200PLC适用于中、小规模的自动化控制系统。可选产品西门子</w:t>
      </w:r>
      <w:bookmarkStart w:id="49" w:name="_Hlk33008353"/>
      <w:r>
        <w:rPr>
          <w:rFonts w:hint="eastAsia" w:ascii="宋体" w:hAnsi="宋体" w:eastAsia="宋体" w:cs="宋体"/>
          <w:sz w:val="24"/>
          <w:szCs w:val="24"/>
        </w:rPr>
        <w:t>S7-400</w:t>
      </w:r>
      <w:bookmarkEnd w:id="49"/>
      <w:r>
        <w:rPr>
          <w:rFonts w:hint="eastAsia" w:ascii="宋体" w:hAnsi="宋体" w:eastAsia="宋体" w:cs="宋体"/>
          <w:sz w:val="24"/>
          <w:szCs w:val="24"/>
        </w:rPr>
        <w:t>、S7-300、S7-200smart系列PLC，分别适用于大、中、小型自动化系统。</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数据采集与监视控制系统（SCADA）选用</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西门子WINCC组态</w:t>
      </w:r>
      <w:r>
        <w:rPr>
          <w:rFonts w:hint="eastAsia" w:ascii="宋体" w:hAnsi="宋体" w:eastAsia="宋体" w:cs="宋体"/>
          <w:sz w:val="24"/>
          <w:szCs w:val="24"/>
        </w:rPr>
        <w:fldChar w:fldCharType="end"/>
      </w:r>
      <w:r>
        <w:rPr>
          <w:rFonts w:hint="eastAsia" w:ascii="宋体" w:hAnsi="宋体" w:eastAsia="宋体" w:cs="宋体"/>
          <w:sz w:val="24"/>
          <w:szCs w:val="24"/>
        </w:rPr>
        <w:t>，建议PLC和界面组态软件统一使用博图。</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编程组态工具：选用西门子TIA博图软件进行开发。PLC编程语言，符合</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GB/T 15969.3-2017 《可编程序控制器第3部分：编程语言》</w:t>
      </w:r>
      <w:r>
        <w:rPr>
          <w:rFonts w:hint="eastAsia" w:ascii="宋体" w:hAnsi="宋体" w:eastAsia="宋体" w:cs="宋体"/>
          <w:sz w:val="24"/>
          <w:szCs w:val="24"/>
        </w:rPr>
        <w:fldChar w:fldCharType="end"/>
      </w:r>
      <w:r>
        <w:rPr>
          <w:rFonts w:hint="eastAsia" w:ascii="宋体" w:hAnsi="宋体" w:eastAsia="宋体" w:cs="宋体"/>
          <w:sz w:val="24"/>
          <w:szCs w:val="24"/>
        </w:rPr>
        <w:t>（等同采用IEC61131-3标准）的梯形图（优选）及其它PLC常用语言。</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控制系统应采取有效措施，以防止各类计算机病毒的侵害和PLC系统内各存储器的数据丢失。系统设计应满足工业信息安全标准、规范。</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控制系统应当留有以下的裕量：最忙时，CPU的负荷率不大于50%；内部存储器占用容量不大于50%，外部存储器占有容量不大于40%；通讯总线负荷率不大于40%；每种I/O点裕量大于20%（具体根据项目确定，下同）；I/O模块槽裕量大于20%（备用插槽应配置必要的硬件，保证今后插入模块即能投入运行）；电源负荷裕量大于40％〔备用模块插入后的裕量〕。以上这些参数都应是按系统正式投运时的最终容量计算的百分比值。</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控制系统包含在设备内，控制系统设计使用寿命应满足设备整体设计使用寿命的要求；独立采购的控制系统设计使用寿命应不低于15年,PLC所有模块（板）的</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平均无故障时间(MTBF)</w:t>
      </w:r>
      <w:r>
        <w:rPr>
          <w:rFonts w:hint="eastAsia" w:ascii="宋体" w:hAnsi="宋体" w:eastAsia="宋体" w:cs="宋体"/>
          <w:sz w:val="24"/>
          <w:szCs w:val="24"/>
        </w:rPr>
        <w:fldChar w:fldCharType="end"/>
      </w:r>
      <w:r>
        <w:rPr>
          <w:rFonts w:hint="eastAsia" w:ascii="宋体" w:hAnsi="宋体" w:eastAsia="宋体" w:cs="宋体"/>
          <w:sz w:val="24"/>
          <w:szCs w:val="24"/>
        </w:rPr>
        <w:t>不小于20万小时。</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在执行合同的过程中，随着项目设计进程和技术资料逐渐完善，在不超出I/O信号总量的前提下，硬件、软件冻结前后，招标方对I/O信号及控制要求的变更，投标方应及时更新设计。在保证大于20%备用量的前提下不增加费用。</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环境及抗干扰，系统能在电子噪声、射频干扰及振动都很大的现场环境中连续运行，且不降低系统的性能。</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系统设计应采用各种抗噪声技术，包括</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光电隔离</w:t>
      </w:r>
      <w:r>
        <w:rPr>
          <w:rFonts w:hint="eastAsia" w:ascii="宋体" w:hAnsi="宋体" w:eastAsia="宋体" w:cs="宋体"/>
          <w:sz w:val="24"/>
          <w:szCs w:val="24"/>
        </w:rPr>
        <w:fldChar w:fldCharType="end"/>
      </w:r>
      <w:r>
        <w:rPr>
          <w:rFonts w:hint="eastAsia" w:ascii="宋体" w:hAnsi="宋体" w:eastAsia="宋体" w:cs="宋体"/>
          <w:sz w:val="24"/>
          <w:szCs w:val="24"/>
        </w:rPr>
        <w:t>、高共模抑制比、合理的接地和屏蔽。</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在距电子设备1.2m以外发出的工作频率达470MHz、功率输出达5W的电磁干扰和射频干扰，不会影响系统正常工作。系统应能在环境温度-20℃～45℃（控制站-20℃～50℃），相对湿度10～95%（不结露）的环境中连续运行。</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系统抗干扰能力：</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共模电压</w:t>
      </w:r>
      <w:r>
        <w:rPr>
          <w:rFonts w:hint="eastAsia" w:ascii="宋体" w:hAnsi="宋体" w:eastAsia="宋体" w:cs="宋体"/>
          <w:sz w:val="24"/>
          <w:szCs w:val="24"/>
        </w:rPr>
        <w:fldChar w:fldCharType="end"/>
      </w:r>
      <w:r>
        <w:rPr>
          <w:rFonts w:hint="eastAsia" w:ascii="宋体" w:hAnsi="宋体" w:eastAsia="宋体" w:cs="宋体"/>
          <w:sz w:val="24"/>
          <w:szCs w:val="24"/>
        </w:rPr>
        <w:t>不小于500V，继电器输出350V；</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共模抑制比</w:t>
      </w:r>
      <w:r>
        <w:rPr>
          <w:rFonts w:hint="eastAsia" w:ascii="宋体" w:hAnsi="宋体" w:eastAsia="宋体" w:cs="宋体"/>
          <w:sz w:val="24"/>
          <w:szCs w:val="24"/>
        </w:rPr>
        <w:fldChar w:fldCharType="end"/>
      </w:r>
      <w:r>
        <w:rPr>
          <w:rFonts w:hint="eastAsia" w:ascii="宋体" w:hAnsi="宋体" w:eastAsia="宋体" w:cs="宋体"/>
          <w:sz w:val="24"/>
          <w:szCs w:val="24"/>
        </w:rPr>
        <w:t>不小于120dB，50Hz；差模电压不小于60V；差模抑制比不小于60dB；50Hz。</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控制系统应留有与SAP、MES系统的通讯接口。如需要则应提供冗余光纤、通讯电缆和全部通讯附件。投标方应根据招标方提供的SAP、MES、ERP或工厂自动化数据集成商给出的数据采集规范，将设备的过程数据、状态数据整理，写入PLC的存储区。投标方应保证无条件的与招标方选定的数据采集系统集成商、SAP、MES、ERP等软件供应商配合。数据交换规范以SAP、MES系统供应商提出的标准为准（或集团公司制造执行系统现场设备数据交换（采集）标准）。</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设备控制系统向MES主控PLC（或</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上位机</w:t>
      </w:r>
      <w:r>
        <w:rPr>
          <w:rFonts w:hint="eastAsia" w:ascii="宋体" w:hAnsi="宋体" w:eastAsia="宋体" w:cs="宋体"/>
          <w:sz w:val="24"/>
          <w:szCs w:val="24"/>
        </w:rPr>
        <w:fldChar w:fldCharType="end"/>
      </w:r>
      <w:r>
        <w:rPr>
          <w:rFonts w:hint="eastAsia" w:ascii="宋体" w:hAnsi="宋体" w:eastAsia="宋体" w:cs="宋体"/>
          <w:sz w:val="24"/>
          <w:szCs w:val="24"/>
        </w:rPr>
        <w:t>）提供的状态信息包含但不限于：设备启动、停机信息；上位机心跳：如0.5Hz,占空比50%的方波；</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控制器（PLC）心跳</w:t>
      </w:r>
      <w:r>
        <w:rPr>
          <w:rFonts w:hint="eastAsia" w:ascii="宋体" w:hAnsi="宋体" w:eastAsia="宋体" w:cs="宋体"/>
          <w:sz w:val="24"/>
          <w:szCs w:val="24"/>
        </w:rPr>
        <w:fldChar w:fldCharType="end"/>
      </w:r>
      <w:r>
        <w:rPr>
          <w:rFonts w:hint="eastAsia" w:ascii="宋体" w:hAnsi="宋体" w:eastAsia="宋体" w:cs="宋体"/>
          <w:sz w:val="24"/>
          <w:szCs w:val="24"/>
        </w:rPr>
        <w:t>：如0.5Hz,占空比50%的方波；控制器与设备（如：机器人）、HMI等设备间的心跳信号由系统集成商确定；故障状态信息；故障代码；故障时间；加工时间；累计运行时间；生产计数（或加工循环计数）。</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设备控制系统应支持常用</w:t>
      </w:r>
      <w:r>
        <w:rPr>
          <w:rFonts w:hint="eastAsia" w:ascii="宋体" w:hAnsi="宋体" w:eastAsia="宋体" w:cs="宋体"/>
        </w:rPr>
        <w:fldChar w:fldCharType="begin"/>
      </w:r>
      <w:r>
        <w:rPr>
          <w:rFonts w:hint="eastAsia" w:ascii="宋体" w:hAnsi="宋体" w:eastAsia="宋体" w:cs="宋体"/>
        </w:rPr>
        <w:instrText xml:space="preserve"> HYPERLINK "file:///D:\\陈东旭(D8BBC12EDF96)(10.21.232.254)\\2022-03-12%2013_03_15\\20220312机器人涂胶\\名词释义3.13.xlsx" </w:instrText>
      </w:r>
      <w:r>
        <w:rPr>
          <w:rFonts w:hint="eastAsia" w:ascii="宋体" w:hAnsi="宋体" w:eastAsia="宋体" w:cs="宋体"/>
        </w:rPr>
        <w:fldChar w:fldCharType="separate"/>
      </w:r>
      <w:r>
        <w:rPr>
          <w:rFonts w:hint="eastAsia" w:ascii="宋体" w:hAnsi="宋体" w:eastAsia="宋体" w:cs="宋体"/>
          <w:sz w:val="24"/>
          <w:szCs w:val="24"/>
        </w:rPr>
        <w:t>OPC服务器</w:t>
      </w:r>
      <w:r>
        <w:rPr>
          <w:rFonts w:hint="eastAsia" w:ascii="宋体" w:hAnsi="宋体" w:eastAsia="宋体" w:cs="宋体"/>
          <w:sz w:val="24"/>
          <w:szCs w:val="24"/>
        </w:rPr>
        <w:fldChar w:fldCharType="end"/>
      </w:r>
      <w:r>
        <w:rPr>
          <w:rFonts w:hint="eastAsia" w:ascii="宋体" w:hAnsi="宋体" w:eastAsia="宋体" w:cs="宋体"/>
          <w:sz w:val="24"/>
          <w:szCs w:val="24"/>
        </w:rPr>
        <w:t>（如：SIMATIC NET）将PLC的内存数据映射到上位机的OPC服务器中；或与MES主控PLC通讯，实现MES对设备过程、状态信息数据采集和控制信息的交互。</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PLC控制系统应结合系统特点，并按功能分散和物理分散的原则进行设计。</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内饰装配线控制系统与顶盖自动涂胶系统进行控制信息的互联，包括硬件的连接、信号的读取、控制程序的编制等内容。投标方应充分预留控制柜相关控制模块、信号模块等余量。同时满足PLC与PLC之间信息交互的要求，PLC与PLC之间交互必须采用PN/PN耦合器的方式，系统与系统有连锁需求的设备必须配备PN/PN耦合器、交换机等设备，满足PLC与PLC之间的交互需求，硬件由设备投标方提供。</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设备预留与安灯系统连接的接口。</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PLC程序要在本体中写入中文注释。</w:t>
      </w:r>
    </w:p>
    <w:p>
      <w:pPr>
        <w:numPr>
          <w:ilvl w:val="0"/>
          <w:numId w:val="1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系统各控制程序（如机器人、视觉、机器人等）需对招标方开放，方便招标方自行修改相关参数流程。</w:t>
      </w:r>
    </w:p>
    <w:p>
      <w:pPr>
        <w:spacing w:line="360" w:lineRule="auto"/>
        <w:outlineLvl w:val="3"/>
        <w:rPr>
          <w:rFonts w:hint="eastAsia" w:ascii="宋体" w:hAnsi="宋体" w:eastAsia="宋体" w:cs="宋体"/>
          <w:b/>
          <w:sz w:val="24"/>
          <w:szCs w:val="24"/>
        </w:rPr>
      </w:pPr>
      <w:bookmarkStart w:id="50" w:name="_Toc6510"/>
      <w:r>
        <w:rPr>
          <w:rFonts w:hint="eastAsia" w:ascii="宋体" w:hAnsi="宋体" w:eastAsia="宋体" w:cs="宋体"/>
          <w:b/>
          <w:sz w:val="24"/>
          <w:szCs w:val="24"/>
        </w:rPr>
        <w:t>4.安全防护要求</w:t>
      </w:r>
      <w:bookmarkEnd w:id="50"/>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在可动部位，应采取措施保证人体、配线和空气软管不被夹入或损伤。</w:t>
      </w:r>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具有断电、断气即时保护；切断动力源时，设备应保持停止时的现状。</w:t>
      </w:r>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开关信号点、气缸电磁阀标贴注释，说明书中提供常见故障处理方法、各零件型号、零部件保养周期、油品型号及更换周期。</w:t>
      </w:r>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投标方需要对设备进行安全风险评估，并提供风险评估报告后方可进行生产和验收。</w:t>
      </w:r>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设备的设计、制造、安装必须遵从防火防爆、人身安全以及质量方面的相关国家法规和行业标准。</w:t>
      </w:r>
    </w:p>
    <w:p>
      <w:pPr>
        <w:numPr>
          <w:ilvl w:val="0"/>
          <w:numId w:val="13"/>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设备必须满足生产主线的工艺要求，性能可靠，使用维修方便，易于作业。</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 xml:space="preserve">5.电气通用标准 </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所有线路采用多芯电缆（电缆不能有接头），各接点采用预铸式多线插头，减少运行故障。</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系统电源、控制电源、操作电源应设单独保护开关。</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设备电气控制系统中使用的所有导线应有不易脱落的线号及标签，设备各机械部件及各种电气元件（例如电磁阀、气缸等）应有与图纸相一致的标识。</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控制柜内或电子接线盒中所有进\出导线必须通过端子排，进行中间过渡。</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设备上使用的电缆可根据需要在空中或地面通过线槽进行铺设。线槽走向要合理，按直角坐标系铺设，转弯做成直角走向。在地面铺设的线槽盖板厚度≥2mm，强度应保证不发生人践踏使其变形现象。</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在空中进入设备的各水管、气管开关要避免在电箱上方安装。</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外部开关、电磁阀等元件要求采用预铸式电缆结构。</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输入/输出使用独立的电源，输入/输出使用DC24V 开关电源，各个电源要求加独立的断路器保护。PLC输入/输出采用不同颜色的配线，并与动力线颜色不同。</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凡是有人操作的位置都要求就近设急停及急停指示。急停应对全部的设备同时有效。</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所有PLC应有20%的I/O点数余量。</w:t>
      </w:r>
    </w:p>
    <w:p>
      <w:pPr>
        <w:numPr>
          <w:ilvl w:val="0"/>
          <w:numId w:val="14"/>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控制气源设有气压低下报警功能。</w:t>
      </w:r>
    </w:p>
    <w:p>
      <w:pPr>
        <w:spacing w:line="360" w:lineRule="auto"/>
        <w:outlineLvl w:val="3"/>
        <w:rPr>
          <w:rFonts w:hint="eastAsia" w:ascii="宋体" w:hAnsi="宋体" w:eastAsia="宋体" w:cs="宋体"/>
          <w:b/>
          <w:sz w:val="24"/>
          <w:szCs w:val="24"/>
        </w:rPr>
      </w:pPr>
      <w:bookmarkStart w:id="51" w:name="_Toc17706"/>
      <w:r>
        <w:rPr>
          <w:rFonts w:hint="eastAsia" w:ascii="宋体" w:hAnsi="宋体" w:eastAsia="宋体" w:cs="宋体"/>
          <w:b/>
          <w:sz w:val="24"/>
          <w:szCs w:val="24"/>
        </w:rPr>
        <w:t>6.其他要求</w:t>
      </w:r>
      <w:bookmarkEnd w:id="51"/>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设备、作业用压缩空气，从车间主管道支阀门引出，阀门以下包含在报价范围内。设置U型管，球阀、三联件安装在U型管低端。</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气缸加开口锁紧铁片，防止轴转动。按功能设置不同颜色气管。气缸磁感开关、电磁阀用插接件连接，以备方便更换。各类传感器、外装的执行器件尽可能采用方便快换的接线方式，推荐采用预制电缆、HARTING插头、快换接插件等方式。</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在各气动执行单元前设置阀门、气动三联件，在执行单元上配置调速阀、消音器。另需设置急速排气阀，以便可以迅速地切断气源。</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在比主配管低的作业区域的配管接续的地方安装手阀、压缩空气供给要能单独切断。空气配管尺寸，需根据各气动执行单元的必要流量来决定。</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对转动部分，不允许使用铜套，如有要用轴套的区域，优先选用带石墨润滑的轴套。在所有输送设备的行程终端都需安装相应的机械死挡，以阻挡因控制异常时被输送物品超行程运动造成事故。</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关于联接：</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①所有设备间的联接需采用螺栓联接；螺栓或螺母强度等级：8.8级或8.8级以上，尽可能将螺栓向下安装，螺母在下。</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②所有螺栓联接都需使用合适的止退措施：包括使用止退螺母，弹簧垫圈，双螺母等措施。螺栓紧固后需要露出不少于3牙。</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 xml:space="preserve">③运动部件和易松动部件间的联接螺母必须采用锁紧螺母型，所有螺栓/螺母类拧紧需要进行扭矩检查确认，扭矩确认后进行 "I" 标记（扭矩不重要时小于M6 的除外）。 </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④钢结构部分，设备与工艺钢结构或厂房钢结构的所有连接部件必须使用止退措施，并进行双人确认并分别做油漆标记。</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⑤在和其他钢结构相连时，要做到尽量螺栓连接，对于不便于螺栓连接的情况，可采用抱箍方式相连，未经招标方同意，严禁采用电焊方式连接。</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如有设备的安装或拆解需要特殊的非标工具，投标方必须告知并提供相应的专用工具及使用相关工具的必要培训。</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关于设备喷塑和烤漆：</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 xml:space="preserve">①设备外观按招标方统一颜色要求喷塑和烤漆处理，参见《QZZ 30070—2020设备设施颜色标识要求》，颜色应具有耐久性。涂料厚度不小于4um。 </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②钢结构、设备表面喷塑和烤漆前需采用设备对金属表面进行除锈。</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③喷塑和烤漆后外观要求均匀，颜色一致，无明显色差，涂覆的涂料要均匀，不允许有针孔，气泡，裂纹，脱落，流挂及漏涂等缺陷，并作到涂料不干不装配，不包装，产品在吊运中应妥善保护表面。</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④外露加工、装配表面严禁喷塑和涂漆，一律涂SZ－1防锈油。</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⑤安装现场不允许焊接和喷漆作业。</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若系统中涉及到特种设备，则需要有资质的投标方进行制作及安装，并负责办理特种设备的安装许可证书。</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关于安全防护设备和设施，投标方实际提供配置和数量需得到招标方确认。</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所有设备要考虑断压缩空气或断电后保证安全。</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投标方需负责本项目供货范围内所有设备设施的防撞装置。</w:t>
      </w:r>
    </w:p>
    <w:p>
      <w:pPr>
        <w:numPr>
          <w:ilvl w:val="0"/>
          <w:numId w:val="15"/>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所有轨道和吊挂点设置二次保护钢丝绳。</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7.环保、安全及防护技术要求</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投标方施工前须提供安全施工技术方案（含危险源辨识与风险控制措施内容）及详细的安全施工措施并经招标方认可，并签订《安全协议》；</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在工程施工时，投标方对所有的施工、制作和储存区域必须提供足够的消防、防护等安全设施，以确保安全，并对自己员工的安全负责，安装调试期间，出现安全事故由投标方负责；</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投标方在整个项目过程中必须严格执行招标方要求及国家相关安全、消防、环保等法律、法规；</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进入现场所有的特殊工种的操作人员必须持有相应的操作资格证（如电工、焊工、高空、叉车证等）；进入现场所有设备必须符合国家标准。</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投标方需采用隔栏或围栏的形式将施工区域与生产区域隔开，不能影响生产；</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没有正式的书面批准和现场的化学制品核准情况下，所有的化学制品不允许进入施工现场，现场不允许储藏化学制品、油漆、燃料等，严禁投标方带过量、超期的气瓶（氧气/乙炔）到现场(保证安全附件完好)，替换钢瓶前，投标方必须搬出空瓶；</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设备的主机、附件及附属设施应具有安全防护措施，以避免操作者身体与设备的危险区域接触；</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所有进入现场的人员必须穿戴合适的劳保用品，例如劳保鞋、安全帽、带侧面保护的眼镜等，并对现场施工做安全标识、警示标识；</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所有的安全说明书及安全标志须符合国家标准，或用中文标识，在设备装运时，所有安全标志须由投标方贴好；</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高处作业施工人员，严禁投掷物料，并做安全标识，做好防高处坠落、物体打击、防触电、防机械伤害的各项安全防护工作；</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现场的各种安全防护设施，未经招标方批准，任何人不准随意拆改；</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施工现场临时用电执行招标方要求及国家相关规定；</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进入现场，需按要求办理出入证件，招标方协助相关证件的办理；</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设备的安全与环保要求必须符合国家标准，在运转过程中应保证安全、可靠，无漏电、漏气现象；</w:t>
      </w:r>
    </w:p>
    <w:p>
      <w:pPr>
        <w:numPr>
          <w:ilvl w:val="0"/>
          <w:numId w:val="16"/>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投标方在安装现场施工时，必须严格遵守招标方制定的安全、防火规定和其它规章制度，遵守国家各项安全制度，并制订安全预案，文明施工，如因投标方施工不遵守规章制度而造成的各种损失由投标方负全责；</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 xml:space="preserve">①投标方应保证设备安装现场的环境卫生，在设备及材料运进工厂时应确保不损坏车间地表面和厂房内设施并按招标方规定位置存放，不得在施工现场进行打磨、除锈。现场材料和设备要堆放整齐，生产、生活垃圾必须及时清理干净，为保证整个安装及调试过程中现场和设备内部的清洁，投标方应采取切实可行的措施，最终的深度清洁由投标方负责；       </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②投标方在整个项目施工期间，所有设备、零部件、制成品、工具、材料等均由投标方看管、保护，损坏及丢失招标方一概不负责任，招标方只负责提供场所；</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③所有主要的有可能做的材料（支吊架、连杆等）的表面清洁、切割、打磨、焊接和总体制作、底漆涂刷等工作必须在安装场地以外进行；任何需在现场制作、管子切割、焊接、攻丝等工作必须在指定的区域进行；</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④投标方在开工前须提供系统设计安全方案，设备安装调试阶段的高风险项目安全预案，预案中要体现安全措施费用及人员配置；</w:t>
      </w:r>
    </w:p>
    <w:p>
      <w:pPr>
        <w:pStyle w:val="131"/>
        <w:spacing w:line="360" w:lineRule="auto"/>
        <w:ind w:firstLine="480"/>
        <w:rPr>
          <w:rFonts w:hint="eastAsia" w:ascii="宋体" w:hAnsi="宋体" w:eastAsia="宋体" w:cs="宋体"/>
          <w:sz w:val="24"/>
        </w:rPr>
      </w:pPr>
      <w:r>
        <w:rPr>
          <w:rFonts w:hint="eastAsia" w:ascii="宋体" w:hAnsi="宋体" w:eastAsia="宋体" w:cs="宋体"/>
          <w:sz w:val="24"/>
        </w:rPr>
        <w:t xml:space="preserve">⑤设备安装调试过程中，投标方须听从招标方指挥。   </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8.节能</w:t>
      </w:r>
    </w:p>
    <w:p>
      <w:pPr>
        <w:numPr>
          <w:ilvl w:val="0"/>
          <w:numId w:val="17"/>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优先采购节能产品和环境标志产品。可参照节能机电设备（产品）推荐目录（工信部）、“能效之星”产品目录（工信部）。</w:t>
      </w:r>
    </w:p>
    <w:p>
      <w:pPr>
        <w:numPr>
          <w:ilvl w:val="0"/>
          <w:numId w:val="17"/>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电动机等部件的能效等级不低于国家</w:t>
      </w:r>
      <w:bookmarkStart w:id="52" w:name="_Hlk33093381"/>
      <w:r>
        <w:rPr>
          <w:rFonts w:hint="eastAsia" w:ascii="宋体" w:hAnsi="宋体" w:eastAsia="宋体" w:cs="宋体"/>
          <w:sz w:val="24"/>
          <w:szCs w:val="24"/>
        </w:rPr>
        <w:t>现行标准二级能效</w:t>
      </w:r>
      <w:bookmarkEnd w:id="52"/>
      <w:r>
        <w:rPr>
          <w:rFonts w:hint="eastAsia" w:ascii="宋体" w:hAnsi="宋体" w:eastAsia="宋体" w:cs="宋体"/>
          <w:sz w:val="24"/>
          <w:szCs w:val="24"/>
        </w:rPr>
        <w:t>。进口产品的能效不应低于原产国现行能效标准二级能效。如：对应欧洲标准电动机的能效等级不低于IE3。</w:t>
      </w:r>
    </w:p>
    <w:p>
      <w:pPr>
        <w:numPr>
          <w:ilvl w:val="0"/>
          <w:numId w:val="17"/>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不应采购列入国家高耗能落后机电设备（产品）淘汰目录的产品（工信部）</w:t>
      </w:r>
    </w:p>
    <w:p>
      <w:pPr>
        <w:numPr>
          <w:ilvl w:val="0"/>
          <w:numId w:val="17"/>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电机功率≥7.5kw，必须选用一级能效;电机功率&lt;7.5kw，优先选用一级能效;其中对能源供应类设备及年运行时间≥2000h工艺设备的电机必须选用一级能效:杜绝选用三级能效。</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9.能源计量</w:t>
      </w:r>
    </w:p>
    <w:p>
      <w:pPr>
        <w:numPr>
          <w:ilvl w:val="0"/>
          <w:numId w:val="18"/>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主要用能设备应当按照GB17167《用能单位能源计量器具配备和管理通则》的要求配备能源计量器具。</w:t>
      </w:r>
    </w:p>
    <w:p>
      <w:pPr>
        <w:numPr>
          <w:ilvl w:val="0"/>
          <w:numId w:val="18"/>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当主要用能设备能源消耗量（或功率）达到下列限定值时，应当配备能源计量器具：</w:t>
      </w:r>
    </w:p>
    <w:p>
      <w:pPr>
        <w:spacing w:line="360" w:lineRule="auto"/>
        <w:ind w:firstLine="720" w:firstLineChars="300"/>
        <w:rPr>
          <w:rFonts w:hint="eastAsia" w:ascii="宋体" w:hAnsi="宋体" w:eastAsia="宋体" w:cs="宋体"/>
          <w:sz w:val="24"/>
          <w:szCs w:val="24"/>
        </w:rPr>
      </w:pPr>
      <w:r>
        <w:rPr>
          <w:rFonts w:hint="eastAsia" w:ascii="宋体" w:hAnsi="宋体" w:eastAsia="宋体" w:cs="宋体"/>
          <w:sz w:val="24"/>
          <w:szCs w:val="24"/>
        </w:rPr>
        <w:t>--电力：100KW; 多功能电能表的准确度等级应不低于2.0级。</w:t>
      </w:r>
    </w:p>
    <w:p>
      <w:pPr>
        <w:spacing w:line="360" w:lineRule="auto"/>
        <w:ind w:firstLine="720" w:firstLineChars="300"/>
        <w:rPr>
          <w:rFonts w:hint="eastAsia" w:ascii="宋体" w:hAnsi="宋体" w:eastAsia="宋体" w:cs="宋体"/>
          <w:sz w:val="24"/>
          <w:szCs w:val="24"/>
        </w:rPr>
      </w:pPr>
      <w:r>
        <w:rPr>
          <w:rFonts w:hint="eastAsia" w:ascii="宋体" w:hAnsi="宋体" w:eastAsia="宋体" w:cs="宋体"/>
          <w:sz w:val="24"/>
          <w:szCs w:val="24"/>
        </w:rPr>
        <w:t>--天然气：100Nm3/h; 天然气计量表</w:t>
      </w:r>
      <w:bookmarkStart w:id="53" w:name="_Hlk33434747"/>
      <w:r>
        <w:rPr>
          <w:rFonts w:hint="eastAsia" w:ascii="宋体" w:hAnsi="宋体" w:eastAsia="宋体" w:cs="宋体"/>
          <w:sz w:val="24"/>
          <w:szCs w:val="24"/>
        </w:rPr>
        <w:t>的</w:t>
      </w:r>
      <w:bookmarkStart w:id="54" w:name="_Hlk33434911"/>
      <w:r>
        <w:rPr>
          <w:rFonts w:hint="eastAsia" w:ascii="宋体" w:hAnsi="宋体" w:eastAsia="宋体" w:cs="宋体"/>
          <w:sz w:val="24"/>
          <w:szCs w:val="24"/>
        </w:rPr>
        <w:t>准确度等级应不低于2.0</w:t>
      </w:r>
      <w:bookmarkEnd w:id="53"/>
      <w:r>
        <w:rPr>
          <w:rFonts w:hint="eastAsia" w:ascii="宋体" w:hAnsi="宋体" w:eastAsia="宋体" w:cs="宋体"/>
          <w:sz w:val="24"/>
          <w:szCs w:val="24"/>
        </w:rPr>
        <w:t>级</w:t>
      </w:r>
      <w:bookmarkEnd w:id="54"/>
      <w:r>
        <w:rPr>
          <w:rFonts w:hint="eastAsia" w:ascii="宋体" w:hAnsi="宋体" w:eastAsia="宋体" w:cs="宋体"/>
          <w:sz w:val="24"/>
          <w:szCs w:val="24"/>
        </w:rPr>
        <w:t>。</w:t>
      </w:r>
    </w:p>
    <w:p>
      <w:pPr>
        <w:spacing w:line="360" w:lineRule="auto"/>
        <w:ind w:firstLine="720" w:firstLineChars="300"/>
        <w:rPr>
          <w:rFonts w:hint="eastAsia" w:ascii="宋体" w:hAnsi="宋体" w:eastAsia="宋体" w:cs="宋体"/>
          <w:sz w:val="24"/>
          <w:szCs w:val="24"/>
        </w:rPr>
      </w:pPr>
      <w:r>
        <w:rPr>
          <w:rFonts w:hint="eastAsia" w:ascii="宋体" w:hAnsi="宋体" w:eastAsia="宋体" w:cs="宋体"/>
          <w:sz w:val="24"/>
          <w:szCs w:val="24"/>
        </w:rPr>
        <w:t>--热水：7MW；热量计量表的准确度等级应不低于2.0级。</w:t>
      </w:r>
    </w:p>
    <w:p>
      <w:pPr>
        <w:spacing w:line="360" w:lineRule="auto"/>
        <w:ind w:firstLine="720" w:firstLineChars="300"/>
        <w:rPr>
          <w:rFonts w:hint="eastAsia" w:ascii="宋体" w:hAnsi="宋体" w:eastAsia="宋体" w:cs="宋体"/>
          <w:sz w:val="24"/>
          <w:szCs w:val="24"/>
        </w:rPr>
      </w:pPr>
      <w:r>
        <w:rPr>
          <w:rFonts w:hint="eastAsia" w:ascii="宋体" w:hAnsi="宋体" w:eastAsia="宋体" w:cs="宋体"/>
          <w:sz w:val="24"/>
          <w:szCs w:val="24"/>
        </w:rPr>
        <w:t>--水：1t/h; 水计量表的准确度等级，管径不大于250mm应不低于2.5级。管径大于250mm应不低于1.5级。</w:t>
      </w:r>
    </w:p>
    <w:p>
      <w:pPr>
        <w:spacing w:line="360" w:lineRule="auto"/>
        <w:ind w:firstLine="720" w:firstLineChars="300"/>
        <w:rPr>
          <w:rFonts w:hint="eastAsia" w:ascii="宋体" w:hAnsi="宋体" w:eastAsia="宋体" w:cs="宋体"/>
          <w:sz w:val="24"/>
          <w:szCs w:val="24"/>
        </w:rPr>
      </w:pPr>
      <w:r>
        <w:rPr>
          <w:rFonts w:hint="eastAsia" w:ascii="宋体" w:hAnsi="宋体" w:eastAsia="宋体" w:cs="宋体"/>
          <w:sz w:val="24"/>
          <w:szCs w:val="24"/>
        </w:rPr>
        <w:t>--其他：29.26GJ/h；计量表的准确度等级应不低于2.0级。</w:t>
      </w:r>
    </w:p>
    <w:p>
      <w:pPr>
        <w:numPr>
          <w:ilvl w:val="0"/>
          <w:numId w:val="18"/>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设备能源消耗（或功率）虽达不到8.4.2的要求，但对需要测量能源消耗或能效的关键设备应当加装能源计量仪表。</w:t>
      </w:r>
    </w:p>
    <w:p>
      <w:pPr>
        <w:numPr>
          <w:ilvl w:val="0"/>
          <w:numId w:val="18"/>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能源计量仪表应带远传功能，通讯应满足第3条工业通讯的要求。</w:t>
      </w:r>
    </w:p>
    <w:p>
      <w:pPr>
        <w:spacing w:line="360" w:lineRule="auto"/>
        <w:outlineLvl w:val="3"/>
        <w:rPr>
          <w:rFonts w:hint="eastAsia" w:ascii="宋体" w:hAnsi="宋体" w:eastAsia="宋体" w:cs="宋体"/>
          <w:b/>
          <w:sz w:val="24"/>
          <w:szCs w:val="24"/>
        </w:rPr>
      </w:pPr>
      <w:bookmarkStart w:id="55" w:name="_Hlk33102596"/>
      <w:r>
        <w:rPr>
          <w:rFonts w:hint="eastAsia" w:ascii="宋体" w:hAnsi="宋体" w:eastAsia="宋体" w:cs="宋体"/>
          <w:b/>
          <w:sz w:val="24"/>
          <w:szCs w:val="24"/>
        </w:rPr>
        <w:t>10.设备设计使用寿命（年限）</w:t>
      </w:r>
      <w:bookmarkEnd w:id="55"/>
    </w:p>
    <w:p>
      <w:pPr>
        <w:spacing w:line="360" w:lineRule="auto"/>
        <w:ind w:firstLine="480" w:firstLineChars="200"/>
        <w:outlineLvl w:val="3"/>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w:t>
      </w:r>
      <w:bookmarkStart w:id="56" w:name="_Hlk33094137"/>
      <w:r>
        <w:rPr>
          <w:rFonts w:hint="eastAsia" w:ascii="宋体" w:hAnsi="宋体" w:eastAsia="宋体" w:cs="宋体"/>
          <w:color w:val="000000"/>
          <w:kern w:val="0"/>
          <w:sz w:val="24"/>
          <w:szCs w:val="24"/>
          <w:lang w:bidi="ar"/>
        </w:rPr>
        <w:t>设计使用寿命不应低于</w:t>
      </w:r>
      <w:bookmarkEnd w:id="56"/>
      <w:r>
        <w:rPr>
          <w:rFonts w:hint="eastAsia" w:ascii="宋体" w:hAnsi="宋体" w:eastAsia="宋体" w:cs="宋体"/>
          <w:color w:val="000000"/>
          <w:kern w:val="0"/>
          <w:sz w:val="24"/>
          <w:szCs w:val="24"/>
          <w:lang w:bidi="ar"/>
        </w:rPr>
        <w:t>10年。</w:t>
      </w:r>
    </w:p>
    <w:p>
      <w:pPr>
        <w:spacing w:line="360" w:lineRule="auto"/>
        <w:outlineLvl w:val="3"/>
        <w:rPr>
          <w:rFonts w:hint="eastAsia" w:ascii="宋体" w:hAnsi="宋体" w:eastAsia="宋体" w:cs="宋体"/>
          <w:b/>
          <w:sz w:val="24"/>
          <w:szCs w:val="24"/>
        </w:rPr>
      </w:pPr>
      <w:bookmarkStart w:id="57" w:name="_Hlk33102606"/>
      <w:r>
        <w:rPr>
          <w:rFonts w:hint="eastAsia" w:ascii="宋体" w:hAnsi="宋体" w:eastAsia="宋体" w:cs="宋体"/>
          <w:b/>
          <w:sz w:val="24"/>
          <w:szCs w:val="24"/>
        </w:rPr>
        <w:t>11.易维修性</w:t>
      </w:r>
      <w:bookmarkEnd w:id="57"/>
    </w:p>
    <w:p>
      <w:pPr>
        <w:numPr>
          <w:ilvl w:val="0"/>
          <w:numId w:val="19"/>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投标方对设备可维修性进行描述，设备在设计、制造、布局、安装时应充分考虑了后续维修的易维修性、可修复性和维修作业的安全、可操作性。</w:t>
      </w:r>
    </w:p>
    <w:p>
      <w:pPr>
        <w:numPr>
          <w:ilvl w:val="0"/>
          <w:numId w:val="19"/>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在正式提交的设备资料中应当包含设备的维修BOM。</w:t>
      </w:r>
    </w:p>
    <w:p>
      <w:pPr>
        <w:numPr>
          <w:ilvl w:val="0"/>
          <w:numId w:val="19"/>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投标方应说明设备在维保方面的信息，包含但不限于：易损件清单、耗材清单、定期维保项目清单等。</w:t>
      </w:r>
    </w:p>
    <w:p>
      <w:pPr>
        <w:pStyle w:val="2"/>
        <w:jc w:val="center"/>
        <w:rPr>
          <w:rFonts w:hint="eastAsia" w:ascii="宋体" w:hAnsi="宋体" w:eastAsia="宋体" w:cs="宋体"/>
        </w:rPr>
      </w:pPr>
      <w:bookmarkStart w:id="58" w:name="_Toc178067748"/>
      <w:r>
        <w:rPr>
          <w:rFonts w:hint="eastAsia" w:ascii="宋体" w:hAnsi="宋体" w:eastAsia="宋体" w:cs="宋体"/>
        </w:rPr>
        <w:t>七、技术资料</w:t>
      </w:r>
      <w:bookmarkEnd w:id="58"/>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1.硬件资料</w:t>
      </w:r>
    </w:p>
    <w:p>
      <w:pPr>
        <w:numPr>
          <w:ilvl w:val="0"/>
          <w:numId w:val="2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提供的资料应包括涉及所有系统部件的安装、运行、注意事项和维护方法的详细说明，此外还应包括所购设备的完整设备清单和详细指南。与设备清单相对应的设备项目代号应在所有相关图纸上表示出来，投标方还应根据要求提供其设备代号与市场上可买到的该设备型号间的参照表。</w:t>
      </w:r>
    </w:p>
    <w:p>
      <w:pPr>
        <w:numPr>
          <w:ilvl w:val="0"/>
          <w:numId w:val="2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投标方至少应提供下列手册和图纸：</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--设备竣工图（包括总图、基础图、装配图、机械原理图、气动、液压原理图、电气原理图、接线图和元器件布置图、PLC 梯形图、变频器的组态文件、HMI 的组态文件等）</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--设备硬件手册。</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sz w:val="24"/>
          <w:szCs w:val="24"/>
        </w:rPr>
        <w:t>--</w:t>
      </w:r>
      <w:r>
        <w:rPr>
          <w:rFonts w:hint="eastAsia" w:ascii="宋体" w:hAnsi="宋体" w:eastAsia="宋体" w:cs="宋体"/>
          <w:color w:val="000000"/>
          <w:kern w:val="0"/>
          <w:sz w:val="24"/>
          <w:szCs w:val="24"/>
          <w:lang w:bidi="ar"/>
        </w:rPr>
        <w:t>设备操作手册（含安全操作规程、操作和安全事项的使用说明书）。</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--设备维护手册（含润滑图表、含有易损件的检查更换指南、易损件使用时间）。</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--设备组态手册。</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--仪器仪表检定证书和使用维修说明书。</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--构成设备所有部件的原理图。</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--内部布置图。</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--符合招标方要求格式的外部连接图，图上应有电缆编号和端子编号。</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--每只控制柜、操作台的总布置图，这些图中应标明各模件和组装件的编号，并包括正视图、后视图、开孔图、总尺寸及开门所需的净空距离。</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--所有控制和调整装置在维护时所需的校验曲线。</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--所有投标方外购设备手册。</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 PLC使用的部件详图。</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--安装步骤、包括装配细节、设备散热和设备重量等。</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--材料清册，包括备件、易损件和耗材清单。</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--所有外围设备的样本（包括主机、显示器、键盘、打印机等）。</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--产品合格证。</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--开箱记录等随机文件材料。</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--施工文件。</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--用于说明采购件名称、型号、规格、厂家等的采购件明细表。</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--设备出厂所必须的精度检验证书、性能测试记录和报告。</w:t>
      </w:r>
    </w:p>
    <w:p>
      <w:pPr>
        <w:spacing w:line="460" w:lineRule="exact"/>
        <w:ind w:firstLine="480" w:firstLineChars="200"/>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--设备分支动力管线的设计竣工图。</w:t>
      </w:r>
    </w:p>
    <w:p>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2.软件资料</w:t>
      </w:r>
    </w:p>
    <w:p>
      <w:pPr>
        <w:numPr>
          <w:ilvl w:val="0"/>
          <w:numId w:val="21"/>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投标方应提供足以使招标方能够进行检查和修改的所有详图程序和组态文件，这些文件包括电子文件和打印出来的程序，并装订成册。文件应包括的所有与编程、组态有关的指导和参考手册，文件应完整、清晰、能允许对现有的程序进行修改、增删以及编制新程序，其中还应包括编程和调试的指导性资料。</w:t>
      </w:r>
    </w:p>
    <w:p>
      <w:pPr>
        <w:numPr>
          <w:ilvl w:val="0"/>
          <w:numId w:val="21"/>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设备可编程器件（PLC、触摸屏、伺服器等）的原控制程序、组态程序电子文档。</w:t>
      </w:r>
    </w:p>
    <w:p>
      <w:pPr>
        <w:numPr>
          <w:ilvl w:val="0"/>
          <w:numId w:val="21"/>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编程指导材料，投标方应提供用于各系统程序的源码说明，包括交互在程序中的注释，以便整个程序的理解，这一资料应存放在工程师站和U盘内提供给招标方。</w:t>
      </w:r>
    </w:p>
    <w:p>
      <w:pPr>
        <w:numPr>
          <w:ilvl w:val="0"/>
          <w:numId w:val="21"/>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投标方应提供一份含有系统所有的输入、输出（I/O）清单（包括其格式为Excel2007的电子文件），该清单应包括下列项目：输入/输出点说明、模块和插槽代号、设计编号、端子号、信号类型、故障状态、手动状态、电缆编号、报警限值、计算用途、记录/报表要求、显示格式和修改版本号等等。</w:t>
      </w:r>
    </w:p>
    <w:p>
      <w:pPr>
        <w:pStyle w:val="2"/>
        <w:jc w:val="center"/>
        <w:rPr>
          <w:rFonts w:hint="eastAsia" w:ascii="宋体" w:hAnsi="宋体" w:eastAsia="宋体" w:cs="宋体"/>
        </w:rPr>
      </w:pPr>
      <w:bookmarkStart w:id="59" w:name="_Toc178067749"/>
      <w:r>
        <w:rPr>
          <w:rFonts w:hint="eastAsia" w:ascii="宋体" w:hAnsi="宋体" w:eastAsia="宋体" w:cs="宋体"/>
        </w:rPr>
        <w:t>八、</w:t>
      </w:r>
      <w:bookmarkEnd w:id="59"/>
      <w:r>
        <w:rPr>
          <w:rFonts w:hint="eastAsia" w:ascii="宋体" w:hAnsi="宋体" w:eastAsia="宋体" w:cs="宋体"/>
        </w:rPr>
        <w:t>安装及其他服务</w:t>
      </w:r>
    </w:p>
    <w:p>
      <w:pPr>
        <w:spacing w:line="360" w:lineRule="auto"/>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1.技术指导和培训服务</w:t>
      </w:r>
    </w:p>
    <w:p>
      <w:pPr>
        <w:numPr>
          <w:ilvl w:val="0"/>
          <w:numId w:val="2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投标方应按要求，免费积极协助和提供招标方和招标方所委托的工程设计单位有关人员所需要的、和设备（或材料）有关的工程设计资料、技术咨询等；</w:t>
      </w:r>
    </w:p>
    <w:p>
      <w:pPr>
        <w:numPr>
          <w:ilvl w:val="0"/>
          <w:numId w:val="2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若投标方提供设备（或材料）的技术质量等，与投标方外购的设备（或材料）技术质量等有较大或直接关联时，投标方应能得到其外购设备（或材料）制造厂商（或供应商）的技术支持，并免费为招标方提供技术服务（包括设计文件的审查和审定）；</w:t>
      </w:r>
    </w:p>
    <w:p>
      <w:pPr>
        <w:numPr>
          <w:ilvl w:val="0"/>
          <w:numId w:val="22"/>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spacing w:line="360" w:lineRule="auto"/>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2.现场服务</w:t>
      </w:r>
    </w:p>
    <w:p>
      <w:pPr>
        <w:pStyle w:val="141"/>
        <w:ind w:left="480" w:firstLine="480"/>
        <w:rPr>
          <w:rFonts w:hint="eastAsia" w:ascii="宋体" w:hAnsi="宋体" w:eastAsia="宋体" w:cs="宋体"/>
        </w:rPr>
      </w:pPr>
      <w:r>
        <w:rPr>
          <w:rFonts w:hint="eastAsia" w:ascii="宋体" w:hAnsi="宋体" w:eastAsia="宋体" w:cs="宋体"/>
        </w:rPr>
        <w:t>（1）现场施工全过程应按招标方已经批准的工程进度计划进行安装。调试、试生产期间有关技术人员应长期进行服务。</w:t>
      </w:r>
    </w:p>
    <w:p>
      <w:pPr>
        <w:pStyle w:val="141"/>
        <w:ind w:left="480" w:firstLine="480"/>
        <w:rPr>
          <w:rFonts w:hint="eastAsia" w:ascii="宋体" w:hAnsi="宋体" w:eastAsia="宋体" w:cs="宋体"/>
        </w:rPr>
      </w:pPr>
      <w:r>
        <w:rPr>
          <w:rFonts w:hint="eastAsia" w:ascii="宋体" w:hAnsi="宋体" w:eastAsia="宋体" w:cs="宋体"/>
        </w:rPr>
        <w:t>（2）设备在制造过程中，接受招标方到制造厂内进行检查，并提供方便。</w:t>
      </w:r>
    </w:p>
    <w:p>
      <w:pPr>
        <w:pStyle w:val="141"/>
        <w:ind w:left="480" w:firstLine="480"/>
        <w:rPr>
          <w:rFonts w:hint="eastAsia" w:ascii="宋体" w:hAnsi="宋体" w:eastAsia="宋体" w:cs="宋体"/>
        </w:rPr>
      </w:pPr>
      <w:r>
        <w:rPr>
          <w:rFonts w:hint="eastAsia" w:ascii="宋体" w:hAnsi="宋体" w:eastAsia="宋体" w:cs="宋体"/>
        </w:rPr>
        <w:t>（3）设备在运行过程中出现故障，根据招标方要求投标方的技术及相关人员应常驻现场服务。</w:t>
      </w:r>
    </w:p>
    <w:p>
      <w:pPr>
        <w:pStyle w:val="141"/>
        <w:ind w:left="480" w:firstLine="480"/>
        <w:rPr>
          <w:rFonts w:hint="eastAsia" w:ascii="宋体" w:hAnsi="宋体" w:eastAsia="宋体" w:cs="宋体"/>
        </w:rPr>
      </w:pPr>
      <w:r>
        <w:rPr>
          <w:rFonts w:hint="eastAsia" w:ascii="宋体" w:hAnsi="宋体" w:eastAsia="宋体" w:cs="宋体"/>
        </w:rPr>
        <w:t>（4）投标方须满足招标方的相关技术咨询。</w:t>
      </w:r>
    </w:p>
    <w:p>
      <w:pPr>
        <w:pStyle w:val="141"/>
        <w:ind w:left="480" w:firstLine="480"/>
        <w:rPr>
          <w:rFonts w:hint="eastAsia" w:ascii="宋体" w:hAnsi="宋体" w:eastAsia="宋体" w:cs="宋体"/>
        </w:rPr>
      </w:pPr>
      <w:r>
        <w:rPr>
          <w:rFonts w:hint="eastAsia" w:ascii="宋体" w:hAnsi="宋体" w:eastAsia="宋体" w:cs="宋体"/>
        </w:rPr>
        <w:t>（5）在这些现场服务中，投标方所作的任何修改都要以文件的形式更新并提交给招标方。</w:t>
      </w:r>
    </w:p>
    <w:p>
      <w:pPr>
        <w:pStyle w:val="141"/>
        <w:ind w:left="480" w:firstLine="480"/>
        <w:rPr>
          <w:rFonts w:hint="eastAsia" w:ascii="宋体" w:hAnsi="宋体" w:eastAsia="宋体" w:cs="宋体"/>
        </w:rPr>
      </w:pPr>
      <w:r>
        <w:rPr>
          <w:rFonts w:hint="eastAsia" w:ascii="宋体" w:hAnsi="宋体" w:eastAsia="宋体" w:cs="宋体"/>
        </w:rPr>
        <w:t>（6）投标方应为招标方相关设备技术人员提供系统的现场培训。现场培训时间不少于半天。投标方应根据项目需求在量产阶段提供不低于一周时间的陪产。</w:t>
      </w:r>
    </w:p>
    <w:p>
      <w:pPr>
        <w:spacing w:line="360" w:lineRule="auto"/>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3.运输服务</w:t>
      </w:r>
    </w:p>
    <w:p>
      <w:pPr>
        <w:tabs>
          <w:tab w:val="left" w:pos="472"/>
        </w:tabs>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kern w:val="0"/>
          <w:sz w:val="24"/>
          <w:szCs w:val="24"/>
          <w:lang w:bidi="ar"/>
        </w:rPr>
        <w:tab/>
      </w:r>
      <w:r>
        <w:rPr>
          <w:rFonts w:hint="eastAsia" w:ascii="宋体" w:hAnsi="宋体" w:eastAsia="宋体" w:cs="宋体"/>
          <w:color w:val="000000"/>
          <w:kern w:val="0"/>
          <w:sz w:val="24"/>
          <w:szCs w:val="24"/>
          <w:lang w:bidi="ar"/>
        </w:rPr>
        <w:t xml:space="preserve"> 投标方负责将设备按要求运至招标方需求地点</w:t>
      </w:r>
      <w:r>
        <w:rPr>
          <w:rFonts w:hint="eastAsia" w:ascii="宋体" w:hAnsi="宋体" w:eastAsia="宋体" w:cs="宋体"/>
          <w:sz w:val="24"/>
          <w:szCs w:val="24"/>
        </w:rPr>
        <w:t>。</w:t>
      </w:r>
    </w:p>
    <w:p>
      <w:pPr>
        <w:numPr>
          <w:ilvl w:val="0"/>
          <w:numId w:val="23"/>
        </w:numPr>
        <w:spacing w:line="360" w:lineRule="auto"/>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安装调试服务</w:t>
      </w:r>
    </w:p>
    <w:p>
      <w:pPr>
        <w:pStyle w:val="141"/>
        <w:ind w:left="480" w:firstLine="480"/>
        <w:rPr>
          <w:rFonts w:hint="eastAsia" w:ascii="宋体" w:hAnsi="宋体" w:eastAsia="宋体" w:cs="宋体"/>
        </w:rPr>
      </w:pPr>
      <w:r>
        <w:rPr>
          <w:rFonts w:hint="eastAsia" w:ascii="宋体" w:hAnsi="宋体" w:eastAsia="宋体" w:cs="宋体"/>
        </w:rPr>
        <w:t>（1）投标方负责设备、设施现场安装、调试的全部工作，包括旧设备的拆除。</w:t>
      </w:r>
    </w:p>
    <w:p>
      <w:pPr>
        <w:pStyle w:val="141"/>
        <w:ind w:left="480" w:firstLine="480"/>
        <w:rPr>
          <w:rFonts w:hint="eastAsia" w:ascii="宋体" w:hAnsi="宋体" w:eastAsia="宋体" w:cs="宋体"/>
        </w:rPr>
      </w:pPr>
      <w:r>
        <w:rPr>
          <w:rFonts w:hint="eastAsia" w:ascii="宋体" w:hAnsi="宋体" w:eastAsia="宋体" w:cs="宋体"/>
        </w:rPr>
        <w:t>（2）投标方的施工时间要配合招标方的生产时间，不能影响车间的正常生产。招标方可以为投标方提供一定的场地用于存放安装前的零部件，但不承诺满足全部货物的存放需求。车间生产时间内，不得占用改造工位范围之外的空间。非生产时间，可以占用南北两侧通道。</w:t>
      </w:r>
    </w:p>
    <w:p>
      <w:pPr>
        <w:pStyle w:val="141"/>
        <w:ind w:left="480" w:firstLine="480"/>
        <w:rPr>
          <w:rFonts w:hint="eastAsia" w:ascii="宋体" w:hAnsi="宋体" w:eastAsia="宋体" w:cs="宋体"/>
        </w:rPr>
      </w:pPr>
      <w:r>
        <w:rPr>
          <w:rFonts w:hint="eastAsia" w:ascii="宋体" w:hAnsi="宋体" w:eastAsia="宋体" w:cs="宋体"/>
        </w:rPr>
        <w:t>（3）现场作业的全部人员，需全部经过安全培训，并持有相应的特种作业证书，方可上岗。</w:t>
      </w:r>
    </w:p>
    <w:p>
      <w:pPr>
        <w:pStyle w:val="141"/>
        <w:ind w:left="480" w:firstLine="480"/>
        <w:rPr>
          <w:rFonts w:hint="eastAsia" w:ascii="宋体" w:hAnsi="宋体" w:eastAsia="宋体" w:cs="宋体"/>
        </w:rPr>
      </w:pPr>
      <w:r>
        <w:rPr>
          <w:rFonts w:hint="eastAsia" w:ascii="宋体" w:hAnsi="宋体" w:eastAsia="宋体" w:cs="宋体"/>
        </w:rPr>
        <w:t>（4）当日施工结束后，需对施工现场进行清理，符合现场5S检查的要求。</w:t>
      </w:r>
    </w:p>
    <w:p>
      <w:pPr>
        <w:pStyle w:val="141"/>
        <w:ind w:left="480" w:firstLine="480"/>
        <w:rPr>
          <w:rFonts w:hint="eastAsia" w:ascii="宋体" w:hAnsi="宋体" w:eastAsia="宋体" w:cs="宋体"/>
        </w:rPr>
      </w:pPr>
      <w:r>
        <w:rPr>
          <w:rFonts w:hint="eastAsia" w:ascii="宋体" w:hAnsi="宋体" w:eastAsia="宋体" w:cs="宋体"/>
        </w:rPr>
        <w:t>（5）根据设备的要求，调试可分空载和负载两个阶段进行；招标方将予以积极配合，协助投标方达到设备的各项技术要求和性能。</w:t>
      </w:r>
    </w:p>
    <w:p>
      <w:pPr>
        <w:pStyle w:val="141"/>
        <w:ind w:left="480" w:firstLine="480"/>
        <w:rPr>
          <w:rFonts w:hint="eastAsia" w:ascii="宋体" w:hAnsi="宋体" w:eastAsia="宋体" w:cs="宋体"/>
        </w:rPr>
      </w:pPr>
      <w:r>
        <w:rPr>
          <w:rFonts w:hint="eastAsia" w:ascii="宋体" w:hAnsi="宋体" w:eastAsia="宋体" w:cs="宋体"/>
        </w:rPr>
        <w:t>（6）安装调试与验收期间，若投标方提供设备的技术质量等性能，与投标方外购的设备有较大或直接关联时，投标方应能得到其外购设备制造厂商（或供应商）的技术支持，并免费为招标方提供安装使用现场的指导与协调。</w:t>
      </w:r>
    </w:p>
    <w:p>
      <w:pPr>
        <w:pStyle w:val="141"/>
        <w:ind w:left="480" w:firstLine="480"/>
        <w:rPr>
          <w:rFonts w:hint="eastAsia" w:ascii="宋体" w:hAnsi="宋体" w:eastAsia="宋体" w:cs="宋体"/>
        </w:rPr>
      </w:pPr>
      <w:r>
        <w:rPr>
          <w:rFonts w:hint="eastAsia" w:ascii="宋体" w:hAnsi="宋体" w:eastAsia="宋体" w:cs="宋体"/>
        </w:rPr>
        <w:t>（7）投标方免费负责设备的安装、调试，并接受用户的技术咨询。</w:t>
      </w:r>
    </w:p>
    <w:p>
      <w:pPr>
        <w:pStyle w:val="141"/>
        <w:ind w:left="480" w:firstLine="480"/>
        <w:rPr>
          <w:rFonts w:hint="eastAsia" w:ascii="宋体" w:hAnsi="宋体" w:eastAsia="宋体" w:cs="宋体"/>
        </w:rPr>
      </w:pPr>
      <w:r>
        <w:rPr>
          <w:rFonts w:hint="eastAsia" w:ascii="宋体" w:hAnsi="宋体" w:eastAsia="宋体" w:cs="宋体"/>
          <w:color w:val="000000"/>
        </w:rPr>
        <w:t>（8）投标方在招标方现场进行的货物的安装、调试和试运行，招标方有权参与，投标方应无条件向招标方提供现场记录和试运行数据及报告。</w:t>
      </w:r>
    </w:p>
    <w:p>
      <w:pPr>
        <w:pStyle w:val="141"/>
        <w:ind w:left="480" w:firstLine="480"/>
        <w:rPr>
          <w:rFonts w:hint="eastAsia" w:ascii="宋体" w:hAnsi="宋体" w:eastAsia="宋体" w:cs="宋体"/>
        </w:rPr>
      </w:pPr>
      <w:r>
        <w:rPr>
          <w:rFonts w:hint="eastAsia" w:ascii="宋体" w:hAnsi="宋体" w:eastAsia="宋体" w:cs="宋体"/>
          <w:color w:val="000000"/>
        </w:rPr>
        <w:t>（9）投标方应当向招标方提供货物试验、验收的有关标准、规范和方法，同时提供货物涉及并使用的软件合法性证明。</w:t>
      </w:r>
    </w:p>
    <w:bookmarkEnd w:id="34"/>
    <w:p>
      <w:pPr>
        <w:pStyle w:val="2"/>
        <w:jc w:val="center"/>
        <w:rPr>
          <w:rFonts w:hint="eastAsia" w:ascii="宋体" w:hAnsi="宋体" w:eastAsia="宋体" w:cs="宋体"/>
          <w:sz w:val="24"/>
          <w:szCs w:val="24"/>
        </w:rPr>
      </w:pPr>
      <w:bookmarkStart w:id="60" w:name="_Toc178067750"/>
      <w:r>
        <w:rPr>
          <w:rFonts w:hint="eastAsia" w:ascii="宋体" w:hAnsi="宋体" w:eastAsia="宋体" w:cs="宋体"/>
        </w:rPr>
        <w:t>九、质保期及售后服务</w:t>
      </w:r>
      <w:bookmarkEnd w:id="60"/>
      <w:bookmarkStart w:id="61" w:name="_Hlk171324270"/>
    </w:p>
    <w:p>
      <w:pPr>
        <w:spacing w:line="360" w:lineRule="auto"/>
        <w:outlineLvl w:val="3"/>
        <w:rPr>
          <w:rFonts w:hint="eastAsia" w:ascii="宋体" w:hAnsi="宋体" w:eastAsia="宋体" w:cs="宋体"/>
          <w:b/>
          <w:bCs/>
          <w:sz w:val="24"/>
          <w:szCs w:val="24"/>
        </w:rPr>
      </w:pPr>
      <w:r>
        <w:rPr>
          <w:rFonts w:hint="eastAsia" w:ascii="宋体" w:hAnsi="宋体" w:eastAsia="宋体" w:cs="宋体"/>
          <w:b/>
          <w:bCs/>
          <w:sz w:val="24"/>
          <w:szCs w:val="24"/>
        </w:rPr>
        <w:t>1.质保期及质保要求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交付货物或涉及的关键总成和零件，如果有更长时间质保期，允许更改并说明，此将有利于投标方。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（3）质保期内免费提供零部件和及时有效的服务。质保期内因货物本身缺陷造成的各种故障，投标方应负责免费维修和服务。给招标方造成的直接经济损失由投标方承担。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2.售后服务</w:t>
      </w:r>
    </w:p>
    <w:p>
      <w:pPr>
        <w:numPr>
          <w:ilvl w:val="0"/>
          <w:numId w:val="24"/>
        </w:numPr>
        <w:spacing w:line="360" w:lineRule="auto"/>
        <w:ind w:firstLine="480"/>
        <w:rPr>
          <w:rFonts w:hint="eastAsia" w:ascii="宋体" w:hAnsi="宋体" w:eastAsia="宋体" w:cs="宋体"/>
          <w:sz w:val="24"/>
          <w:szCs w:val="24"/>
        </w:rPr>
      </w:pPr>
      <w:bookmarkStart w:id="62" w:name="_Hlk171355562"/>
      <w:r>
        <w:rPr>
          <w:rFonts w:hint="eastAsia" w:ascii="宋体" w:hAnsi="宋体" w:eastAsia="宋体" w:cs="宋体"/>
          <w:sz w:val="24"/>
          <w:szCs w:val="24"/>
        </w:rPr>
        <w:t>在质保期之内，如发现投标方所提供的设备（或材料）存在问题，投标方须在接到通知后12小时内派有关人员到达现场，解决问题；</w:t>
      </w:r>
    </w:p>
    <w:p>
      <w:pPr>
        <w:numPr>
          <w:ilvl w:val="0"/>
          <w:numId w:val="24"/>
        </w:numPr>
        <w:spacing w:line="360" w:lineRule="auto"/>
        <w:ind w:firstLine="480"/>
        <w:jc w:val="left"/>
        <w:rPr>
          <w:rFonts w:hint="eastAsia" w:ascii="宋体" w:hAnsi="宋体" w:eastAsia="宋体" w:cs="宋体"/>
          <w:sz w:val="24"/>
          <w:szCs w:val="24"/>
        </w:rPr>
      </w:pPr>
      <w:r>
        <w:rPr>
          <w:rFonts w:hint="eastAsia" w:ascii="宋体" w:hAnsi="宋体" w:eastAsia="宋体" w:cs="宋体"/>
          <w:sz w:val="24"/>
          <w:szCs w:val="24"/>
        </w:rPr>
        <w:t>在质保期之后，如发现投标方所提供的设备（或材料）存在问题，需要投标方配合解决时，投标方须在接到通知后24小时内派有关人员到达现场，协助招标方解决问题；</w:t>
      </w:r>
    </w:p>
    <w:p>
      <w:pPr>
        <w:numPr>
          <w:ilvl w:val="0"/>
          <w:numId w:val="24"/>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所有的售后服务均由投标方受理。如果发生问题并且收到报告，应当在2小时内予以答复；</w:t>
      </w:r>
    </w:p>
    <w:p>
      <w:pPr>
        <w:numPr>
          <w:ilvl w:val="0"/>
          <w:numId w:val="24"/>
        </w:num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招标方将设备接入信息化，实现智能制造，投标方需要无条件的提供帮助与服务，包括但不限于提供设备最新程序，以及为实现某种自动化功能而需对设备程序进行的调整等。</w:t>
      </w:r>
      <w:bookmarkEnd w:id="62"/>
    </w:p>
    <w:bookmarkEnd w:id="61"/>
    <w:p>
      <w:pPr>
        <w:pStyle w:val="2"/>
        <w:jc w:val="center"/>
        <w:rPr>
          <w:rFonts w:hint="eastAsia" w:ascii="宋体" w:hAnsi="宋体" w:eastAsia="宋体" w:cs="宋体"/>
        </w:rPr>
      </w:pPr>
      <w:bookmarkStart w:id="63" w:name="_Toc465187646"/>
      <w:bookmarkStart w:id="64" w:name="_Toc178067751"/>
      <w:r>
        <w:rPr>
          <w:rFonts w:hint="eastAsia" w:ascii="宋体" w:hAnsi="宋体" w:eastAsia="宋体" w:cs="宋体"/>
        </w:rPr>
        <w:t>十、验收</w:t>
      </w:r>
      <w:bookmarkEnd w:id="63"/>
      <w:bookmarkEnd w:id="64"/>
    </w:p>
    <w:p>
      <w:pPr>
        <w:spacing w:line="360" w:lineRule="auto"/>
        <w:outlineLvl w:val="3"/>
        <w:rPr>
          <w:rFonts w:hint="eastAsia" w:ascii="宋体" w:hAnsi="宋体" w:eastAsia="宋体" w:cs="宋体"/>
          <w:b/>
          <w:bCs/>
          <w:sz w:val="24"/>
          <w:szCs w:val="24"/>
        </w:rPr>
      </w:pPr>
      <w:r>
        <w:rPr>
          <w:rFonts w:hint="eastAsia" w:ascii="宋体" w:hAnsi="宋体" w:eastAsia="宋体" w:cs="宋体"/>
          <w:b/>
          <w:bCs/>
          <w:sz w:val="24"/>
          <w:szCs w:val="24"/>
        </w:rPr>
        <w:t>1.验收依据和验收标准</w:t>
      </w:r>
    </w:p>
    <w:p>
      <w:pPr>
        <w:spacing w:line="360" w:lineRule="auto"/>
        <w:outlineLvl w:val="3"/>
        <w:rPr>
          <w:rFonts w:hint="eastAsia" w:ascii="宋体" w:hAnsi="宋体" w:eastAsia="宋体" w:cs="宋体"/>
          <w:b/>
          <w:bCs/>
          <w:sz w:val="24"/>
          <w:szCs w:val="24"/>
        </w:rPr>
      </w:pPr>
      <w:r>
        <w:rPr>
          <w:rFonts w:hint="eastAsia" w:ascii="宋体" w:hAnsi="宋体" w:eastAsia="宋体" w:cs="宋体"/>
          <w:b/>
          <w:bCs/>
          <w:sz w:val="24"/>
          <w:szCs w:val="24"/>
        </w:rPr>
        <w:t xml:space="preserve">  </w:t>
      </w:r>
      <w:r>
        <w:rPr>
          <w:rFonts w:hint="eastAsia" w:ascii="宋体" w:hAnsi="宋体" w:eastAsia="宋体" w:cs="宋体"/>
          <w:sz w:val="24"/>
          <w:szCs w:val="24"/>
        </w:rPr>
        <w:t xml:space="preserve">  （1）国家及地方政府或行业有关的法律、法规、标准。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（2）验收标准以技术标书和合同规定验收。无论技术标书和合同，是否全部并准确列明验收所涉及的相关标准，均作为验收标准之一。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（3）如果验收过程中，发现招标文件、投标文件、答疑文件、技术协议等存在差异时，效力顺序为：法律法规标准优先，其次是技术协议及会签文件，最后是招、投标文件和答疑文件。</w:t>
      </w:r>
    </w:p>
    <w:p>
      <w:pPr>
        <w:spacing w:line="360" w:lineRule="auto"/>
        <w:outlineLvl w:val="3"/>
        <w:rPr>
          <w:rFonts w:hint="eastAsia" w:ascii="宋体" w:hAnsi="宋体" w:eastAsia="宋体" w:cs="宋体"/>
          <w:b/>
          <w:bCs/>
          <w:sz w:val="24"/>
          <w:szCs w:val="24"/>
        </w:rPr>
      </w:pPr>
      <w:r>
        <w:rPr>
          <w:rFonts w:hint="eastAsia" w:ascii="宋体" w:hAnsi="宋体" w:eastAsia="宋体" w:cs="宋体"/>
          <w:b/>
          <w:bCs/>
          <w:sz w:val="24"/>
          <w:szCs w:val="24"/>
        </w:rPr>
        <w:t>2.检验</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如果采购货物涉及必要的或必需的检验，投标方负责检验费用，基本约定如下：</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2.进口货物的检验，投标方需要按照下述要求进行：</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应依据合同规定的要求，提供买卖双方达成一致的货物的验收标准和装箱单，作为招标方检验的依据。</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pPr>
        <w:spacing w:line="360" w:lineRule="auto"/>
        <w:outlineLvl w:val="3"/>
        <w:rPr>
          <w:rFonts w:hint="eastAsia" w:ascii="宋体" w:hAnsi="宋体" w:eastAsia="宋体" w:cs="宋体"/>
          <w:b/>
          <w:bCs/>
          <w:sz w:val="24"/>
          <w:szCs w:val="24"/>
        </w:rPr>
      </w:pPr>
      <w:r>
        <w:rPr>
          <w:rFonts w:hint="eastAsia" w:ascii="宋体" w:hAnsi="宋体" w:eastAsia="宋体" w:cs="宋体"/>
          <w:b/>
          <w:bCs/>
          <w:sz w:val="24"/>
          <w:szCs w:val="24"/>
        </w:rPr>
        <w:t>3.验收</w:t>
      </w:r>
    </w:p>
    <w:p>
      <w:pPr>
        <w:pStyle w:val="141"/>
        <w:ind w:firstLine="480"/>
        <w:rPr>
          <w:rFonts w:hint="eastAsia" w:ascii="宋体" w:hAnsi="宋体" w:eastAsia="宋体" w:cs="宋体"/>
        </w:rPr>
      </w:pPr>
      <w:r>
        <w:rPr>
          <w:rFonts w:hint="eastAsia" w:ascii="宋体" w:hAnsi="宋体" w:eastAsia="宋体" w:cs="宋体"/>
        </w:rPr>
        <w:t>3.1验收分预验收和终验收两部分。预验收在投标方进行，终验收在安装调试完成后进行。但是所有的项目，包括不能预验收的项目和预验收通过的项目，都在终验收时重新检验，以终验收为准。</w:t>
      </w:r>
    </w:p>
    <w:p>
      <w:pPr>
        <w:pStyle w:val="141"/>
        <w:ind w:firstLine="480"/>
        <w:rPr>
          <w:rFonts w:hint="eastAsia" w:ascii="宋体" w:hAnsi="宋体" w:eastAsia="宋体" w:cs="宋体"/>
          <w:color w:val="000000"/>
        </w:rPr>
      </w:pPr>
      <w:r>
        <w:rPr>
          <w:rFonts w:hint="eastAsia" w:ascii="宋体" w:hAnsi="宋体" w:eastAsia="宋体" w:cs="宋体"/>
          <w:color w:val="000000"/>
        </w:rPr>
        <w:t>3.2买卖双方按照合同约定执行了合同，同时货物完成了试运行并经检验合格，则具备了终验收条件。</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（1）外观检查及供货清单确认：投标方提供的设备内容及数量应满足合同和技术协议的要求，文档资料应满足技术协议的要求；设备应是全新的、完好的、无破损、无裂纹等。</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（2）设备运行时，货物应连续运行30天，每天连续10小时或单次连续运24小时。</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（3）累计负载运行实际性能（或生产率）达到合同规定。</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3.3</w:t>
      </w:r>
      <w:r>
        <w:rPr>
          <w:rFonts w:hint="eastAsia" w:ascii="宋体" w:hAnsi="宋体" w:eastAsia="宋体" w:cs="宋体"/>
          <w:sz w:val="24"/>
          <w:szCs w:val="24"/>
        </w:rPr>
        <w:t>验收标准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资料齐全性、完整性和有效性：包含工艺布置图、设备安装图、电控图、PLC控制程序、触摸屏控制程序、变频器调整参数所用产品全部提供产品合格证、进口产品出具报关单、设备主要配置清单、说明书等4份纸质文件，电子档文件3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（2）设备应运行灵活、稳定、可靠、安全，无异常声音和非正常振动。设备不允许出现漏液、漏气（汽）；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（3）设备外观应无损伤，应该涂满同种明亮清晰的油漆（特殊标志除外）。设备应该完整且所有的零部件应该安装牢固，所有的焊缝饱满、无残渣等缺陷；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所有的管道和电缆线等，应排列有序（正确、牢固、整齐）无皱褶、收缩和裂缝，电缆线在整个长度范围内，所有的接头应完全正确地连接、所有线体控制柜内接线使用接线端子并带有线号，线号与图纸对应一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（5）设备应有完整的标牌，且清晰易见；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（6）设备的润滑系统工作可靠，润滑点易于到达，运行可靠、稳定，操作方便；</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（7）设备的安全要求符合中国最新的相关法律、法规、标准和规范以及合同要求；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（8）地线连接和地极符合国际（ISO/IEC）标准规范；</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（9）计量仪器、仪表配套合理，采用中国的法定计量单位，计量准确、灵敏可靠。计量仪器、仪表出具计量检验报告、产品合格证等。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（10）设备质量、技术性能等，按照签定的技术协议书和合同规定的终验收标准验收；</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（11）备品备件的数量、规格等，按照技术协议和合同规定的标准。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（12）在投标方所提供设备需要得到招标方建设项目所在地政府或行业主管部门的查验、试验、验收时，投标方应当免费协助招标方完成所需要的工作、材料和服务等。</w:t>
      </w:r>
    </w:p>
    <w:p>
      <w:pPr>
        <w:adjustRightInd w:val="0"/>
        <w:snapToGrid w:val="0"/>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3.4出现下列问题之一，视作验收失败：</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（1）在整个验收过程中发生关键零部件损坏或重大故障；</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（2）一般性故障超过2次；</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（3）所有出现的维修调整，每次时间均超过10分钟；所有维修调整时间的总和超过总运行时间的5%；</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（4）更换的零部件货值超过总货值的1%。</w:t>
      </w:r>
    </w:p>
    <w:p>
      <w:pPr>
        <w:jc w:val="both"/>
        <w:rPr>
          <w:rFonts w:hint="eastAsia" w:ascii="宋体" w:hAnsi="宋体" w:eastAsia="宋体" w:cs="宋体"/>
          <w:color w:val="000000"/>
          <w:sz w:val="28"/>
          <w:szCs w:val="28"/>
          <w:lang w:val="en-US" w:eastAsia="zh-CN"/>
        </w:rPr>
        <w:sectPr>
          <w:headerReference r:id="rId9" w:type="default"/>
          <w:footerReference r:id="rId10" w:type="default"/>
          <w:pgSz w:w="11907" w:h="16840"/>
          <w:pgMar w:top="1304" w:right="1418" w:bottom="1304" w:left="1418" w:header="724" w:footer="851" w:gutter="0"/>
          <w:cols w:space="720" w:num="1"/>
          <w:docGrid w:linePitch="290" w:charSpace="-3931"/>
        </w:sectPr>
      </w:pPr>
    </w:p>
    <w:p>
      <w:pPr>
        <w:spacing w:line="276" w:lineRule="auto"/>
        <w:rPr>
          <w:rFonts w:ascii="Calibri" w:hAnsi="宋体" w:eastAsia="宋体" w:cs="Times New Roman"/>
          <w:b/>
          <w:bCs/>
          <w:color w:val="000000"/>
          <w:spacing w:val="-8"/>
          <w:sz w:val="48"/>
          <w:szCs w:val="44"/>
        </w:rPr>
      </w:pPr>
    </w:p>
    <w:p>
      <w:pPr>
        <w:spacing w:line="360" w:lineRule="auto"/>
        <w:jc w:val="center"/>
        <w:outlineLvl w:val="0"/>
        <w:rPr>
          <w:rFonts w:ascii="宋体" w:hAnsi="Calibri" w:eastAsia="宋体" w:cs="Times New Roman"/>
          <w:b/>
          <w:sz w:val="36"/>
          <w:szCs w:val="36"/>
        </w:rPr>
      </w:pPr>
      <w:bookmarkStart w:id="65"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65"/>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20"/>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2"/>
        </w:rPr>
        <w:sectPr>
          <w:headerReference r:id="rId11" w:type="default"/>
          <w:footerReference r:id="rId12" w:type="default"/>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bookmarkStart w:id="66"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67" w:name="_Toc17619"/>
      <w:bookmarkStart w:id="68" w:name="_Toc16330018"/>
      <w:bookmarkStart w:id="69" w:name="_Toc11823"/>
      <w:bookmarkStart w:id="70" w:name="_Toc11930"/>
      <w:r>
        <w:rPr>
          <w:rFonts w:hint="eastAsia" w:ascii="黑体" w:hAnsi="黑体" w:eastAsia="黑体" w:cstheme="minorEastAsia"/>
          <w:b w:val="0"/>
          <w:sz w:val="28"/>
          <w:szCs w:val="28"/>
        </w:rPr>
        <w:t>1 合同设备</w:t>
      </w:r>
      <w:bookmarkEnd w:id="67"/>
      <w:bookmarkEnd w:id="68"/>
      <w:bookmarkEnd w:id="69"/>
      <w:bookmarkEnd w:id="7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71" w:name="_Toc29026"/>
      <w:bookmarkStart w:id="72" w:name="_Toc22800"/>
      <w:bookmarkStart w:id="73" w:name="_Toc3251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74" w:name="_Toc16330019"/>
      <w:r>
        <w:rPr>
          <w:rFonts w:hint="eastAsia" w:ascii="黑体" w:hAnsi="黑体" w:eastAsia="黑体" w:cstheme="minorEastAsia"/>
          <w:b w:val="0"/>
          <w:sz w:val="28"/>
          <w:szCs w:val="28"/>
        </w:rPr>
        <w:t>2 包装</w:t>
      </w:r>
      <w:bookmarkEnd w:id="71"/>
      <w:bookmarkEnd w:id="72"/>
      <w:bookmarkEnd w:id="73"/>
      <w:bookmarkEnd w:id="7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75" w:name="_Toc16330020"/>
      <w:bookmarkStart w:id="76" w:name="_Toc27144"/>
      <w:bookmarkStart w:id="77" w:name="_Toc2833"/>
      <w:bookmarkStart w:id="78" w:name="_Toc27453"/>
      <w:r>
        <w:rPr>
          <w:rFonts w:hint="eastAsia" w:ascii="黑体" w:hAnsi="黑体" w:eastAsia="黑体" w:cstheme="minorEastAsia"/>
          <w:b w:val="0"/>
          <w:sz w:val="28"/>
          <w:szCs w:val="28"/>
        </w:rPr>
        <w:t>3 运输标记</w:t>
      </w:r>
      <w:bookmarkEnd w:id="75"/>
      <w:bookmarkEnd w:id="76"/>
      <w:bookmarkEnd w:id="77"/>
      <w:bookmarkEnd w:id="7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79" w:name="_Toc7431"/>
      <w:bookmarkStart w:id="80" w:name="_Toc16330021"/>
      <w:bookmarkStart w:id="81" w:name="_Toc16133"/>
      <w:bookmarkStart w:id="82" w:name="_Toc10630"/>
      <w:r>
        <w:rPr>
          <w:rFonts w:hint="eastAsia" w:ascii="黑体" w:hAnsi="黑体" w:eastAsia="黑体" w:cstheme="minorEastAsia"/>
          <w:b w:val="0"/>
          <w:sz w:val="28"/>
          <w:szCs w:val="28"/>
        </w:rPr>
        <w:t>4 检验</w:t>
      </w:r>
      <w:bookmarkEnd w:id="79"/>
      <w:bookmarkEnd w:id="80"/>
      <w:bookmarkEnd w:id="81"/>
      <w:bookmarkEnd w:id="8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83" w:name="_Toc19850"/>
      <w:bookmarkStart w:id="84" w:name="_Toc16330022"/>
      <w:bookmarkStart w:id="85" w:name="_Toc11217"/>
      <w:bookmarkStart w:id="86" w:name="_Toc24467"/>
      <w:r>
        <w:rPr>
          <w:rFonts w:hint="eastAsia" w:ascii="黑体" w:hAnsi="黑体" w:eastAsia="黑体" w:cstheme="minorEastAsia"/>
          <w:b w:val="0"/>
          <w:sz w:val="28"/>
          <w:szCs w:val="28"/>
        </w:rPr>
        <w:t>5 权利担保</w:t>
      </w:r>
      <w:bookmarkEnd w:id="83"/>
      <w:bookmarkEnd w:id="84"/>
      <w:bookmarkEnd w:id="85"/>
      <w:bookmarkEnd w:id="8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87" w:name="_Toc14809"/>
      <w:bookmarkStart w:id="88" w:name="_Toc27500"/>
      <w:bookmarkStart w:id="89" w:name="_Toc11759"/>
      <w:bookmarkStart w:id="90" w:name="_Toc16330023"/>
      <w:r>
        <w:rPr>
          <w:rFonts w:hint="eastAsia" w:ascii="黑体" w:hAnsi="黑体" w:eastAsia="黑体" w:cstheme="minorEastAsia"/>
          <w:b w:val="0"/>
          <w:sz w:val="28"/>
          <w:szCs w:val="28"/>
        </w:rPr>
        <w:t>6 交货</w:t>
      </w:r>
      <w:bookmarkEnd w:id="87"/>
      <w:bookmarkEnd w:id="88"/>
      <w:bookmarkEnd w:id="89"/>
      <w:bookmarkEnd w:id="9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91" w:name="_Toc2984"/>
      <w:bookmarkStart w:id="92" w:name="_Toc25510"/>
      <w:bookmarkStart w:id="93" w:name="_Toc16330024"/>
      <w:bookmarkStart w:id="94" w:name="_Toc8024"/>
      <w:r>
        <w:rPr>
          <w:rFonts w:hint="eastAsia" w:ascii="黑体" w:hAnsi="黑体" w:eastAsia="黑体" w:cstheme="minorEastAsia"/>
          <w:b w:val="0"/>
          <w:sz w:val="28"/>
          <w:szCs w:val="28"/>
        </w:rPr>
        <w:t>7 安装、调试</w:t>
      </w:r>
      <w:bookmarkEnd w:id="91"/>
      <w:bookmarkEnd w:id="92"/>
      <w:bookmarkEnd w:id="93"/>
      <w:bookmarkEnd w:id="94"/>
    </w:p>
    <w:p>
      <w:pPr>
        <w:pStyle w:val="13"/>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95" w:name="_Toc14260"/>
      <w:bookmarkStart w:id="96" w:name="_Toc6350"/>
      <w:bookmarkStart w:id="97" w:name="_Toc14098"/>
      <w:bookmarkStart w:id="98" w:name="_Toc16330025"/>
      <w:r>
        <w:rPr>
          <w:rFonts w:hint="eastAsia" w:ascii="黑体" w:hAnsi="黑体" w:eastAsia="黑体" w:cstheme="minorEastAsia"/>
          <w:b w:val="0"/>
          <w:sz w:val="28"/>
          <w:szCs w:val="28"/>
        </w:rPr>
        <w:t>8 价款与支付</w:t>
      </w:r>
      <w:bookmarkEnd w:id="95"/>
      <w:bookmarkEnd w:id="96"/>
      <w:bookmarkEnd w:id="97"/>
      <w:bookmarkEnd w:id="9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99" w:name="_Toc14676804"/>
      <w:bookmarkStart w:id="100" w:name="_Toc14531628"/>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99"/>
      <w:bookmarkEnd w:id="100"/>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01" w:name="_Toc6726"/>
      <w:bookmarkStart w:id="102" w:name="_Toc24085"/>
      <w:bookmarkStart w:id="103" w:name="_Toc16330026"/>
      <w:bookmarkStart w:id="104" w:name="_Toc25708"/>
      <w:r>
        <w:rPr>
          <w:rFonts w:hint="eastAsia" w:ascii="黑体" w:hAnsi="黑体" w:eastAsia="黑体" w:cstheme="minorEastAsia"/>
          <w:b w:val="0"/>
          <w:sz w:val="28"/>
          <w:szCs w:val="28"/>
        </w:rPr>
        <w:t>9 质量保证及售后服务</w:t>
      </w:r>
      <w:bookmarkEnd w:id="101"/>
      <w:bookmarkEnd w:id="102"/>
      <w:bookmarkEnd w:id="103"/>
      <w:bookmarkEnd w:id="10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05" w:name="_Toc15570"/>
      <w:bookmarkStart w:id="106" w:name="_Toc16330027"/>
      <w:bookmarkStart w:id="107" w:name="_Toc12927"/>
      <w:bookmarkStart w:id="108" w:name="_Toc10359"/>
      <w:r>
        <w:rPr>
          <w:rFonts w:hint="eastAsia" w:ascii="黑体" w:hAnsi="黑体" w:eastAsia="黑体" w:cstheme="minorEastAsia"/>
          <w:b w:val="0"/>
          <w:sz w:val="28"/>
          <w:szCs w:val="28"/>
        </w:rPr>
        <w:t>10法定责任</w:t>
      </w:r>
      <w:bookmarkEnd w:id="105"/>
      <w:bookmarkEnd w:id="106"/>
      <w:bookmarkEnd w:id="107"/>
      <w:bookmarkEnd w:id="10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09" w:name="_Toc9708"/>
      <w:bookmarkStart w:id="110" w:name="_Toc16330028"/>
      <w:bookmarkStart w:id="111" w:name="_Toc30381"/>
      <w:bookmarkStart w:id="112" w:name="_Toc27314"/>
      <w:r>
        <w:rPr>
          <w:rFonts w:hint="eastAsia" w:ascii="黑体" w:hAnsi="黑体" w:eastAsia="黑体" w:cstheme="minorEastAsia"/>
          <w:b w:val="0"/>
          <w:sz w:val="28"/>
          <w:szCs w:val="28"/>
        </w:rPr>
        <w:t>11 违约责任</w:t>
      </w:r>
      <w:bookmarkEnd w:id="109"/>
      <w:bookmarkEnd w:id="110"/>
      <w:bookmarkEnd w:id="111"/>
      <w:bookmarkEnd w:id="112"/>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13" w:name="_Toc16330029"/>
      <w:bookmarkStart w:id="114" w:name="_Toc9172"/>
      <w:bookmarkStart w:id="115" w:name="_Toc31554"/>
      <w:bookmarkStart w:id="116" w:name="_Toc1827"/>
      <w:r>
        <w:rPr>
          <w:rFonts w:hint="eastAsia" w:ascii="黑体" w:hAnsi="黑体" w:eastAsia="黑体" w:cstheme="minorEastAsia"/>
          <w:b w:val="0"/>
          <w:sz w:val="28"/>
          <w:szCs w:val="28"/>
        </w:rPr>
        <w:t>12 合同的终止与解除</w:t>
      </w:r>
      <w:bookmarkEnd w:id="113"/>
      <w:bookmarkEnd w:id="114"/>
      <w:bookmarkEnd w:id="115"/>
      <w:bookmarkEnd w:id="11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17" w:name="_Toc31945"/>
      <w:bookmarkStart w:id="118" w:name="_Toc8620"/>
      <w:bookmarkStart w:id="119" w:name="_Toc13671"/>
      <w:bookmarkStart w:id="120" w:name="_Toc16330030"/>
      <w:r>
        <w:rPr>
          <w:rFonts w:hint="eastAsia" w:ascii="黑体" w:hAnsi="黑体" w:eastAsia="黑体" w:cstheme="minorEastAsia"/>
          <w:b w:val="0"/>
          <w:sz w:val="28"/>
          <w:szCs w:val="28"/>
        </w:rPr>
        <w:t>13 不可抗力</w:t>
      </w:r>
      <w:bookmarkEnd w:id="117"/>
      <w:bookmarkEnd w:id="118"/>
      <w:bookmarkEnd w:id="119"/>
      <w:bookmarkEnd w:id="12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21" w:name="_Toc16330031"/>
      <w:bookmarkStart w:id="122" w:name="_Toc637"/>
      <w:bookmarkStart w:id="123" w:name="_Toc30389"/>
      <w:bookmarkStart w:id="124" w:name="_Toc31243"/>
      <w:r>
        <w:rPr>
          <w:rFonts w:hint="eastAsia" w:ascii="黑体" w:hAnsi="黑体" w:eastAsia="黑体" w:cstheme="minorEastAsia"/>
          <w:b w:val="0"/>
          <w:sz w:val="28"/>
          <w:szCs w:val="28"/>
        </w:rPr>
        <w:t>14 通讯</w:t>
      </w:r>
      <w:bookmarkEnd w:id="121"/>
      <w:bookmarkEnd w:id="122"/>
      <w:bookmarkEnd w:id="123"/>
      <w:bookmarkEnd w:id="12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3"/>
        <w:tabs>
          <w:tab w:val="right" w:leader="dot" w:pos="9061"/>
        </w:tabs>
        <w:spacing w:before="312" w:beforeLines="100"/>
        <w:rPr>
          <w:rFonts w:ascii="黑体" w:hAnsi="黑体" w:eastAsia="黑体" w:cstheme="minorEastAsia"/>
          <w:b w:val="0"/>
          <w:sz w:val="28"/>
          <w:szCs w:val="28"/>
        </w:rPr>
      </w:pPr>
      <w:bookmarkStart w:id="125" w:name="_Toc9915"/>
      <w:bookmarkStart w:id="126" w:name="_Toc12984"/>
      <w:bookmarkStart w:id="127" w:name="_Toc16330032"/>
      <w:bookmarkStart w:id="128" w:name="_Toc11290"/>
      <w:r>
        <w:rPr>
          <w:rFonts w:hint="eastAsia" w:ascii="黑体" w:hAnsi="黑体" w:eastAsia="黑体" w:cstheme="minorEastAsia"/>
          <w:b w:val="0"/>
          <w:sz w:val="28"/>
          <w:szCs w:val="28"/>
        </w:rPr>
        <w:t>15 适用法律及争议解决</w:t>
      </w:r>
      <w:bookmarkEnd w:id="125"/>
      <w:bookmarkEnd w:id="126"/>
      <w:bookmarkEnd w:id="127"/>
      <w:bookmarkEnd w:id="12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29" w:name="_Toc18207"/>
      <w:bookmarkStart w:id="130" w:name="_Toc16330033"/>
      <w:bookmarkStart w:id="131" w:name="_Toc23906"/>
      <w:bookmarkStart w:id="132" w:name="_Toc23765"/>
      <w:r>
        <w:rPr>
          <w:rFonts w:hint="eastAsia" w:ascii="黑体" w:hAnsi="黑体" w:eastAsia="黑体" w:cstheme="minorEastAsia"/>
          <w:b w:val="0"/>
          <w:sz w:val="28"/>
          <w:szCs w:val="28"/>
        </w:rPr>
        <w:t>16 附件</w:t>
      </w:r>
      <w:bookmarkEnd w:id="129"/>
      <w:bookmarkEnd w:id="130"/>
      <w:bookmarkEnd w:id="131"/>
      <w:bookmarkEnd w:id="13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33" w:name="_Toc31331"/>
      <w:bookmarkStart w:id="134" w:name="_Toc16330034"/>
      <w:bookmarkStart w:id="135" w:name="_Toc17656"/>
      <w:bookmarkStart w:id="136" w:name="_Toc27202"/>
      <w:r>
        <w:rPr>
          <w:rFonts w:hint="eastAsia" w:ascii="黑体" w:hAnsi="黑体" w:eastAsia="黑体" w:cstheme="minorEastAsia"/>
          <w:b w:val="0"/>
          <w:sz w:val="28"/>
          <w:szCs w:val="28"/>
        </w:rPr>
        <w:t>17 其他规定</w:t>
      </w:r>
      <w:bookmarkEnd w:id="133"/>
      <w:bookmarkEnd w:id="134"/>
      <w:bookmarkEnd w:id="135"/>
      <w:bookmarkEnd w:id="13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37" w:name="_Toc16330035"/>
      <w:bookmarkStart w:id="138" w:name="_Toc17952"/>
      <w:bookmarkStart w:id="139" w:name="_Toc19077"/>
      <w:bookmarkStart w:id="140"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3"/>
        <w:tabs>
          <w:tab w:val="right" w:leader="dot" w:pos="9061"/>
        </w:tabs>
        <w:spacing w:before="312"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37"/>
      <w:bookmarkEnd w:id="138"/>
      <w:bookmarkEnd w:id="139"/>
      <w:bookmarkEnd w:id="14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3"/>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0"/>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30"/>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黑体" w:hAnsi="黑体" w:eastAsia="黑体" w:cstheme="minorEastAsia"/>
          <w:bCs/>
          <w:i/>
          <w:sz w:val="28"/>
          <w:szCs w:val="28"/>
        </w:rPr>
      </w:pPr>
      <w:bookmarkStart w:id="141" w:name="_Toc16330037"/>
      <w:bookmarkStart w:id="142" w:name="_Toc3778"/>
      <w:bookmarkStart w:id="143" w:name="_Toc25120"/>
      <w:bookmarkStart w:id="144" w:name="_Toc5379"/>
      <w:bookmarkStart w:id="145" w:name="_Toc24623"/>
      <w:r>
        <w:rPr>
          <w:rFonts w:hint="eastAsia" w:ascii="黑体" w:hAnsi="黑体" w:eastAsia="黑体" w:cstheme="minorEastAsia"/>
          <w:sz w:val="28"/>
          <w:szCs w:val="28"/>
        </w:rPr>
        <w:t xml:space="preserve">附件二 </w:t>
      </w:r>
      <w:bookmarkEnd w:id="141"/>
      <w:bookmarkEnd w:id="142"/>
      <w:bookmarkEnd w:id="143"/>
      <w:bookmarkEnd w:id="144"/>
      <w:bookmarkEnd w:id="145"/>
      <w:r>
        <w:rPr>
          <w:rFonts w:hint="eastAsia" w:ascii="黑体" w:hAnsi="黑体" w:eastAsia="黑体" w:cstheme="minorEastAsia"/>
          <w:sz w:val="28"/>
          <w:szCs w:val="28"/>
        </w:rPr>
        <w:t>技术协议书</w:t>
      </w:r>
    </w:p>
    <w:p>
      <w:pPr>
        <w:ind w:right="360"/>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r>
        <w:rPr>
          <w:rFonts w:hint="eastAsia" w:asciiTheme="minorEastAsia" w:hAnsiTheme="minorEastAsia" w:cstheme="minorEastAsia"/>
          <w:sz w:val="20"/>
          <w:szCs w:val="20"/>
        </w:rPr>
        <w:t xml:space="preserve">                                      </w:t>
      </w:r>
    </w:p>
    <w:p>
      <w:pPr>
        <w:jc w:val="right"/>
        <w:rPr>
          <w:rFonts w:asciiTheme="minorEastAsia" w:hAnsiTheme="minorEastAsia" w:cstheme="minorEastAsia"/>
          <w:sz w:val="20"/>
          <w:szCs w:val="20"/>
        </w:rPr>
      </w:pPr>
    </w:p>
    <w:p>
      <w:pPr>
        <w:wordWrap w:val="0"/>
        <w:ind w:right="480"/>
        <w:rPr>
          <w:rFonts w:asciiTheme="minorEastAsia" w:hAnsiTheme="minorEastAsia" w:cstheme="minorEastAsia"/>
          <w:sz w:val="20"/>
          <w:szCs w:val="20"/>
        </w:rPr>
      </w:pPr>
    </w:p>
    <w:p>
      <w:pPr>
        <w:jc w:val="right"/>
        <w:rPr>
          <w:rFonts w:ascii="楷体_GB2312" w:hAnsi="宋体" w:eastAsia="楷体_GB2312"/>
          <w:sz w:val="24"/>
        </w:rPr>
      </w:pPr>
      <w:bookmarkStart w:id="146" w:name="_Toc14341849"/>
    </w:p>
    <w:p>
      <w:pPr>
        <w:ind w:right="480"/>
        <w:jc w:val="center"/>
        <w:rPr>
          <w:sz w:val="24"/>
          <w:szCs w:val="24"/>
        </w:rPr>
      </w:pPr>
      <w:r>
        <w:rPr>
          <w:rFonts w:hint="eastAsia" w:ascii="楷体_GB2312" w:hAnsi="宋体" w:eastAsia="楷体_GB2312"/>
          <w:sz w:val="24"/>
        </w:rPr>
        <w:t xml:space="preserve">                                    </w:t>
      </w:r>
    </w:p>
    <w:bookmarkEnd w:id="146"/>
    <w:p>
      <w:pPr>
        <w:rPr>
          <w:rFonts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15"/>
        <w:spacing w:before="8" w:after="156"/>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pPr>
        <w:pStyle w:val="13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3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5"/>
        <w:spacing w:before="9" w:after="156"/>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5"/>
        <w:spacing w:after="156"/>
        <w:rPr>
          <w:rFonts w:ascii="楷体" w:hAnsi="楷体" w:eastAsia="楷体" w:cs="楷体"/>
          <w:b/>
          <w:sz w:val="24"/>
          <w:szCs w:val="28"/>
        </w:rPr>
      </w:pPr>
    </w:p>
    <w:p>
      <w:pPr>
        <w:pStyle w:val="15"/>
        <w:spacing w:before="1"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5"/>
        <w:spacing w:after="156"/>
        <w:rPr>
          <w:rFonts w:ascii="楷体" w:hAnsi="楷体" w:eastAsia="楷体" w:cs="楷体"/>
          <w:b/>
          <w:sz w:val="24"/>
          <w:szCs w:val="28"/>
        </w:rPr>
      </w:pPr>
    </w:p>
    <w:p>
      <w:pPr>
        <w:pStyle w:val="15"/>
        <w:spacing w:before="4"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ascii="Calibri" w:hAnsi="Calibri" w:eastAsia="宋体" w:cs="Times New Roman"/>
          <w:b/>
          <w:bCs/>
          <w:kern w:val="44"/>
          <w:sz w:val="36"/>
          <w:szCs w:val="44"/>
        </w:rPr>
        <w:sectPr>
          <w:footerReference r:id="rId15" w:type="first"/>
          <w:headerReference r:id="rId13" w:type="default"/>
          <w:footerReference r:id="rId14"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66"/>
    </w:p>
    <w:p>
      <w:pPr>
        <w:keepNext/>
        <w:keepLines/>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0"/>
        <w:rPr>
          <w:rFonts w:ascii="Times New Roman" w:hAnsi="Times New Roman" w:eastAsia="宋体" w:cs="Times New Roman"/>
          <w:b/>
          <w:bCs/>
          <w:color w:val="000000"/>
          <w:sz w:val="24"/>
          <w:szCs w:val="24"/>
        </w:rPr>
        <w:sectPr>
          <w:footerReference r:id="rId18" w:type="first"/>
          <w:headerReference r:id="rId16" w:type="defaul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47" w:name="_Toc639004"/>
      <w:bookmarkStart w:id="148" w:name="_Toc212369550"/>
      <w:bookmarkStart w:id="149" w:name="_Toc25811"/>
      <w:bookmarkStart w:id="150"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47"/>
      <w:bookmarkEnd w:id="148"/>
      <w:bookmarkEnd w:id="149"/>
      <w:bookmarkEnd w:id="150"/>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pStyle w:val="36"/>
        <w:keepNext w:val="0"/>
        <w:keepLines w:val="0"/>
        <w:widowControl/>
        <w:suppressLineNumbers w:val="0"/>
        <w:spacing w:beforeAutospacing="1" w:afterAutospacing="1"/>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cs="宋体"/>
          <w:b w:val="0"/>
          <w:bCs/>
          <w:kern w:val="0"/>
          <w:sz w:val="24"/>
          <w:szCs w:val="24"/>
          <w:highlight w:val="yellow"/>
          <w:u w:val="single"/>
          <w:lang w:val="en-US" w:eastAsia="zh-CN"/>
        </w:rPr>
        <w:t>新建顶导流罩</w:t>
      </w:r>
      <w:r>
        <w:rPr>
          <w:rFonts w:hint="eastAsia" w:ascii="宋体" w:hAnsi="宋体" w:eastAsia="宋体" w:cs="宋体"/>
          <w:b w:val="0"/>
          <w:bCs/>
          <w:kern w:val="0"/>
          <w:sz w:val="24"/>
          <w:szCs w:val="24"/>
          <w:highlight w:val="yellow"/>
          <w:u w:val="single"/>
          <w:lang w:val="en-US" w:eastAsia="zh-CN"/>
        </w:rPr>
        <w:t>分装线</w:t>
      </w:r>
      <w:r>
        <w:rPr>
          <w:rFonts w:hint="eastAsia" w:ascii="宋体" w:hAnsi="宋体" w:eastAsia="宋体" w:cs="宋体"/>
          <w:b w:val="0"/>
          <w:bCs/>
          <w:kern w:val="0"/>
          <w:sz w:val="24"/>
          <w:szCs w:val="24"/>
          <w:highlight w:val="yellow"/>
          <w:u w:val="single"/>
        </w:rPr>
        <w:t>项目</w:t>
      </w:r>
      <w:r>
        <w:rPr>
          <w:rFonts w:hint="eastAsia" w:ascii="宋体" w:hAnsi="宋体" w:eastAsia="宋体" w:cs="Times New Roman"/>
          <w:color w:val="000000"/>
          <w:sz w:val="24"/>
          <w:szCs w:val="24"/>
        </w:rPr>
        <w:t>（</w:t>
      </w:r>
      <w:r>
        <w:rPr>
          <w:rFonts w:hint="eastAsia"/>
          <w:lang w:val="en-US"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6" w:hRule="atLeast"/>
        </w:trPr>
        <w:tc>
          <w:tcPr>
            <w:tcW w:w="1956" w:type="dxa"/>
          </w:tcPr>
          <w:p>
            <w:pPr>
              <w:pStyle w:val="135"/>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pPr>
            <w:r>
              <w:t xml:space="preserve">品牌区分 </w:t>
            </w:r>
          </w:p>
        </w:tc>
        <w:tc>
          <w:tcPr>
            <w:tcW w:w="7500" w:type="dxa"/>
            <w:gridSpan w:val="6"/>
          </w:tcPr>
          <w:p>
            <w:pPr>
              <w:pStyle w:val="1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5"/>
              <w:spacing w:before="15"/>
              <w:ind w:left="279"/>
            </w:pPr>
            <w:r>
              <w:rPr>
                <w:spacing w:val="-2"/>
              </w:rPr>
              <w:t>质量</w:t>
            </w:r>
            <w:r>
              <w:t xml:space="preserve"> </w:t>
            </w:r>
          </w:p>
          <w:p>
            <w:pPr>
              <w:pStyle w:val="135"/>
              <w:spacing w:before="30" w:line="277" w:lineRule="exact"/>
              <w:ind w:left="279"/>
            </w:pPr>
            <w:r>
              <w:rPr>
                <w:rFonts w:hint="eastAsia"/>
              </w:rPr>
              <w:t>体系</w:t>
            </w:r>
          </w:p>
        </w:tc>
        <w:tc>
          <w:tcPr>
            <w:tcW w:w="2820" w:type="dxa"/>
            <w:gridSpan w:val="2"/>
          </w:tcPr>
          <w:p>
            <w:pPr>
              <w:pStyle w:val="135"/>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0"/>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Calibri" w:eastAsia="宋体" w:cs="Times New Roman"/>
          <w:sz w:val="24"/>
          <w:szCs w:val="20"/>
          <w:lang w:eastAsia="zh-CN"/>
        </w:rPr>
      </w:pPr>
      <w:r>
        <w:rPr>
          <w:rFonts w:hint="eastAsia" w:ascii="宋体" w:hAnsi="宋体" w:eastAsia="宋体" w:cs="Times New Roman"/>
          <w:sz w:val="24"/>
          <w:szCs w:val="20"/>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3"/>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544"/>
        <w:gridCol w:w="1933"/>
        <w:gridCol w:w="1335"/>
        <w:gridCol w:w="1824"/>
        <w:gridCol w:w="2362"/>
        <w:gridCol w:w="135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4"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933"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544"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933"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2544" w:type="dxa"/>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highlight w:val="yellow"/>
                <w:lang w:val="en-US" w:eastAsia="zh-CN"/>
              </w:rPr>
              <w:t>顶导流罩分装线</w:t>
            </w:r>
          </w:p>
        </w:tc>
        <w:tc>
          <w:tcPr>
            <w:tcW w:w="1933" w:type="dxa"/>
            <w:vAlign w:val="center"/>
          </w:tcPr>
          <w:p>
            <w:pPr>
              <w:jc w:val="center"/>
              <w:rPr>
                <w:rFonts w:hint="eastAsia" w:ascii="宋体" w:hAnsi="宋体" w:eastAsia="宋体" w:cs="宋体"/>
                <w:sz w:val="24"/>
                <w:szCs w:val="24"/>
              </w:rPr>
            </w:pPr>
          </w:p>
        </w:tc>
        <w:tc>
          <w:tcPr>
            <w:tcW w:w="1335" w:type="dxa"/>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highlight w:val="yellow"/>
                <w:lang w:val="en-US" w:eastAsia="zh-CN"/>
              </w:rPr>
              <w:t>2</w:t>
            </w:r>
          </w:p>
        </w:tc>
        <w:tc>
          <w:tcPr>
            <w:tcW w:w="1824" w:type="dxa"/>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台</w:t>
            </w:r>
          </w:p>
        </w:tc>
        <w:tc>
          <w:tcPr>
            <w:tcW w:w="2362" w:type="dxa"/>
            <w:tcBorders>
              <w:left w:val="single" w:color="000000" w:sz="4" w:space="0"/>
            </w:tcBorders>
            <w:vAlign w:val="center"/>
          </w:tcPr>
          <w:p>
            <w:pPr>
              <w:jc w:val="center"/>
              <w:rPr>
                <w:rFonts w:ascii="Arial"/>
                <w:sz w:val="24"/>
                <w:szCs w:val="24"/>
              </w:rPr>
            </w:pPr>
          </w:p>
        </w:tc>
        <w:tc>
          <w:tcPr>
            <w:tcW w:w="1355" w:type="dxa"/>
          </w:tcPr>
          <w:p>
            <w:pPr>
              <w:rPr>
                <w:rFonts w:ascii="Arial"/>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jc w:val="center"/>
              <w:rPr>
                <w:rFonts w:ascii="宋体" w:hAnsi="宋体" w:eastAsia="宋体" w:cs="宋体"/>
                <w:sz w:val="24"/>
                <w:szCs w:val="24"/>
              </w:rPr>
            </w:pPr>
            <w:r>
              <w:rPr>
                <w:rFonts w:hint="eastAsia" w:ascii="宋体" w:hAnsi="宋体" w:eastAsia="宋体" w:cs="宋体"/>
                <w:sz w:val="24"/>
                <w:szCs w:val="24"/>
              </w:rPr>
              <w:t>…</w:t>
            </w:r>
          </w:p>
        </w:tc>
        <w:tc>
          <w:tcPr>
            <w:tcW w:w="2544" w:type="dxa"/>
          </w:tcPr>
          <w:p>
            <w:pPr>
              <w:jc w:val="center"/>
              <w:rPr>
                <w:rFonts w:ascii="宋体" w:hAnsi="宋体" w:eastAsia="宋体" w:cs="宋体"/>
                <w:sz w:val="24"/>
                <w:szCs w:val="24"/>
              </w:rPr>
            </w:pPr>
            <w:r>
              <w:rPr>
                <w:rFonts w:hint="eastAsia" w:ascii="宋体" w:hAnsi="宋体" w:eastAsia="宋体" w:cs="宋体"/>
                <w:sz w:val="24"/>
                <w:szCs w:val="24"/>
              </w:rPr>
              <w:t>以上投标设备不足之处请往下添加序号自行补充</w:t>
            </w:r>
          </w:p>
        </w:tc>
        <w:tc>
          <w:tcPr>
            <w:tcW w:w="1933" w:type="dxa"/>
          </w:tcPr>
          <w:p>
            <w:pPr>
              <w:jc w:val="center"/>
              <w:rPr>
                <w:rFonts w:ascii="宋体" w:hAnsi="宋体" w:eastAsia="宋体" w:cs="宋体"/>
                <w:sz w:val="24"/>
                <w:szCs w:val="24"/>
              </w:rPr>
            </w:pPr>
          </w:p>
        </w:tc>
        <w:tc>
          <w:tcPr>
            <w:tcW w:w="1335" w:type="dxa"/>
          </w:tcPr>
          <w:p>
            <w:pPr>
              <w:rPr>
                <w:rFonts w:ascii="Arial"/>
              </w:rPr>
            </w:pPr>
          </w:p>
        </w:tc>
        <w:tc>
          <w:tcPr>
            <w:tcW w:w="1824" w:type="dxa"/>
          </w:tcPr>
          <w:p>
            <w:pPr>
              <w:rPr>
                <w:rFonts w:ascii="Arial"/>
              </w:rPr>
            </w:pPr>
          </w:p>
        </w:tc>
        <w:tc>
          <w:tcPr>
            <w:tcW w:w="2362" w:type="dxa"/>
            <w:tcBorders>
              <w:left w:val="single" w:color="000000" w:sz="4" w:space="0"/>
            </w:tcBorders>
          </w:tcPr>
          <w:p>
            <w:pPr>
              <w:rPr>
                <w:rFonts w:ascii="Arial"/>
              </w:rPr>
            </w:pPr>
          </w:p>
        </w:tc>
        <w:tc>
          <w:tcPr>
            <w:tcW w:w="1355" w:type="dxa"/>
          </w:tcPr>
          <w:p>
            <w:pPr>
              <w:rPr>
                <w:rFonts w:ascii="Arial"/>
              </w:rPr>
            </w:pPr>
          </w:p>
        </w:tc>
      </w:tr>
    </w:tbl>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ascii="宋体" w:hAnsi="宋体" w:eastAsia="宋体" w:cs="宋体"/>
          <w:b/>
          <w:bCs/>
          <w:spacing w:val="-6"/>
          <w:szCs w:val="21"/>
        </w:rPr>
      </w:pPr>
      <w:r>
        <w:rPr>
          <w:rFonts w:hint="eastAsia" w:ascii="宋体" w:hAnsi="宋体" w:eastAsia="宋体" w:cs="宋体"/>
          <w:b/>
          <w:bCs/>
          <w:spacing w:val="-6"/>
          <w:szCs w:val="21"/>
        </w:rPr>
        <w:t>2.此表格需在技术标中体现，并明确规格型号、品牌等信息。</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3.此表分项明细需要和附表9-1完全对应。</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ascii="宋体" w:hAnsi="宋体" w:eastAsia="宋体" w:cs="宋体"/>
          <w:spacing w:val="-6"/>
          <w:szCs w:val="21"/>
        </w:rPr>
      </w:pPr>
    </w:p>
    <w:p>
      <w:pPr>
        <w:spacing w:line="105" w:lineRule="exact"/>
      </w:pPr>
    </w:p>
    <w:p>
      <w:pPr>
        <w:sectPr>
          <w:footerReference r:id="rId25"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2021年1月1日至今同类项目业绩一览表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21</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w:t>
      </w:r>
      <w:r>
        <w:rPr>
          <w:rFonts w:hint="eastAsia" w:ascii="宋体" w:hAnsi="宋体" w:eastAsia="宋体" w:cs="宋体"/>
          <w:kern w:val="0"/>
          <w:sz w:val="24"/>
          <w:szCs w:val="20"/>
          <w:highlight w:val="yellow"/>
        </w:rPr>
        <w:t>2021年1月1日以来同类产品的制造销售业绩</w:t>
      </w:r>
      <w:r>
        <w:rPr>
          <w:rFonts w:hint="eastAsia" w:ascii="宋体" w:hAnsi="宋体" w:eastAsia="宋体" w:cs="宋体"/>
          <w:kern w:val="0"/>
          <w:sz w:val="24"/>
          <w:szCs w:val="20"/>
        </w:rPr>
        <w:t>（用户名单、联系方式）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Times New Roman"/>
          <w:sz w:val="24"/>
          <w:szCs w:val="20"/>
          <w:u w:val="single"/>
          <w:lang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eastAsia" w:ascii="Times New Roman" w:hAnsi="Times New Roman" w:eastAsia="宋体" w:cs="Times New Roman"/>
                <w:b/>
                <w:szCs w:val="20"/>
                <w:lang w:eastAsia="zh-CN"/>
              </w:rPr>
            </w:pP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tc>
        <w:tc>
          <w:tcPr>
            <w:tcW w:w="84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highlight w:val="yellow"/>
                <w:lang w:val="en-US" w:eastAsia="zh-CN"/>
              </w:rPr>
              <w:t>2台</w:t>
            </w:r>
          </w:p>
        </w:tc>
        <w:tc>
          <w:tcPr>
            <w:tcW w:w="2270" w:type="dxa"/>
            <w:vAlign w:val="center"/>
          </w:tcPr>
          <w:p>
            <w:pPr>
              <w:rPr>
                <w:rFonts w:ascii="等线" w:hAnsi="等线" w:eastAsia="等线" w:cs="Times New Roman"/>
                <w:b/>
                <w:szCs w:val="20"/>
                <w:u w:val="single"/>
              </w:rPr>
            </w:pPr>
            <w:r>
              <w:rPr>
                <w:rFonts w:hint="eastAsia" w:ascii="等线" w:hAnsi="等线" w:eastAsia="等线" w:cs="Times New Roman"/>
                <w:b/>
                <w:szCs w:val="20"/>
              </w:rPr>
              <w:t>不含税价：</w:t>
            </w:r>
            <w:r>
              <w:rPr>
                <w:rFonts w:hint="eastAsia" w:ascii="等线" w:hAnsi="等线" w:eastAsia="等线" w:cs="Times New Roman"/>
                <w:b/>
                <w:szCs w:val="20"/>
                <w:u w:val="single"/>
              </w:rPr>
              <w:t xml:space="preserve">          </w:t>
            </w:r>
          </w:p>
          <w:p>
            <w:pP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rPr>
                <w:rFonts w:ascii="Times New Roman" w:hAnsi="Times New Roman" w:eastAsia="等线" w:cs="Times New Roman"/>
                <w:b/>
                <w:szCs w:val="20"/>
                <w:u w:val="single"/>
              </w:rPr>
            </w:pPr>
            <w:r>
              <w:rPr>
                <w:rFonts w:hint="eastAsia" w:ascii="等线" w:hAnsi="等线" w:eastAsia="等线" w:cs="Times New Roman"/>
                <w:b/>
                <w:szCs w:val="20"/>
              </w:rPr>
              <w:t>税率：</w:t>
            </w:r>
            <w:r>
              <w:rPr>
                <w:rFonts w:hint="eastAsia" w:ascii="等线" w:hAnsi="等线" w:eastAsia="等线" w:cs="Times New Roman"/>
                <w:b/>
                <w:szCs w:val="20"/>
                <w:u w:val="single"/>
              </w:rPr>
              <w:t xml:space="preserve">        </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w:t>
      </w:r>
      <w:r>
        <w:rPr>
          <w:rFonts w:hint="eastAsia" w:ascii="宋体" w:hAnsi="宋体" w:eastAsia="宋体" w:cs="Times New Roman"/>
          <w:b/>
          <w:bCs/>
          <w:szCs w:val="21"/>
          <w:lang w:eastAsia="zh-CN"/>
        </w:rPr>
        <w:t>一</w:t>
      </w:r>
      <w:r>
        <w:rPr>
          <w:rFonts w:hint="eastAsia" w:ascii="宋体" w:hAnsi="宋体" w:eastAsia="宋体" w:cs="Times New Roman"/>
          <w:b/>
          <w:bCs/>
          <w:szCs w:val="21"/>
        </w:rPr>
        <w:t>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20"/>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0"/>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4"/>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4"/>
        <w:jc w:val="center"/>
        <w:rPr>
          <w:rFonts w:ascii="宋体" w:hAnsi="宋体"/>
          <w:sz w:val="24"/>
          <w:szCs w:val="24"/>
        </w:rPr>
      </w:pPr>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1450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2533"/>
        <w:gridCol w:w="1496"/>
        <w:gridCol w:w="1120"/>
        <w:gridCol w:w="1120"/>
        <w:gridCol w:w="1682"/>
        <w:gridCol w:w="2136"/>
        <w:gridCol w:w="2496"/>
        <w:gridCol w:w="80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981" w:type="dxa"/>
            <w:gridSpan w:val="2"/>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496"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pPr>
              <w:spacing w:before="100" w:line="182"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pPr>
              <w:spacing w:before="98" w:line="185"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36" w:type="dxa"/>
            <w:tcBorders>
              <w:right w:val="single" w:color="000000" w:sz="4" w:space="0"/>
            </w:tcBorders>
          </w:tcPr>
          <w:p>
            <w:pPr>
              <w:spacing w:before="98" w:line="185" w:lineRule="auto"/>
              <w:jc w:val="center"/>
              <w:rPr>
                <w:rFonts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96" w:type="dxa"/>
            <w:tcBorders>
              <w:left w:val="single" w:color="000000" w:sz="4" w:space="0"/>
            </w:tcBorders>
          </w:tcPr>
          <w:p>
            <w:pPr>
              <w:spacing w:before="100" w:line="182" w:lineRule="auto"/>
              <w:jc w:val="center"/>
              <w:rPr>
                <w:rFonts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804" w:type="dxa"/>
          </w:tcPr>
          <w:p>
            <w:pPr>
              <w:spacing w:before="99" w:line="183" w:lineRule="auto"/>
              <w:ind w:firstLine="422" w:firstLineChars="200"/>
              <w:rPr>
                <w:rFonts w:ascii="宋体" w:hAnsi="宋体" w:eastAsia="宋体" w:cs="宋体"/>
                <w:szCs w:val="21"/>
              </w:rPr>
            </w:pPr>
            <w:r>
              <w:rPr>
                <w:rFonts w:hint="eastAsia" w:ascii="宋体" w:hAnsi="宋体" w:eastAsia="宋体" w:cs="宋体"/>
                <w:b/>
                <w:bCs/>
                <w:szCs w:val="21"/>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981" w:type="dxa"/>
            <w:gridSpan w:val="2"/>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49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136" w:type="dxa"/>
            <w:tcBorders>
              <w:righ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96"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804"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ascii="宋体" w:hAnsi="宋体" w:eastAsia="宋体" w:cs="宋体"/>
                <w:szCs w:val="21"/>
              </w:rPr>
            </w:pPr>
            <w:r>
              <w:rPr>
                <w:rFonts w:hint="eastAsia" w:ascii="宋体" w:hAnsi="宋体" w:eastAsia="宋体" w:cs="宋体"/>
                <w:sz w:val="24"/>
                <w:szCs w:val="24"/>
                <w:lang w:val="en-US" w:eastAsia="zh-CN"/>
              </w:rPr>
              <w:t>1</w:t>
            </w:r>
          </w:p>
        </w:tc>
        <w:tc>
          <w:tcPr>
            <w:tcW w:w="2981" w:type="dxa"/>
            <w:gridSpan w:val="2"/>
            <w:vAlign w:val="center"/>
          </w:tcPr>
          <w:p>
            <w:pPr>
              <w:jc w:val="center"/>
              <w:rPr>
                <w:rFonts w:ascii="宋体" w:hAnsi="宋体" w:eastAsia="宋体"/>
                <w:bCs/>
                <w:szCs w:val="21"/>
              </w:rPr>
            </w:pPr>
            <w:r>
              <w:rPr>
                <w:rFonts w:hint="eastAsia" w:ascii="宋体" w:hAnsi="宋体" w:eastAsia="宋体" w:cs="宋体"/>
                <w:b w:val="0"/>
                <w:bCs/>
                <w:kern w:val="0"/>
                <w:sz w:val="24"/>
                <w:szCs w:val="24"/>
                <w:highlight w:val="yellow"/>
                <w:u w:val="single"/>
                <w:lang w:val="en-US" w:eastAsia="zh-CN"/>
              </w:rPr>
              <w:t>顶导流罩分装线</w:t>
            </w:r>
          </w:p>
        </w:tc>
        <w:tc>
          <w:tcPr>
            <w:tcW w:w="1496" w:type="dxa"/>
            <w:vAlign w:val="center"/>
          </w:tcPr>
          <w:p>
            <w:pPr>
              <w:jc w:val="center"/>
              <w:rPr>
                <w:rFonts w:ascii="Arial"/>
                <w:szCs w:val="21"/>
              </w:rPr>
            </w:pPr>
          </w:p>
        </w:tc>
        <w:tc>
          <w:tcPr>
            <w:tcW w:w="1120" w:type="dxa"/>
            <w:vAlign w:val="center"/>
          </w:tcPr>
          <w:p>
            <w:pPr>
              <w:jc w:val="center"/>
              <w:rPr>
                <w:rFonts w:hint="default" w:ascii="宋体" w:hAnsi="宋体" w:eastAsia="宋体" w:cs="宋体"/>
                <w:szCs w:val="21"/>
                <w:lang w:val="en-US" w:eastAsia="zh-CN"/>
              </w:rPr>
            </w:pPr>
            <w:r>
              <w:rPr>
                <w:rFonts w:hint="eastAsia" w:ascii="宋体" w:hAnsi="宋体" w:eastAsia="宋体" w:cs="宋体"/>
                <w:szCs w:val="21"/>
                <w:highlight w:val="yellow"/>
                <w:lang w:val="en-US" w:eastAsia="zh-CN"/>
              </w:rPr>
              <w:t>2</w:t>
            </w:r>
          </w:p>
        </w:tc>
        <w:tc>
          <w:tcPr>
            <w:tcW w:w="1120" w:type="dxa"/>
            <w:vAlign w:val="center"/>
          </w:tcPr>
          <w:p>
            <w:pPr>
              <w:jc w:val="center"/>
              <w:rPr>
                <w:rFonts w:ascii="宋体" w:hAnsi="宋体" w:eastAsia="宋体" w:cs="宋体"/>
                <w:szCs w:val="21"/>
              </w:rPr>
            </w:pPr>
            <w:r>
              <w:rPr>
                <w:rFonts w:hint="eastAsia" w:ascii="宋体" w:hAnsi="宋体" w:eastAsia="宋体" w:cs="宋体"/>
                <w:sz w:val="24"/>
                <w:szCs w:val="24"/>
                <w:lang w:val="en-US" w:eastAsia="zh-CN"/>
              </w:rPr>
              <w:t>台</w:t>
            </w:r>
          </w:p>
        </w:tc>
        <w:tc>
          <w:tcPr>
            <w:tcW w:w="1682" w:type="dxa"/>
            <w:vAlign w:val="center"/>
          </w:tcPr>
          <w:p>
            <w:pPr>
              <w:jc w:val="center"/>
              <w:rPr>
                <w:rFonts w:ascii="Arial"/>
              </w:rPr>
            </w:pPr>
          </w:p>
        </w:tc>
        <w:tc>
          <w:tcPr>
            <w:tcW w:w="2136" w:type="dxa"/>
            <w:tcBorders>
              <w:right w:val="single" w:color="000000" w:sz="4" w:space="0"/>
            </w:tcBorders>
            <w:vAlign w:val="center"/>
          </w:tcPr>
          <w:p>
            <w:pPr>
              <w:spacing w:line="360" w:lineRule="exact"/>
              <w:jc w:val="center"/>
              <w:rPr>
                <w:rFonts w:ascii="Arial"/>
              </w:rPr>
            </w:pPr>
          </w:p>
        </w:tc>
        <w:tc>
          <w:tcPr>
            <w:tcW w:w="2496" w:type="dxa"/>
            <w:tcBorders>
              <w:left w:val="single" w:color="000000" w:sz="4" w:space="0"/>
            </w:tcBorders>
          </w:tcPr>
          <w:p>
            <w:pPr>
              <w:rPr>
                <w:rFonts w:ascii="Arial"/>
              </w:rPr>
            </w:pPr>
          </w:p>
        </w:tc>
        <w:tc>
          <w:tcPr>
            <w:tcW w:w="80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981" w:type="dxa"/>
            <w:gridSpan w:val="2"/>
          </w:tcPr>
          <w:p>
            <w:pPr>
              <w:rPr>
                <w:rFonts w:ascii="Arial"/>
              </w:rPr>
            </w:pPr>
            <w:r>
              <w:rPr>
                <w:rFonts w:hint="eastAsia" w:ascii="宋体" w:hAnsi="宋体" w:eastAsia="宋体" w:cs="宋体"/>
              </w:rPr>
              <w:t>以上投标设备不足之处请往下添加序号自行补充</w:t>
            </w:r>
          </w:p>
        </w:tc>
        <w:tc>
          <w:tcPr>
            <w:tcW w:w="1496" w:type="dxa"/>
          </w:tcPr>
          <w:p>
            <w:pPr>
              <w:rPr>
                <w:rFonts w:ascii="Arial"/>
              </w:rPr>
            </w:pPr>
          </w:p>
        </w:tc>
        <w:tc>
          <w:tcPr>
            <w:tcW w:w="1120" w:type="dxa"/>
          </w:tcPr>
          <w:p>
            <w:pPr>
              <w:rPr>
                <w:rFonts w:ascii="Arial"/>
              </w:rPr>
            </w:pPr>
          </w:p>
        </w:tc>
        <w:tc>
          <w:tcPr>
            <w:tcW w:w="1120" w:type="dxa"/>
          </w:tcPr>
          <w:p>
            <w:pPr>
              <w:rPr>
                <w:rFonts w:ascii="Arial"/>
              </w:rPr>
            </w:pPr>
          </w:p>
        </w:tc>
        <w:tc>
          <w:tcPr>
            <w:tcW w:w="1682" w:type="dxa"/>
          </w:tcPr>
          <w:p>
            <w:pPr>
              <w:rPr>
                <w:rFonts w:ascii="Arial"/>
              </w:rPr>
            </w:pPr>
          </w:p>
        </w:tc>
        <w:tc>
          <w:tcPr>
            <w:tcW w:w="2136" w:type="dxa"/>
            <w:tcBorders>
              <w:right w:val="single" w:color="000000" w:sz="4" w:space="0"/>
            </w:tcBorders>
          </w:tcPr>
          <w:p>
            <w:pPr>
              <w:rPr>
                <w:rFonts w:ascii="Arial"/>
              </w:rPr>
            </w:pPr>
          </w:p>
        </w:tc>
        <w:tc>
          <w:tcPr>
            <w:tcW w:w="2496" w:type="dxa"/>
            <w:tcBorders>
              <w:left w:val="single" w:color="000000" w:sz="4" w:space="0"/>
            </w:tcBorders>
          </w:tcPr>
          <w:p>
            <w:pPr>
              <w:rPr>
                <w:rFonts w:ascii="Arial"/>
              </w:rPr>
            </w:pPr>
          </w:p>
        </w:tc>
        <w:tc>
          <w:tcPr>
            <w:tcW w:w="80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pPr>
              <w:jc w:val="center"/>
              <w:rPr>
                <w:rFonts w:ascii="宋体" w:hAnsi="宋体" w:eastAsia="宋体" w:cs="宋体"/>
                <w:spacing w:val="-6"/>
                <w:szCs w:val="21"/>
              </w:rPr>
            </w:pPr>
          </w:p>
        </w:tc>
        <w:tc>
          <w:tcPr>
            <w:tcW w:w="10087" w:type="dxa"/>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96" w:type="dxa"/>
            <w:tcBorders>
              <w:left w:val="single" w:color="000000" w:sz="4" w:space="0"/>
            </w:tcBorders>
          </w:tcPr>
          <w:p>
            <w:pPr>
              <w:rPr>
                <w:rFonts w:ascii="Arial"/>
              </w:rPr>
            </w:pPr>
          </w:p>
        </w:tc>
        <w:tc>
          <w:tcPr>
            <w:tcW w:w="804"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8"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9" w:type="default"/>
          <w:pgSz w:w="16841" w:h="11907"/>
          <w:pgMar w:top="400" w:right="1699" w:bottom="1184" w:left="1481" w:header="0" w:footer="1022" w:gutter="0"/>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ascii="宋体" w:hAnsi="宋体" w:eastAsia="宋体" w:cs="宋体"/>
                <w:szCs w:val="21"/>
              </w:rPr>
            </w:pPr>
            <w:r>
              <w:rPr>
                <w:rFonts w:hint="eastAsia" w:ascii="宋体" w:hAnsi="宋体" w:eastAsia="宋体" w:cs="宋体"/>
                <w:spacing w:val="-1"/>
                <w:szCs w:val="21"/>
              </w:rPr>
              <w:t>现场安装调试费</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tcPr>
          <w:p>
            <w:pPr>
              <w:spacing w:before="266" w:line="221" w:lineRule="auto"/>
              <w:jc w:val="center"/>
              <w:rPr>
                <w:rFonts w:ascii="宋体" w:hAnsi="宋体" w:eastAsia="宋体" w:cs="宋体"/>
                <w:szCs w:val="21"/>
              </w:rPr>
            </w:pPr>
            <w:r>
              <w:rPr>
                <w:rFonts w:hint="eastAsia" w:ascii="宋体" w:hAnsi="宋体" w:eastAsia="宋体" w:cs="宋体"/>
                <w:szCs w:val="21"/>
              </w:rPr>
              <w:t>技术培训费</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ascii="宋体" w:hAnsi="宋体" w:eastAsia="宋体" w:cs="宋体"/>
                <w:szCs w:val="21"/>
              </w:rPr>
            </w:pPr>
            <w:r>
              <w:rPr>
                <w:rFonts w:hint="eastAsia" w:ascii="宋体" w:hAnsi="宋体" w:eastAsia="宋体" w:cs="宋体"/>
                <w:szCs w:val="21"/>
              </w:rPr>
              <w:t>3</w:t>
            </w:r>
          </w:p>
        </w:tc>
        <w:tc>
          <w:tcPr>
            <w:tcW w:w="3625" w:type="dxa"/>
            <w:vAlign w:val="center"/>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20"/>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0" w:type="default"/>
          <w:pgSz w:w="16841" w:h="11907"/>
          <w:pgMar w:top="400" w:right="1699" w:bottom="1184" w:left="1481" w:header="0" w:footer="1022" w:gutter="0"/>
          <w:cols w:space="720" w:num="1"/>
        </w:sectPr>
      </w:pPr>
    </w:p>
    <w:p>
      <w:pPr>
        <w:pStyle w:val="5"/>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1" w:type="default"/>
          <w:pgSz w:w="16841" w:h="11907"/>
          <w:pgMar w:top="400" w:right="1500" w:bottom="1184" w:left="1480" w:header="0" w:footer="1022" w:gutter="0"/>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0"/>
      </w:pPr>
    </w:p>
    <w:p>
      <w:pPr>
        <w:pStyle w:val="20"/>
      </w:pPr>
    </w:p>
    <w:p>
      <w:pPr>
        <w:spacing w:before="140" w:line="220" w:lineRule="auto"/>
        <w:ind w:left="2" w:firstLine="464" w:firstLineChars="200"/>
        <w:rPr>
          <w:rFonts w:ascii="宋体" w:hAnsi="宋体" w:eastAsia="宋体" w:cs="宋体"/>
          <w:spacing w:val="-2"/>
          <w:szCs w:val="21"/>
        </w:rPr>
        <w:sectPr>
          <w:footerReference r:id="rId32"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eastAsia" w:ascii="Times New Roman" w:hAnsi="Times New Roman" w:eastAsia="宋体" w:cs="Times New Roman"/>
                <w:b/>
                <w:szCs w:val="20"/>
                <w:lang w:eastAsia="zh-CN"/>
              </w:rPr>
            </w:pP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hint="eastAsia" w:ascii="宋体" w:hAnsi="宋体" w:eastAsia="宋体" w:cs="宋体"/>
          <w:sz w:val="24"/>
          <w:szCs w:val="24"/>
          <w:lang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33"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Calibri" w:eastAsia="宋体" w:cs="Times New Roman"/>
          <w:sz w:val="24"/>
          <w:szCs w:val="20"/>
          <w:lang w:eastAsia="zh-CN"/>
        </w:rPr>
      </w:pPr>
      <w:r>
        <w:rPr>
          <w:rFonts w:hint="eastAsia" w:ascii="宋体" w:hAnsi="宋体" w:eastAsia="宋体" w:cs="Times New Roman"/>
          <w:sz w:val="24"/>
          <w:szCs w:val="20"/>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0"/>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eastAsia" w:ascii="Times New Roman" w:hAnsi="Times New Roman" w:eastAsia="宋体" w:cs="Times New Roman"/>
                <w:b/>
                <w:szCs w:val="20"/>
                <w:lang w:eastAsia="zh-CN"/>
              </w:rPr>
            </w:pPr>
            <w:r>
              <w:rPr>
                <w:rFonts w:hint="eastAsia" w:ascii="宋体" w:hAnsi="宋体" w:eastAsia="宋体" w:cs="宋体"/>
                <w:b/>
                <w:szCs w:val="20"/>
              </w:rPr>
              <w:t>项目名称：</w:t>
            </w:r>
            <w:r>
              <w:rPr>
                <w:rFonts w:hint="eastAsia" w:ascii="宋体" w:hAnsi="宋体" w:eastAsia="宋体" w:cs="宋体"/>
                <w:b w:val="0"/>
                <w:bCs/>
                <w:kern w:val="0"/>
                <w:sz w:val="24"/>
                <w:szCs w:val="24"/>
                <w:highlight w:val="yellow"/>
                <w:u w:val="single"/>
                <w:lang w:eastAsia="zh-CN"/>
              </w:rPr>
              <w:t>济南商用车</w:t>
            </w:r>
            <w:r>
              <w:rPr>
                <w:rFonts w:hint="eastAsia" w:ascii="宋体" w:hAnsi="宋体" w:eastAsia="宋体" w:cs="宋体"/>
                <w:b w:val="0"/>
                <w:bCs/>
                <w:kern w:val="0"/>
                <w:sz w:val="24"/>
                <w:szCs w:val="24"/>
                <w:highlight w:val="yellow"/>
                <w:u w:val="single"/>
                <w:lang w:val="en-US" w:eastAsia="zh-CN"/>
              </w:rPr>
              <w:t>制造</w:t>
            </w:r>
            <w:r>
              <w:rPr>
                <w:rFonts w:hint="eastAsia" w:ascii="宋体" w:hAnsi="宋体" w:eastAsia="宋体" w:cs="宋体"/>
                <w:b w:val="0"/>
                <w:bCs/>
                <w:kern w:val="0"/>
                <w:sz w:val="24"/>
                <w:szCs w:val="24"/>
                <w:highlight w:val="yellow"/>
                <w:u w:val="single"/>
                <w:lang w:eastAsia="zh-CN"/>
              </w:rPr>
              <w:t>公司</w:t>
            </w:r>
            <w:r>
              <w:rPr>
                <w:rFonts w:hint="eastAsia" w:ascii="宋体" w:hAnsi="宋体" w:eastAsia="宋体" w:cs="宋体"/>
                <w:b w:val="0"/>
                <w:bCs/>
                <w:kern w:val="0"/>
                <w:sz w:val="24"/>
                <w:szCs w:val="24"/>
                <w:highlight w:val="yellow"/>
                <w:u w:val="single"/>
                <w:lang w:val="en-US" w:eastAsia="zh-CN"/>
              </w:rPr>
              <w:t>新建顶导流罩分装线</w:t>
            </w:r>
            <w:r>
              <w:rPr>
                <w:rFonts w:hint="eastAsia" w:ascii="宋体" w:hAnsi="宋体" w:eastAsia="宋体" w:cs="宋体"/>
                <w:b w:val="0"/>
                <w:bCs/>
                <w:kern w:val="0"/>
                <w:sz w:val="24"/>
                <w:szCs w:val="24"/>
                <w:highlight w:val="yellow"/>
                <w:u w:val="single"/>
              </w:rPr>
              <w:t>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0"/>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sectPr>
          <w:headerReference r:id="rId35" w:type="first"/>
          <w:footerReference r:id="rId37" w:type="first"/>
          <w:headerReference r:id="rId34" w:type="default"/>
          <w:footerReference r:id="rId36" w:type="default"/>
          <w:pgSz w:w="11906" w:h="16838"/>
          <w:pgMar w:top="1588" w:right="1418" w:bottom="1134" w:left="1418" w:header="851" w:footer="992" w:gutter="0"/>
          <w:cols w:space="720" w:num="1"/>
          <w:titlePg/>
          <w:docGrid w:type="lines" w:linePitch="312" w:charSpace="0"/>
        </w:sectPr>
      </w:pPr>
    </w:p>
    <w:p>
      <w:pPr>
        <w:pStyle w:val="15"/>
        <w:spacing w:after="156"/>
        <w:rPr>
          <w:rFonts w:hint="eastAsia" w:ascii="Times New Roman" w:hAnsi="Times New Roman" w:eastAsia="宋体" w:cs="Times New Roman"/>
          <w:b/>
          <w:bCs/>
          <w:color w:val="000000"/>
          <w:sz w:val="24"/>
          <w:szCs w:val="24"/>
          <w:lang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highlight w:val="yellow"/>
          <w:lang w:eastAsia="zh-CN"/>
        </w:rPr>
        <w:t>（附在商务标中）</w:t>
      </w:r>
    </w:p>
    <w:p>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bl>
    <w:p>
      <w:pPr>
        <w:pStyle w:val="16"/>
      </w:pPr>
    </w:p>
    <w:p>
      <w:pPr>
        <w:sectPr>
          <w:pgSz w:w="11906" w:h="16838"/>
          <w:pgMar w:top="1588" w:right="1418" w:bottom="1134" w:left="1418" w:header="851" w:footer="992" w:gutter="0"/>
          <w:cols w:space="720" w:num="1"/>
          <w:titlePg/>
          <w:docGrid w:type="lines" w:linePitch="312" w:charSpace="0"/>
        </w:sectPr>
      </w:pPr>
    </w:p>
    <w:p>
      <w:pPr>
        <w:pStyle w:val="20"/>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pStyle w:val="20"/>
        <w:rPr>
          <w:rFonts w:eastAsia="宋体"/>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4"/>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5"/>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6"/>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7"/>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20"/>
      </w:pPr>
    </w:p>
    <w:p>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8"/>
                    <a:stretch>
                      <a:fillRect/>
                    </a:stretch>
                  </pic:blipFill>
                  <pic:spPr>
                    <a:xfrm>
                      <a:off x="0" y="0"/>
                      <a:ext cx="5760085" cy="2810122"/>
                    </a:xfrm>
                    <a:prstGeom prst="rect">
                      <a:avLst/>
                    </a:prstGeom>
                  </pic:spPr>
                </pic:pic>
              </a:graphicData>
            </a:graphic>
          </wp:inline>
        </w:drawing>
      </w:r>
    </w:p>
    <w:p>
      <w:pPr>
        <w:pStyle w:val="20"/>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9"/>
                    <a:stretch>
                      <a:fillRect/>
                    </a:stretch>
                  </pic:blipFill>
                  <pic:spPr>
                    <a:xfrm>
                      <a:off x="0" y="0"/>
                      <a:ext cx="5760085" cy="2820042"/>
                    </a:xfrm>
                    <a:prstGeom prst="rect">
                      <a:avLst/>
                    </a:prstGeom>
                  </pic:spPr>
                </pic:pic>
              </a:graphicData>
            </a:graphic>
          </wp:inline>
        </w:drawing>
      </w:r>
    </w:p>
    <w:p>
      <w:pPr>
        <w:pStyle w:val="20"/>
      </w:pPr>
    </w:p>
    <w:p>
      <w:pPr>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pPr>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pPr>
        <w:pStyle w:val="20"/>
      </w:pPr>
      <w:r>
        <w:rPr>
          <w:rFonts w:hint="eastAsia" w:hAnsi="宋体" w:eastAsia="宋体" w:cs="宋体"/>
          <w:b/>
          <w:bCs/>
          <w:color w:val="000000"/>
          <w:sz w:val="24"/>
          <w:szCs w:val="28"/>
        </w:rPr>
        <w:t>2.配套能力“供货类别”填“</w:t>
      </w:r>
      <w:r>
        <w:rPr>
          <w:rFonts w:hint="eastAsia" w:hAnsi="宋体" w:eastAsia="宋体" w:cs="宋体"/>
          <w:b/>
          <w:bCs/>
          <w:color w:val="000000"/>
          <w:sz w:val="24"/>
          <w:szCs w:val="28"/>
          <w:lang w:eastAsia="zh-CN"/>
        </w:rPr>
        <w:t>信息化</w:t>
      </w:r>
      <w:r>
        <w:rPr>
          <w:rFonts w:hint="eastAsia" w:hAnsi="宋体" w:eastAsia="宋体" w:cs="宋体"/>
          <w:b/>
          <w:bCs/>
          <w:color w:val="000000"/>
          <w:sz w:val="24"/>
          <w:szCs w:val="28"/>
          <w:lang w:val="en-US" w:eastAsia="zh-CN"/>
        </w:rPr>
        <w:t>-硬件</w:t>
      </w:r>
      <w:r>
        <w:rPr>
          <w:rFonts w:hint="eastAsia" w:hAnsi="宋体" w:eastAsia="宋体" w:cs="宋体"/>
          <w:b/>
          <w:bCs/>
          <w:color w:val="000000"/>
          <w:sz w:val="24"/>
          <w:szCs w:val="28"/>
        </w:rPr>
        <w:t>”，业务主管部门选择“</w:t>
      </w:r>
      <w:r>
        <w:rPr>
          <w:rFonts w:hint="eastAsia" w:hAnsi="宋体" w:eastAsia="宋体" w:cs="宋体"/>
          <w:b/>
          <w:bCs/>
          <w:color w:val="000000"/>
          <w:sz w:val="24"/>
          <w:szCs w:val="28"/>
          <w:lang w:eastAsia="zh-CN"/>
        </w:rPr>
        <w:t>企业管理与信息化部</w:t>
      </w:r>
      <w:r>
        <w:rPr>
          <w:rFonts w:hint="eastAsia" w:hAnsi="宋体" w:eastAsia="宋体" w:cs="宋体"/>
          <w:b/>
          <w:bCs/>
          <w:color w:val="000000"/>
          <w:sz w:val="24"/>
          <w:szCs w:val="28"/>
        </w:rPr>
        <w:t>”。</w:t>
      </w:r>
    </w:p>
    <w:p>
      <w:pPr>
        <w:pStyle w:val="20"/>
        <w:sectPr>
          <w:headerReference r:id="rId39" w:type="first"/>
          <w:footerReference r:id="rId41" w:type="first"/>
          <w:headerReference r:id="rId38" w:type="default"/>
          <w:footerReference r:id="rId40" w:type="default"/>
          <w:pgSz w:w="11906" w:h="16838"/>
          <w:pgMar w:top="1588" w:right="1418" w:bottom="1134" w:left="1418" w:header="851" w:footer="992" w:gutter="0"/>
          <w:cols w:space="720" w:num="1"/>
          <w:titlePg/>
          <w:docGrid w:type="lines" w:linePitch="312" w:charSpace="0"/>
        </w:sectPr>
      </w:pPr>
    </w:p>
    <w:p>
      <w:pPr>
        <w:pStyle w:val="20"/>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https://ecaitong.sinotruk.com:8012/</w:t>
      </w:r>
      <w:r>
        <w:rPr>
          <w:rStyle w:val="49"/>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0"/>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1"/>
                    <a:stretch>
                      <a:fillRect/>
                    </a:stretch>
                  </pic:blipFill>
                  <pic:spPr>
                    <a:xfrm>
                      <a:off x="0" y="0"/>
                      <a:ext cx="5760085" cy="2125673"/>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0"/>
      </w:pPr>
      <w:r>
        <w:rPr>
          <w:rFonts w:hint="eastAsia" w:hAnsi="宋体" w:eastAsia="宋体" w:cs="宋体"/>
          <w:color w:val="000000"/>
          <w:sz w:val="24"/>
          <w:szCs w:val="28"/>
        </w:rPr>
        <w:t>注意：系统内的投标报价单位为“万元”，如开标现场发现填错报价，即直接淘汰。</w:t>
      </w:r>
    </w:p>
    <w:p>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2"/>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3"/>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4"/>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5"/>
                    <a:stretch>
                      <a:fillRect/>
                    </a:stretch>
                  </pic:blipFill>
                  <pic:spPr>
                    <a:xfrm>
                      <a:off x="0" y="0"/>
                      <a:ext cx="5760085" cy="1956600"/>
                    </a:xfrm>
                    <a:prstGeom prst="rect">
                      <a:avLst/>
                    </a:prstGeom>
                  </pic:spPr>
                </pic:pic>
              </a:graphicData>
            </a:graphic>
          </wp:inline>
        </w:drawing>
      </w:r>
    </w:p>
    <w:p>
      <w:pPr>
        <w:pStyle w:val="20"/>
        <w:rPr>
          <w:rFonts w:hAnsi="宋体" w:eastAsia="宋体" w:cs="Times New Roman"/>
          <w:b/>
          <w:color w:val="000000"/>
          <w:sz w:val="24"/>
          <w:szCs w:val="24"/>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altName w:val="仿宋_GB2312"/>
    <w:panose1 w:val="02000000000000000000"/>
    <w:charset w:val="86"/>
    <w:family w:val="script"/>
    <w:pitch w:val="default"/>
    <w:sig w:usb0="00000000" w:usb1="00000000" w:usb2="00000012" w:usb3="00000000" w:csb0="00040001"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94</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97</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98</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102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102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112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112</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118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118</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115</w:t>
                    </w:r>
                    <w:r>
                      <w:rPr>
                        <w:rFonts w:hint="eastAsia"/>
                        <w:sz w:val="18"/>
                      </w:rP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123</w:t>
                    </w:r>
                    <w:r>
                      <w:rPr>
                        <w:rFonts w:hint="eastAsia"/>
                        <w:sz w:val="18"/>
                      </w:rP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122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tabs>
        <w:tab w:val="clear" w:pos="4153"/>
      </w:tabs>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76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76</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92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92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77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77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95</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p>
    <w:pPr>
      <w:pStyle w:val="2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p>
    <w:pPr>
      <w:pStyle w:val="2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C9F03E"/>
    <w:multiLevelType w:val="singleLevel"/>
    <w:tmpl w:val="81C9F03E"/>
    <w:lvl w:ilvl="0" w:tentative="0">
      <w:start w:val="1"/>
      <w:numFmt w:val="decimal"/>
      <w:suff w:val="nothing"/>
      <w:lvlText w:val="（%1）"/>
      <w:lvlJc w:val="left"/>
      <w:pPr>
        <w:ind w:left="50"/>
      </w:pPr>
    </w:lvl>
  </w:abstractNum>
  <w:abstractNum w:abstractNumId="1">
    <w:nsid w:val="9687E199"/>
    <w:multiLevelType w:val="singleLevel"/>
    <w:tmpl w:val="9687E199"/>
    <w:lvl w:ilvl="0" w:tentative="0">
      <w:start w:val="1"/>
      <w:numFmt w:val="decimal"/>
      <w:suff w:val="nothing"/>
      <w:lvlText w:val="（%1）"/>
      <w:lvlJc w:val="left"/>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A79A06A8"/>
    <w:multiLevelType w:val="singleLevel"/>
    <w:tmpl w:val="A79A06A8"/>
    <w:lvl w:ilvl="0" w:tentative="0">
      <w:start w:val="1"/>
      <w:numFmt w:val="decimal"/>
      <w:suff w:val="nothing"/>
      <w:lvlText w:val="（%1）"/>
      <w:lvlJc w:val="left"/>
    </w:lvl>
  </w:abstractNum>
  <w:abstractNum w:abstractNumId="4">
    <w:nsid w:val="ADC8AB79"/>
    <w:multiLevelType w:val="singleLevel"/>
    <w:tmpl w:val="ADC8AB79"/>
    <w:lvl w:ilvl="0" w:tentative="0">
      <w:start w:val="1"/>
      <w:numFmt w:val="decimal"/>
      <w:suff w:val="nothing"/>
      <w:lvlText w:val="（%1）"/>
      <w:lvlJc w:val="left"/>
    </w:lvl>
  </w:abstractNum>
  <w:abstractNum w:abstractNumId="5">
    <w:nsid w:val="B316E3AB"/>
    <w:multiLevelType w:val="singleLevel"/>
    <w:tmpl w:val="B316E3AB"/>
    <w:lvl w:ilvl="0" w:tentative="0">
      <w:start w:val="1"/>
      <w:numFmt w:val="decimal"/>
      <w:suff w:val="nothing"/>
      <w:lvlText w:val="（%1）"/>
      <w:lvlJc w:val="left"/>
    </w:lvl>
  </w:abstractNum>
  <w:abstractNum w:abstractNumId="6">
    <w:nsid w:val="B6A5F174"/>
    <w:multiLevelType w:val="singleLevel"/>
    <w:tmpl w:val="B6A5F174"/>
    <w:lvl w:ilvl="0" w:tentative="0">
      <w:start w:val="1"/>
      <w:numFmt w:val="decimal"/>
      <w:suff w:val="nothing"/>
      <w:lvlText w:val="（%1）"/>
      <w:lvlJc w:val="left"/>
      <w:pPr>
        <w:ind w:left="280"/>
      </w:pPr>
    </w:lvl>
  </w:abstractNum>
  <w:abstractNum w:abstractNumId="7">
    <w:nsid w:val="C898C2AD"/>
    <w:multiLevelType w:val="singleLevel"/>
    <w:tmpl w:val="C898C2AD"/>
    <w:lvl w:ilvl="0" w:tentative="0">
      <w:start w:val="1"/>
      <w:numFmt w:val="decimal"/>
      <w:suff w:val="nothing"/>
      <w:lvlText w:val="（%1）"/>
      <w:lvlJc w:val="left"/>
    </w:lvl>
  </w:abstractNum>
  <w:abstractNum w:abstractNumId="8">
    <w:nsid w:val="C92A89AA"/>
    <w:multiLevelType w:val="singleLevel"/>
    <w:tmpl w:val="C92A89AA"/>
    <w:lvl w:ilvl="0" w:tentative="0">
      <w:start w:val="1"/>
      <w:numFmt w:val="decimal"/>
      <w:suff w:val="nothing"/>
      <w:lvlText w:val="（%1）"/>
      <w:lvlJc w:val="left"/>
    </w:lvl>
  </w:abstractNum>
  <w:abstractNum w:abstractNumId="9">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0">
    <w:nsid w:val="EFE71C0B"/>
    <w:multiLevelType w:val="singleLevel"/>
    <w:tmpl w:val="EFE71C0B"/>
    <w:lvl w:ilvl="0" w:tentative="0">
      <w:start w:val="1"/>
      <w:numFmt w:val="decimal"/>
      <w:suff w:val="nothing"/>
      <w:lvlText w:val="（%1）"/>
      <w:lvlJc w:val="left"/>
      <w:pPr>
        <w:ind w:left="470"/>
      </w:pPr>
    </w:lvl>
  </w:abstractNum>
  <w:abstractNum w:abstractNumId="11">
    <w:nsid w:val="F5990D3C"/>
    <w:multiLevelType w:val="singleLevel"/>
    <w:tmpl w:val="F5990D3C"/>
    <w:lvl w:ilvl="0" w:tentative="0">
      <w:start w:val="4"/>
      <w:numFmt w:val="decimal"/>
      <w:lvlText w:val="%1."/>
      <w:lvlJc w:val="left"/>
      <w:pPr>
        <w:tabs>
          <w:tab w:val="left" w:pos="312"/>
        </w:tabs>
      </w:pPr>
    </w:lvl>
  </w:abstractNum>
  <w:abstractNum w:abstractNumId="12">
    <w:nsid w:val="FC52A02D"/>
    <w:multiLevelType w:val="singleLevel"/>
    <w:tmpl w:val="FC52A02D"/>
    <w:lvl w:ilvl="0" w:tentative="0">
      <w:start w:val="1"/>
      <w:numFmt w:val="decimal"/>
      <w:suff w:val="nothing"/>
      <w:lvlText w:val="（%1）"/>
      <w:lvlJc w:val="left"/>
    </w:lvl>
  </w:abstractNum>
  <w:abstractNum w:abstractNumId="13">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7"/>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15">
    <w:nsid w:val="0A040430"/>
    <w:multiLevelType w:val="singleLevel"/>
    <w:tmpl w:val="0A040430"/>
    <w:lvl w:ilvl="0" w:tentative="0">
      <w:start w:val="1"/>
      <w:numFmt w:val="decimal"/>
      <w:suff w:val="nothing"/>
      <w:lvlText w:val="（%1）"/>
      <w:lvlJc w:val="left"/>
    </w:lvl>
  </w:abstractNum>
  <w:abstractNum w:abstractNumId="16">
    <w:nsid w:val="1B3C64B6"/>
    <w:multiLevelType w:val="singleLevel"/>
    <w:tmpl w:val="1B3C64B6"/>
    <w:lvl w:ilvl="0" w:tentative="0">
      <w:start w:val="1"/>
      <w:numFmt w:val="decimal"/>
      <w:suff w:val="nothing"/>
      <w:lvlText w:val="（%1）"/>
      <w:lvlJc w:val="left"/>
    </w:lvl>
  </w:abstractNum>
  <w:abstractNum w:abstractNumId="17">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8">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9">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20">
    <w:nsid w:val="353D83C5"/>
    <w:multiLevelType w:val="singleLevel"/>
    <w:tmpl w:val="353D83C5"/>
    <w:lvl w:ilvl="0" w:tentative="0">
      <w:start w:val="1"/>
      <w:numFmt w:val="decimal"/>
      <w:suff w:val="nothing"/>
      <w:lvlText w:val="（%1）"/>
      <w:lvlJc w:val="left"/>
      <w:pPr>
        <w:ind w:left="-100"/>
      </w:pPr>
    </w:lvl>
  </w:abstractNum>
  <w:abstractNum w:abstractNumId="2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22">
    <w:nsid w:val="6E8C6948"/>
    <w:multiLevelType w:val="singleLevel"/>
    <w:tmpl w:val="6E8C6948"/>
    <w:lvl w:ilvl="0" w:tentative="0">
      <w:start w:val="1"/>
      <w:numFmt w:val="chineseCounting"/>
      <w:suff w:val="space"/>
      <w:lvlText w:val="第%1部分"/>
      <w:lvlJc w:val="left"/>
      <w:rPr>
        <w:rFonts w:hint="eastAsia"/>
      </w:rPr>
    </w:lvl>
  </w:abstractNum>
  <w:abstractNum w:abstractNumId="23">
    <w:nsid w:val="7A612DE2"/>
    <w:multiLevelType w:val="multilevel"/>
    <w:tmpl w:val="7A612DE2"/>
    <w:lvl w:ilvl="0" w:tentative="0">
      <w:start w:val="2"/>
      <w:numFmt w:val="decimal"/>
      <w:lvlText w:val="%1."/>
      <w:lvlJc w:val="left"/>
      <w:pPr>
        <w:tabs>
          <w:tab w:val="left" w:pos="312"/>
        </w:tabs>
      </w:pPr>
    </w:lvl>
    <w:lvl w:ilvl="1" w:tentative="0">
      <w:start w:val="2"/>
      <w:numFmt w:val="decimal"/>
      <w:isLgl/>
      <w:lvlText w:val="%1.%2"/>
      <w:lvlJc w:val="left"/>
      <w:pPr>
        <w:ind w:left="968" w:hanging="720"/>
      </w:pPr>
      <w:rPr>
        <w:rFonts w:hint="default"/>
      </w:rPr>
    </w:lvl>
    <w:lvl w:ilvl="2" w:tentative="0">
      <w:start w:val="2"/>
      <w:numFmt w:val="decimal"/>
      <w:isLgl/>
      <w:lvlText w:val="%1.%2.%3"/>
      <w:lvlJc w:val="left"/>
      <w:pPr>
        <w:ind w:left="1216" w:hanging="720"/>
      </w:pPr>
      <w:rPr>
        <w:rFonts w:hint="default"/>
      </w:rPr>
    </w:lvl>
    <w:lvl w:ilvl="3" w:tentative="0">
      <w:start w:val="1"/>
      <w:numFmt w:val="decimal"/>
      <w:isLgl/>
      <w:lvlText w:val="%1.%2.%3.%4"/>
      <w:lvlJc w:val="left"/>
      <w:pPr>
        <w:ind w:left="1824" w:hanging="1080"/>
      </w:pPr>
      <w:rPr>
        <w:rFonts w:hint="default"/>
      </w:rPr>
    </w:lvl>
    <w:lvl w:ilvl="4" w:tentative="0">
      <w:start w:val="1"/>
      <w:numFmt w:val="decimal"/>
      <w:isLgl/>
      <w:lvlText w:val="%1.%2.%3.%4.%5"/>
      <w:lvlJc w:val="left"/>
      <w:pPr>
        <w:ind w:left="2072" w:hanging="1080"/>
      </w:pPr>
      <w:rPr>
        <w:rFonts w:hint="default"/>
      </w:rPr>
    </w:lvl>
    <w:lvl w:ilvl="5" w:tentative="0">
      <w:start w:val="1"/>
      <w:numFmt w:val="decimal"/>
      <w:isLgl/>
      <w:lvlText w:val="%1.%2.%3.%4.%5.%6"/>
      <w:lvlJc w:val="left"/>
      <w:pPr>
        <w:ind w:left="2680" w:hanging="1440"/>
      </w:pPr>
      <w:rPr>
        <w:rFonts w:hint="default"/>
      </w:rPr>
    </w:lvl>
    <w:lvl w:ilvl="6" w:tentative="0">
      <w:start w:val="1"/>
      <w:numFmt w:val="decimal"/>
      <w:isLgl/>
      <w:lvlText w:val="%1.%2.%3.%4.%5.%6.%7"/>
      <w:lvlJc w:val="left"/>
      <w:pPr>
        <w:ind w:left="3288" w:hanging="1800"/>
      </w:pPr>
      <w:rPr>
        <w:rFonts w:hint="default"/>
      </w:rPr>
    </w:lvl>
    <w:lvl w:ilvl="7" w:tentative="0">
      <w:start w:val="1"/>
      <w:numFmt w:val="decimal"/>
      <w:isLgl/>
      <w:lvlText w:val="%1.%2.%3.%4.%5.%6.%7.%8"/>
      <w:lvlJc w:val="left"/>
      <w:pPr>
        <w:ind w:left="3536" w:hanging="1800"/>
      </w:pPr>
      <w:rPr>
        <w:rFonts w:hint="default"/>
      </w:rPr>
    </w:lvl>
    <w:lvl w:ilvl="8" w:tentative="0">
      <w:start w:val="1"/>
      <w:numFmt w:val="decimal"/>
      <w:isLgl/>
      <w:lvlText w:val="%1.%2.%3.%4.%5.%6.%7.%8.%9"/>
      <w:lvlJc w:val="left"/>
      <w:pPr>
        <w:ind w:left="4144" w:hanging="2160"/>
      </w:pPr>
      <w:rPr>
        <w:rFonts w:hint="default"/>
      </w:rPr>
    </w:lvl>
  </w:abstractNum>
  <w:num w:numId="1">
    <w:abstractNumId w:val="13"/>
  </w:num>
  <w:num w:numId="2">
    <w:abstractNumId w:val="22"/>
  </w:num>
  <w:num w:numId="3">
    <w:abstractNumId w:val="2"/>
  </w:num>
  <w:num w:numId="4">
    <w:abstractNumId w:val="23"/>
  </w:num>
  <w:num w:numId="5">
    <w:abstractNumId w:val="18"/>
  </w:num>
  <w:num w:numId="6">
    <w:abstractNumId w:val="14"/>
  </w:num>
  <w:num w:numId="7">
    <w:abstractNumId w:val="21"/>
  </w:num>
  <w:num w:numId="8">
    <w:abstractNumId w:val="9"/>
  </w:num>
  <w:num w:numId="9">
    <w:abstractNumId w:val="19"/>
  </w:num>
  <w:num w:numId="10">
    <w:abstractNumId w:val="17"/>
  </w:num>
  <w:num w:numId="11">
    <w:abstractNumId w:val="5"/>
  </w:num>
  <w:num w:numId="12">
    <w:abstractNumId w:val="20"/>
  </w:num>
  <w:num w:numId="13">
    <w:abstractNumId w:val="4"/>
  </w:num>
  <w:num w:numId="14">
    <w:abstractNumId w:val="15"/>
  </w:num>
  <w:num w:numId="15">
    <w:abstractNumId w:val="16"/>
  </w:num>
  <w:num w:numId="16">
    <w:abstractNumId w:val="8"/>
  </w:num>
  <w:num w:numId="17">
    <w:abstractNumId w:val="1"/>
  </w:num>
  <w:num w:numId="18">
    <w:abstractNumId w:val="3"/>
  </w:num>
  <w:num w:numId="19">
    <w:abstractNumId w:val="7"/>
  </w:num>
  <w:num w:numId="20">
    <w:abstractNumId w:val="12"/>
  </w:num>
  <w:num w:numId="21">
    <w:abstractNumId w:val="6"/>
  </w:num>
  <w:num w:numId="22">
    <w:abstractNumId w:val="10"/>
  </w:num>
  <w:num w:numId="23">
    <w:abstractNumId w:val="11"/>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Q3NDBiOTE5MWFhNDhlNzQ4ZTljYjc5NDk3YzlmMDcifQ=="/>
    <w:docVar w:name="KSO_WPS_MARK_KEY" w:val="288773bf-0df4-413a-9f38-c1906dd68f40"/>
  </w:docVars>
  <w:rsids>
    <w:rsidRoot w:val="0056018A"/>
    <w:rsid w:val="000072CC"/>
    <w:rsid w:val="000139F5"/>
    <w:rsid w:val="00022B06"/>
    <w:rsid w:val="00036836"/>
    <w:rsid w:val="0005777A"/>
    <w:rsid w:val="00065382"/>
    <w:rsid w:val="00080223"/>
    <w:rsid w:val="000831B8"/>
    <w:rsid w:val="000A5309"/>
    <w:rsid w:val="000C3B89"/>
    <w:rsid w:val="000D1E49"/>
    <w:rsid w:val="000D6A51"/>
    <w:rsid w:val="000D7511"/>
    <w:rsid w:val="000E7715"/>
    <w:rsid w:val="000F45A3"/>
    <w:rsid w:val="00112164"/>
    <w:rsid w:val="00151749"/>
    <w:rsid w:val="00152503"/>
    <w:rsid w:val="001558C9"/>
    <w:rsid w:val="00160D3B"/>
    <w:rsid w:val="00185110"/>
    <w:rsid w:val="001A658B"/>
    <w:rsid w:val="001C1EE3"/>
    <w:rsid w:val="001C713C"/>
    <w:rsid w:val="001D75B9"/>
    <w:rsid w:val="00200F05"/>
    <w:rsid w:val="00220056"/>
    <w:rsid w:val="00244E74"/>
    <w:rsid w:val="002626ED"/>
    <w:rsid w:val="0026389B"/>
    <w:rsid w:val="00265A40"/>
    <w:rsid w:val="002757DD"/>
    <w:rsid w:val="00280E8F"/>
    <w:rsid w:val="00282FDE"/>
    <w:rsid w:val="0029130A"/>
    <w:rsid w:val="003A4540"/>
    <w:rsid w:val="003B2CD0"/>
    <w:rsid w:val="003B4D7D"/>
    <w:rsid w:val="003E0293"/>
    <w:rsid w:val="003E0AB3"/>
    <w:rsid w:val="00401C42"/>
    <w:rsid w:val="004076DE"/>
    <w:rsid w:val="004562EA"/>
    <w:rsid w:val="00460AFB"/>
    <w:rsid w:val="00470130"/>
    <w:rsid w:val="004800DF"/>
    <w:rsid w:val="00483B0A"/>
    <w:rsid w:val="004B5126"/>
    <w:rsid w:val="004B51C7"/>
    <w:rsid w:val="004D769E"/>
    <w:rsid w:val="004F6E47"/>
    <w:rsid w:val="004F7838"/>
    <w:rsid w:val="00503391"/>
    <w:rsid w:val="00552960"/>
    <w:rsid w:val="0056018A"/>
    <w:rsid w:val="00567344"/>
    <w:rsid w:val="005829DC"/>
    <w:rsid w:val="00597364"/>
    <w:rsid w:val="005A23AF"/>
    <w:rsid w:val="005C0B4E"/>
    <w:rsid w:val="005C421F"/>
    <w:rsid w:val="005C4D37"/>
    <w:rsid w:val="005F16F0"/>
    <w:rsid w:val="0065185D"/>
    <w:rsid w:val="00680629"/>
    <w:rsid w:val="00686C52"/>
    <w:rsid w:val="006A4437"/>
    <w:rsid w:val="006D4A99"/>
    <w:rsid w:val="006F1414"/>
    <w:rsid w:val="00720691"/>
    <w:rsid w:val="007432BF"/>
    <w:rsid w:val="007525BF"/>
    <w:rsid w:val="007800DC"/>
    <w:rsid w:val="007838AA"/>
    <w:rsid w:val="00783D5E"/>
    <w:rsid w:val="00785FD6"/>
    <w:rsid w:val="007B212D"/>
    <w:rsid w:val="007B221D"/>
    <w:rsid w:val="007B5A72"/>
    <w:rsid w:val="00806A61"/>
    <w:rsid w:val="00824BFD"/>
    <w:rsid w:val="00836FBE"/>
    <w:rsid w:val="00837685"/>
    <w:rsid w:val="008453B3"/>
    <w:rsid w:val="008D13BD"/>
    <w:rsid w:val="008D3B56"/>
    <w:rsid w:val="008D5CEF"/>
    <w:rsid w:val="008E0C60"/>
    <w:rsid w:val="008E7E61"/>
    <w:rsid w:val="008F19E5"/>
    <w:rsid w:val="009360F9"/>
    <w:rsid w:val="0096296D"/>
    <w:rsid w:val="00964F00"/>
    <w:rsid w:val="009B511E"/>
    <w:rsid w:val="009C21D8"/>
    <w:rsid w:val="009C280F"/>
    <w:rsid w:val="009E0F5E"/>
    <w:rsid w:val="00A061D8"/>
    <w:rsid w:val="00A071A6"/>
    <w:rsid w:val="00A21EB2"/>
    <w:rsid w:val="00A31561"/>
    <w:rsid w:val="00A336E5"/>
    <w:rsid w:val="00A54E95"/>
    <w:rsid w:val="00A65CBC"/>
    <w:rsid w:val="00A75D4C"/>
    <w:rsid w:val="00A80564"/>
    <w:rsid w:val="00A960B2"/>
    <w:rsid w:val="00AC2AAA"/>
    <w:rsid w:val="00AE6633"/>
    <w:rsid w:val="00B01FF1"/>
    <w:rsid w:val="00B25C82"/>
    <w:rsid w:val="00B72516"/>
    <w:rsid w:val="00B92C97"/>
    <w:rsid w:val="00BA3C70"/>
    <w:rsid w:val="00BB4E42"/>
    <w:rsid w:val="00BE11D9"/>
    <w:rsid w:val="00BE40E2"/>
    <w:rsid w:val="00BF0E19"/>
    <w:rsid w:val="00BF1A96"/>
    <w:rsid w:val="00C01073"/>
    <w:rsid w:val="00C01194"/>
    <w:rsid w:val="00C855F6"/>
    <w:rsid w:val="00C92F53"/>
    <w:rsid w:val="00CA4714"/>
    <w:rsid w:val="00CD3536"/>
    <w:rsid w:val="00CD5223"/>
    <w:rsid w:val="00CE5010"/>
    <w:rsid w:val="00CE6E17"/>
    <w:rsid w:val="00D0528A"/>
    <w:rsid w:val="00D078B0"/>
    <w:rsid w:val="00D11B37"/>
    <w:rsid w:val="00D14DFC"/>
    <w:rsid w:val="00D408EF"/>
    <w:rsid w:val="00D5145C"/>
    <w:rsid w:val="00D64DAE"/>
    <w:rsid w:val="00D729A1"/>
    <w:rsid w:val="00D91E71"/>
    <w:rsid w:val="00DB3FB4"/>
    <w:rsid w:val="00DB5225"/>
    <w:rsid w:val="00DD1E5E"/>
    <w:rsid w:val="00DE6417"/>
    <w:rsid w:val="00E16182"/>
    <w:rsid w:val="00E1627A"/>
    <w:rsid w:val="00E34C35"/>
    <w:rsid w:val="00E45DD7"/>
    <w:rsid w:val="00E650A8"/>
    <w:rsid w:val="00E728AA"/>
    <w:rsid w:val="00E8160A"/>
    <w:rsid w:val="00E878B4"/>
    <w:rsid w:val="00E971C3"/>
    <w:rsid w:val="00EA7A1E"/>
    <w:rsid w:val="00EB3D00"/>
    <w:rsid w:val="00F44734"/>
    <w:rsid w:val="00F64C53"/>
    <w:rsid w:val="00F706D8"/>
    <w:rsid w:val="00F71720"/>
    <w:rsid w:val="00F80469"/>
    <w:rsid w:val="00F95F78"/>
    <w:rsid w:val="00FA3D6D"/>
    <w:rsid w:val="00FD4BAF"/>
    <w:rsid w:val="00FE040F"/>
    <w:rsid w:val="00FE42B3"/>
    <w:rsid w:val="00FF64CE"/>
    <w:rsid w:val="01066A48"/>
    <w:rsid w:val="014832F2"/>
    <w:rsid w:val="014D51C1"/>
    <w:rsid w:val="01714809"/>
    <w:rsid w:val="017B1E7D"/>
    <w:rsid w:val="01A916C8"/>
    <w:rsid w:val="01BA49AC"/>
    <w:rsid w:val="01C52478"/>
    <w:rsid w:val="020621B4"/>
    <w:rsid w:val="02235B0E"/>
    <w:rsid w:val="025C7FF6"/>
    <w:rsid w:val="027408EE"/>
    <w:rsid w:val="027F4D04"/>
    <w:rsid w:val="02863634"/>
    <w:rsid w:val="028D6470"/>
    <w:rsid w:val="02963F39"/>
    <w:rsid w:val="02990FD0"/>
    <w:rsid w:val="02A62A31"/>
    <w:rsid w:val="02B3095A"/>
    <w:rsid w:val="02BA7274"/>
    <w:rsid w:val="02C32E43"/>
    <w:rsid w:val="02E61E15"/>
    <w:rsid w:val="03251978"/>
    <w:rsid w:val="0325718A"/>
    <w:rsid w:val="03C73C40"/>
    <w:rsid w:val="040F20B8"/>
    <w:rsid w:val="042921B6"/>
    <w:rsid w:val="043B72BB"/>
    <w:rsid w:val="04461EC1"/>
    <w:rsid w:val="04504B3F"/>
    <w:rsid w:val="04915503"/>
    <w:rsid w:val="04AD02B8"/>
    <w:rsid w:val="04DE51C8"/>
    <w:rsid w:val="04DF17D4"/>
    <w:rsid w:val="050B287F"/>
    <w:rsid w:val="05412745"/>
    <w:rsid w:val="05491761"/>
    <w:rsid w:val="055B626D"/>
    <w:rsid w:val="055C1AD8"/>
    <w:rsid w:val="05A351AD"/>
    <w:rsid w:val="05B52F3E"/>
    <w:rsid w:val="05D4629F"/>
    <w:rsid w:val="05E34791"/>
    <w:rsid w:val="05F9748A"/>
    <w:rsid w:val="061500F8"/>
    <w:rsid w:val="0616597F"/>
    <w:rsid w:val="06175CC5"/>
    <w:rsid w:val="06266F78"/>
    <w:rsid w:val="063E7B7A"/>
    <w:rsid w:val="06582413"/>
    <w:rsid w:val="067E33B8"/>
    <w:rsid w:val="069269C0"/>
    <w:rsid w:val="06C510AB"/>
    <w:rsid w:val="06E82FCB"/>
    <w:rsid w:val="06EF5F68"/>
    <w:rsid w:val="06F34B95"/>
    <w:rsid w:val="07571DAC"/>
    <w:rsid w:val="0799252D"/>
    <w:rsid w:val="084859A3"/>
    <w:rsid w:val="08534C69"/>
    <w:rsid w:val="087010E6"/>
    <w:rsid w:val="08913342"/>
    <w:rsid w:val="08B15698"/>
    <w:rsid w:val="08DD171B"/>
    <w:rsid w:val="08E64121"/>
    <w:rsid w:val="08EA7CC0"/>
    <w:rsid w:val="08F1475B"/>
    <w:rsid w:val="090D588C"/>
    <w:rsid w:val="09272E13"/>
    <w:rsid w:val="0942017F"/>
    <w:rsid w:val="096F5AD2"/>
    <w:rsid w:val="09773E97"/>
    <w:rsid w:val="097B210D"/>
    <w:rsid w:val="09BA1FBB"/>
    <w:rsid w:val="09CB139F"/>
    <w:rsid w:val="09D467AF"/>
    <w:rsid w:val="09E15AC5"/>
    <w:rsid w:val="0A0106F5"/>
    <w:rsid w:val="0A112AB7"/>
    <w:rsid w:val="0A464A42"/>
    <w:rsid w:val="0A4E5482"/>
    <w:rsid w:val="0A8A06EA"/>
    <w:rsid w:val="0A8F7AAE"/>
    <w:rsid w:val="0AAA504A"/>
    <w:rsid w:val="0AD71BC7"/>
    <w:rsid w:val="0AD81790"/>
    <w:rsid w:val="0AF420EB"/>
    <w:rsid w:val="0B043FF8"/>
    <w:rsid w:val="0B2B2BF5"/>
    <w:rsid w:val="0B2F3908"/>
    <w:rsid w:val="0B3F6206"/>
    <w:rsid w:val="0B6D6042"/>
    <w:rsid w:val="0B6E15DE"/>
    <w:rsid w:val="0B856175"/>
    <w:rsid w:val="0BC6115D"/>
    <w:rsid w:val="0BE12DB6"/>
    <w:rsid w:val="0BFC6504"/>
    <w:rsid w:val="0C345AD1"/>
    <w:rsid w:val="0C411215"/>
    <w:rsid w:val="0C626CE4"/>
    <w:rsid w:val="0C6841EA"/>
    <w:rsid w:val="0CA041F5"/>
    <w:rsid w:val="0CB06B5C"/>
    <w:rsid w:val="0D0C2B7B"/>
    <w:rsid w:val="0D160588"/>
    <w:rsid w:val="0D360CAA"/>
    <w:rsid w:val="0D594485"/>
    <w:rsid w:val="0D5F6D00"/>
    <w:rsid w:val="0D714A1C"/>
    <w:rsid w:val="0D750EA4"/>
    <w:rsid w:val="0D766925"/>
    <w:rsid w:val="0D9308F8"/>
    <w:rsid w:val="0DC068FF"/>
    <w:rsid w:val="0DDF4281"/>
    <w:rsid w:val="0DE76C3D"/>
    <w:rsid w:val="0E1A1D85"/>
    <w:rsid w:val="0E5139F9"/>
    <w:rsid w:val="0E750568"/>
    <w:rsid w:val="0E9C3C97"/>
    <w:rsid w:val="0ECC3B3B"/>
    <w:rsid w:val="0F072309"/>
    <w:rsid w:val="0F161204"/>
    <w:rsid w:val="0F2D7A80"/>
    <w:rsid w:val="0F4277E5"/>
    <w:rsid w:val="0F4C5227"/>
    <w:rsid w:val="0F596ABB"/>
    <w:rsid w:val="0F684B57"/>
    <w:rsid w:val="0FA75561"/>
    <w:rsid w:val="0FB83603"/>
    <w:rsid w:val="0FCA77F1"/>
    <w:rsid w:val="0FCD5DCC"/>
    <w:rsid w:val="0FDB0E3A"/>
    <w:rsid w:val="10043197"/>
    <w:rsid w:val="10270545"/>
    <w:rsid w:val="1030763E"/>
    <w:rsid w:val="103409DF"/>
    <w:rsid w:val="103D7CA9"/>
    <w:rsid w:val="1087069D"/>
    <w:rsid w:val="108A1D4B"/>
    <w:rsid w:val="10921F4C"/>
    <w:rsid w:val="10A10111"/>
    <w:rsid w:val="10A17FC7"/>
    <w:rsid w:val="10BE093E"/>
    <w:rsid w:val="10C009C2"/>
    <w:rsid w:val="10E20BD8"/>
    <w:rsid w:val="111B0FE9"/>
    <w:rsid w:val="112C77F4"/>
    <w:rsid w:val="114755AB"/>
    <w:rsid w:val="115F67A8"/>
    <w:rsid w:val="11822C48"/>
    <w:rsid w:val="119604A6"/>
    <w:rsid w:val="119A7465"/>
    <w:rsid w:val="11C07DA5"/>
    <w:rsid w:val="11C2491E"/>
    <w:rsid w:val="11F36B75"/>
    <w:rsid w:val="11FA2CC9"/>
    <w:rsid w:val="120651FA"/>
    <w:rsid w:val="12491386"/>
    <w:rsid w:val="126F08F1"/>
    <w:rsid w:val="12751983"/>
    <w:rsid w:val="12887F77"/>
    <w:rsid w:val="129465AA"/>
    <w:rsid w:val="12AA5F2D"/>
    <w:rsid w:val="12E60579"/>
    <w:rsid w:val="12E66E96"/>
    <w:rsid w:val="12EB0F02"/>
    <w:rsid w:val="12FE6E3A"/>
    <w:rsid w:val="132D4308"/>
    <w:rsid w:val="13695B36"/>
    <w:rsid w:val="136E6DFB"/>
    <w:rsid w:val="1372609F"/>
    <w:rsid w:val="13A50343"/>
    <w:rsid w:val="13D73572"/>
    <w:rsid w:val="14504752"/>
    <w:rsid w:val="14506500"/>
    <w:rsid w:val="145A6A37"/>
    <w:rsid w:val="1467440F"/>
    <w:rsid w:val="148A2BC0"/>
    <w:rsid w:val="153955DC"/>
    <w:rsid w:val="15400323"/>
    <w:rsid w:val="15430492"/>
    <w:rsid w:val="15433A9B"/>
    <w:rsid w:val="15474D46"/>
    <w:rsid w:val="15481005"/>
    <w:rsid w:val="15495527"/>
    <w:rsid w:val="15584512"/>
    <w:rsid w:val="1588053C"/>
    <w:rsid w:val="15A93017"/>
    <w:rsid w:val="15FC2F04"/>
    <w:rsid w:val="16181FAC"/>
    <w:rsid w:val="163C579E"/>
    <w:rsid w:val="16410011"/>
    <w:rsid w:val="16460309"/>
    <w:rsid w:val="164B1DA1"/>
    <w:rsid w:val="16501B6B"/>
    <w:rsid w:val="168756A0"/>
    <w:rsid w:val="16CB7396"/>
    <w:rsid w:val="16D76A65"/>
    <w:rsid w:val="16F94849"/>
    <w:rsid w:val="17045E51"/>
    <w:rsid w:val="170532D4"/>
    <w:rsid w:val="172011D4"/>
    <w:rsid w:val="17252C3B"/>
    <w:rsid w:val="173F0A2E"/>
    <w:rsid w:val="17473D3D"/>
    <w:rsid w:val="17770BC2"/>
    <w:rsid w:val="17787D90"/>
    <w:rsid w:val="17860E2F"/>
    <w:rsid w:val="17A119AA"/>
    <w:rsid w:val="17A1375A"/>
    <w:rsid w:val="17A821AF"/>
    <w:rsid w:val="17D8548B"/>
    <w:rsid w:val="18434EDA"/>
    <w:rsid w:val="18586F2B"/>
    <w:rsid w:val="189D5A8C"/>
    <w:rsid w:val="1921046B"/>
    <w:rsid w:val="19442DF9"/>
    <w:rsid w:val="19873C1D"/>
    <w:rsid w:val="19A766B9"/>
    <w:rsid w:val="19CE76BA"/>
    <w:rsid w:val="19EA4D01"/>
    <w:rsid w:val="19F26070"/>
    <w:rsid w:val="19F97C8B"/>
    <w:rsid w:val="1A1523CE"/>
    <w:rsid w:val="1A6A6939"/>
    <w:rsid w:val="1AA730BD"/>
    <w:rsid w:val="1ABA2925"/>
    <w:rsid w:val="1ADC0AEE"/>
    <w:rsid w:val="1AEB6F83"/>
    <w:rsid w:val="1B207C5E"/>
    <w:rsid w:val="1B333D5D"/>
    <w:rsid w:val="1B460B67"/>
    <w:rsid w:val="1B587618"/>
    <w:rsid w:val="1B5F19C7"/>
    <w:rsid w:val="1B656D35"/>
    <w:rsid w:val="1B823DEE"/>
    <w:rsid w:val="1BD9502D"/>
    <w:rsid w:val="1C1C709B"/>
    <w:rsid w:val="1C4C1DC8"/>
    <w:rsid w:val="1C4F6795"/>
    <w:rsid w:val="1C8C02F2"/>
    <w:rsid w:val="1C9F6814"/>
    <w:rsid w:val="1CCB626F"/>
    <w:rsid w:val="1CF06BAE"/>
    <w:rsid w:val="1D1005CD"/>
    <w:rsid w:val="1D1F0356"/>
    <w:rsid w:val="1D274763"/>
    <w:rsid w:val="1D2E1647"/>
    <w:rsid w:val="1D39247F"/>
    <w:rsid w:val="1D4B5AB7"/>
    <w:rsid w:val="1D5255A7"/>
    <w:rsid w:val="1D5C514E"/>
    <w:rsid w:val="1D865D14"/>
    <w:rsid w:val="1D8705EC"/>
    <w:rsid w:val="1D882867"/>
    <w:rsid w:val="1DB5784A"/>
    <w:rsid w:val="1DD872E4"/>
    <w:rsid w:val="1DEC0E7D"/>
    <w:rsid w:val="1E43150B"/>
    <w:rsid w:val="1E915B74"/>
    <w:rsid w:val="1EA93E80"/>
    <w:rsid w:val="1ECC3908"/>
    <w:rsid w:val="1ED04B7D"/>
    <w:rsid w:val="1ED33FB6"/>
    <w:rsid w:val="1EE81332"/>
    <w:rsid w:val="1F197111"/>
    <w:rsid w:val="1F32415A"/>
    <w:rsid w:val="1F350E8A"/>
    <w:rsid w:val="1F424861"/>
    <w:rsid w:val="1F542F9A"/>
    <w:rsid w:val="1F702632"/>
    <w:rsid w:val="1F792DAF"/>
    <w:rsid w:val="1F7E2174"/>
    <w:rsid w:val="1F896D6A"/>
    <w:rsid w:val="1FD75D28"/>
    <w:rsid w:val="1FDC6454"/>
    <w:rsid w:val="1FE44494"/>
    <w:rsid w:val="1FE63629"/>
    <w:rsid w:val="200222DF"/>
    <w:rsid w:val="20107567"/>
    <w:rsid w:val="2035487C"/>
    <w:rsid w:val="204149A4"/>
    <w:rsid w:val="20653333"/>
    <w:rsid w:val="20916A7C"/>
    <w:rsid w:val="20AB56C6"/>
    <w:rsid w:val="20C52024"/>
    <w:rsid w:val="211A411E"/>
    <w:rsid w:val="21480463"/>
    <w:rsid w:val="214A3F2E"/>
    <w:rsid w:val="21505E37"/>
    <w:rsid w:val="21547789"/>
    <w:rsid w:val="2176507C"/>
    <w:rsid w:val="21B07155"/>
    <w:rsid w:val="21BE35AF"/>
    <w:rsid w:val="21C11174"/>
    <w:rsid w:val="21D3730A"/>
    <w:rsid w:val="21FF35D2"/>
    <w:rsid w:val="22244B28"/>
    <w:rsid w:val="222F3BF9"/>
    <w:rsid w:val="22322BA7"/>
    <w:rsid w:val="22467FD4"/>
    <w:rsid w:val="229451FD"/>
    <w:rsid w:val="22A12DB6"/>
    <w:rsid w:val="22D11FA9"/>
    <w:rsid w:val="23046E34"/>
    <w:rsid w:val="23270BBA"/>
    <w:rsid w:val="235B7191"/>
    <w:rsid w:val="236356D1"/>
    <w:rsid w:val="236B5802"/>
    <w:rsid w:val="23A91C83"/>
    <w:rsid w:val="23B74027"/>
    <w:rsid w:val="23C962E8"/>
    <w:rsid w:val="23EB3B50"/>
    <w:rsid w:val="24561C8D"/>
    <w:rsid w:val="2466767A"/>
    <w:rsid w:val="247E4FED"/>
    <w:rsid w:val="24AA57B9"/>
    <w:rsid w:val="24AD78E0"/>
    <w:rsid w:val="24B30BE8"/>
    <w:rsid w:val="24E34060"/>
    <w:rsid w:val="24EF58C2"/>
    <w:rsid w:val="250F386E"/>
    <w:rsid w:val="253A0491"/>
    <w:rsid w:val="254E0478"/>
    <w:rsid w:val="25B36038"/>
    <w:rsid w:val="25CC3712"/>
    <w:rsid w:val="25E036B2"/>
    <w:rsid w:val="25E9082A"/>
    <w:rsid w:val="25F42473"/>
    <w:rsid w:val="26197F8E"/>
    <w:rsid w:val="26591839"/>
    <w:rsid w:val="26661BB3"/>
    <w:rsid w:val="266876DA"/>
    <w:rsid w:val="269C17B8"/>
    <w:rsid w:val="26AF2D79"/>
    <w:rsid w:val="26B34B91"/>
    <w:rsid w:val="270D66E8"/>
    <w:rsid w:val="27514612"/>
    <w:rsid w:val="275B3E1E"/>
    <w:rsid w:val="276205CD"/>
    <w:rsid w:val="278B0DAB"/>
    <w:rsid w:val="279C6B0E"/>
    <w:rsid w:val="279E140F"/>
    <w:rsid w:val="27A14592"/>
    <w:rsid w:val="27A64735"/>
    <w:rsid w:val="27B0461B"/>
    <w:rsid w:val="27C128C8"/>
    <w:rsid w:val="27CC4DF2"/>
    <w:rsid w:val="27FF492C"/>
    <w:rsid w:val="281864F2"/>
    <w:rsid w:val="282C4F78"/>
    <w:rsid w:val="286903EF"/>
    <w:rsid w:val="287F5DD3"/>
    <w:rsid w:val="288047CB"/>
    <w:rsid w:val="288639EB"/>
    <w:rsid w:val="288F7729"/>
    <w:rsid w:val="289E62FA"/>
    <w:rsid w:val="28D26BD8"/>
    <w:rsid w:val="28D5110C"/>
    <w:rsid w:val="28F33BD2"/>
    <w:rsid w:val="28FD6E90"/>
    <w:rsid w:val="291E2CA6"/>
    <w:rsid w:val="29331862"/>
    <w:rsid w:val="29347D47"/>
    <w:rsid w:val="296341F3"/>
    <w:rsid w:val="2967011C"/>
    <w:rsid w:val="296C128F"/>
    <w:rsid w:val="299741EC"/>
    <w:rsid w:val="299E147F"/>
    <w:rsid w:val="29C32A87"/>
    <w:rsid w:val="29CF26DC"/>
    <w:rsid w:val="29EC595B"/>
    <w:rsid w:val="2A1C5DA0"/>
    <w:rsid w:val="2A200D39"/>
    <w:rsid w:val="2A280AB9"/>
    <w:rsid w:val="2A44220C"/>
    <w:rsid w:val="2A507EFF"/>
    <w:rsid w:val="2A513E7B"/>
    <w:rsid w:val="2A930168"/>
    <w:rsid w:val="2A9D2C76"/>
    <w:rsid w:val="2ACF3C6D"/>
    <w:rsid w:val="2ADC05A4"/>
    <w:rsid w:val="2AEF2177"/>
    <w:rsid w:val="2B436C87"/>
    <w:rsid w:val="2B5D60D4"/>
    <w:rsid w:val="2B665F42"/>
    <w:rsid w:val="2B6678DE"/>
    <w:rsid w:val="2B6F0D7F"/>
    <w:rsid w:val="2B8716BD"/>
    <w:rsid w:val="2B8B76FF"/>
    <w:rsid w:val="2BD5034F"/>
    <w:rsid w:val="2BE05C4E"/>
    <w:rsid w:val="2BE1026D"/>
    <w:rsid w:val="2C043A01"/>
    <w:rsid w:val="2C74287C"/>
    <w:rsid w:val="2C924AE7"/>
    <w:rsid w:val="2CCB09C2"/>
    <w:rsid w:val="2CEE322F"/>
    <w:rsid w:val="2D025012"/>
    <w:rsid w:val="2D19172E"/>
    <w:rsid w:val="2D3B693B"/>
    <w:rsid w:val="2D4178F0"/>
    <w:rsid w:val="2D5147E9"/>
    <w:rsid w:val="2D7711AA"/>
    <w:rsid w:val="2D7D58EB"/>
    <w:rsid w:val="2D9D53E0"/>
    <w:rsid w:val="2DA45D22"/>
    <w:rsid w:val="2DAE631A"/>
    <w:rsid w:val="2DC72229"/>
    <w:rsid w:val="2DD65954"/>
    <w:rsid w:val="2DD877E0"/>
    <w:rsid w:val="2DE616C9"/>
    <w:rsid w:val="2DE801DF"/>
    <w:rsid w:val="2DF16206"/>
    <w:rsid w:val="2DFB7200"/>
    <w:rsid w:val="2DFC2451"/>
    <w:rsid w:val="2E24038A"/>
    <w:rsid w:val="2E3422F8"/>
    <w:rsid w:val="2E3D68D2"/>
    <w:rsid w:val="2E6E566D"/>
    <w:rsid w:val="2E7F188E"/>
    <w:rsid w:val="2E9E448B"/>
    <w:rsid w:val="2E9F1F0C"/>
    <w:rsid w:val="2EA91D49"/>
    <w:rsid w:val="2EBC0905"/>
    <w:rsid w:val="2EC73739"/>
    <w:rsid w:val="2EFB1841"/>
    <w:rsid w:val="2EFB1B0E"/>
    <w:rsid w:val="2F4F58DB"/>
    <w:rsid w:val="2F5561B7"/>
    <w:rsid w:val="2F5C684F"/>
    <w:rsid w:val="2F63756E"/>
    <w:rsid w:val="2F642F4F"/>
    <w:rsid w:val="2F6812EF"/>
    <w:rsid w:val="2F7F157A"/>
    <w:rsid w:val="2F8A538D"/>
    <w:rsid w:val="2F922AC9"/>
    <w:rsid w:val="2F9E0885"/>
    <w:rsid w:val="2FD271D9"/>
    <w:rsid w:val="2FE6553A"/>
    <w:rsid w:val="301729F2"/>
    <w:rsid w:val="302208F9"/>
    <w:rsid w:val="303D4E30"/>
    <w:rsid w:val="30767505"/>
    <w:rsid w:val="307776D1"/>
    <w:rsid w:val="30835193"/>
    <w:rsid w:val="30862574"/>
    <w:rsid w:val="309D1AAC"/>
    <w:rsid w:val="30AD52F3"/>
    <w:rsid w:val="30B631E1"/>
    <w:rsid w:val="30BE7B15"/>
    <w:rsid w:val="30F658E4"/>
    <w:rsid w:val="30FA42EA"/>
    <w:rsid w:val="311933AA"/>
    <w:rsid w:val="31367074"/>
    <w:rsid w:val="31466869"/>
    <w:rsid w:val="314C32D2"/>
    <w:rsid w:val="317D15BB"/>
    <w:rsid w:val="31B3740F"/>
    <w:rsid w:val="31D07E6C"/>
    <w:rsid w:val="31D907BC"/>
    <w:rsid w:val="31E032E3"/>
    <w:rsid w:val="31E05861"/>
    <w:rsid w:val="323F65DA"/>
    <w:rsid w:val="32412074"/>
    <w:rsid w:val="32664E61"/>
    <w:rsid w:val="32691F42"/>
    <w:rsid w:val="32946609"/>
    <w:rsid w:val="32DE0199"/>
    <w:rsid w:val="33136C1F"/>
    <w:rsid w:val="332D3F59"/>
    <w:rsid w:val="333C2963"/>
    <w:rsid w:val="335B2774"/>
    <w:rsid w:val="33A4642E"/>
    <w:rsid w:val="33D4039C"/>
    <w:rsid w:val="33D47E05"/>
    <w:rsid w:val="33DF460E"/>
    <w:rsid w:val="3413677D"/>
    <w:rsid w:val="341B3FDD"/>
    <w:rsid w:val="342B544B"/>
    <w:rsid w:val="344572AC"/>
    <w:rsid w:val="34514D70"/>
    <w:rsid w:val="345E036E"/>
    <w:rsid w:val="34A7571D"/>
    <w:rsid w:val="34C47852"/>
    <w:rsid w:val="34DE1E4F"/>
    <w:rsid w:val="34EB7E53"/>
    <w:rsid w:val="34F07DB1"/>
    <w:rsid w:val="351A24E7"/>
    <w:rsid w:val="3579545F"/>
    <w:rsid w:val="357E6FD1"/>
    <w:rsid w:val="359009FB"/>
    <w:rsid w:val="35AE2C2F"/>
    <w:rsid w:val="35D354B8"/>
    <w:rsid w:val="35D4025C"/>
    <w:rsid w:val="35EB3E83"/>
    <w:rsid w:val="36015455"/>
    <w:rsid w:val="3606412B"/>
    <w:rsid w:val="362666BC"/>
    <w:rsid w:val="36321AB2"/>
    <w:rsid w:val="363646D4"/>
    <w:rsid w:val="3648449C"/>
    <w:rsid w:val="366559E4"/>
    <w:rsid w:val="368A6B11"/>
    <w:rsid w:val="36A45A0A"/>
    <w:rsid w:val="36DD1A1E"/>
    <w:rsid w:val="36ED2AA8"/>
    <w:rsid w:val="36F44712"/>
    <w:rsid w:val="36FD3E6E"/>
    <w:rsid w:val="37085B1F"/>
    <w:rsid w:val="372E04CB"/>
    <w:rsid w:val="38060F79"/>
    <w:rsid w:val="3809382C"/>
    <w:rsid w:val="386817BB"/>
    <w:rsid w:val="38783D6C"/>
    <w:rsid w:val="38E070F2"/>
    <w:rsid w:val="38FA1FA9"/>
    <w:rsid w:val="390D33AB"/>
    <w:rsid w:val="391D25A6"/>
    <w:rsid w:val="391E6D06"/>
    <w:rsid w:val="3951224F"/>
    <w:rsid w:val="39573D9E"/>
    <w:rsid w:val="39904B26"/>
    <w:rsid w:val="39D63AE8"/>
    <w:rsid w:val="3A074847"/>
    <w:rsid w:val="3A085004"/>
    <w:rsid w:val="3A3556CD"/>
    <w:rsid w:val="3A830B2E"/>
    <w:rsid w:val="3A8A5A19"/>
    <w:rsid w:val="3A976242"/>
    <w:rsid w:val="3AA90FE6"/>
    <w:rsid w:val="3AA9318F"/>
    <w:rsid w:val="3AB62DA0"/>
    <w:rsid w:val="3B057828"/>
    <w:rsid w:val="3B0A6E6E"/>
    <w:rsid w:val="3B660234"/>
    <w:rsid w:val="3B693880"/>
    <w:rsid w:val="3B69577B"/>
    <w:rsid w:val="3B702D85"/>
    <w:rsid w:val="3B7D3FD5"/>
    <w:rsid w:val="3B7F4E52"/>
    <w:rsid w:val="3B823DDF"/>
    <w:rsid w:val="3BD827B4"/>
    <w:rsid w:val="3C1D3AA1"/>
    <w:rsid w:val="3C237ED3"/>
    <w:rsid w:val="3C3976F6"/>
    <w:rsid w:val="3C4D2D59"/>
    <w:rsid w:val="3C5C337C"/>
    <w:rsid w:val="3C862210"/>
    <w:rsid w:val="3C872CDC"/>
    <w:rsid w:val="3CA15A29"/>
    <w:rsid w:val="3CAA596A"/>
    <w:rsid w:val="3CAF1D22"/>
    <w:rsid w:val="3CB1587B"/>
    <w:rsid w:val="3CB735F2"/>
    <w:rsid w:val="3D186684"/>
    <w:rsid w:val="3D260E6E"/>
    <w:rsid w:val="3D363C36"/>
    <w:rsid w:val="3D363D7A"/>
    <w:rsid w:val="3D5A6A94"/>
    <w:rsid w:val="3D686B10"/>
    <w:rsid w:val="3D8B2178"/>
    <w:rsid w:val="3D8F4DAA"/>
    <w:rsid w:val="3DAD2ABF"/>
    <w:rsid w:val="3DB34909"/>
    <w:rsid w:val="3DD115F5"/>
    <w:rsid w:val="3DDD580C"/>
    <w:rsid w:val="3DE435F0"/>
    <w:rsid w:val="3DE5122C"/>
    <w:rsid w:val="3DF37E53"/>
    <w:rsid w:val="3DF83E38"/>
    <w:rsid w:val="3E0E37DD"/>
    <w:rsid w:val="3E1471C9"/>
    <w:rsid w:val="3ED26DE9"/>
    <w:rsid w:val="3EED17D0"/>
    <w:rsid w:val="3F0C0304"/>
    <w:rsid w:val="3F774839"/>
    <w:rsid w:val="3FBD02CF"/>
    <w:rsid w:val="3FC71A90"/>
    <w:rsid w:val="3FEC147E"/>
    <w:rsid w:val="3FED7DE8"/>
    <w:rsid w:val="40022F93"/>
    <w:rsid w:val="40051E53"/>
    <w:rsid w:val="40376375"/>
    <w:rsid w:val="403F1086"/>
    <w:rsid w:val="40580367"/>
    <w:rsid w:val="406A45C6"/>
    <w:rsid w:val="4070745F"/>
    <w:rsid w:val="40D36F56"/>
    <w:rsid w:val="411411E7"/>
    <w:rsid w:val="412732B7"/>
    <w:rsid w:val="4127791F"/>
    <w:rsid w:val="41281794"/>
    <w:rsid w:val="413C1FDF"/>
    <w:rsid w:val="41535990"/>
    <w:rsid w:val="417F7CCD"/>
    <w:rsid w:val="41806A69"/>
    <w:rsid w:val="41B0259C"/>
    <w:rsid w:val="41B77686"/>
    <w:rsid w:val="41BC6F1C"/>
    <w:rsid w:val="41CC6917"/>
    <w:rsid w:val="41EF2363"/>
    <w:rsid w:val="41F77860"/>
    <w:rsid w:val="424234C2"/>
    <w:rsid w:val="424A4B98"/>
    <w:rsid w:val="42581D3A"/>
    <w:rsid w:val="42642D59"/>
    <w:rsid w:val="42833F2C"/>
    <w:rsid w:val="42870A90"/>
    <w:rsid w:val="428E23A1"/>
    <w:rsid w:val="42ED2EA4"/>
    <w:rsid w:val="42F609E7"/>
    <w:rsid w:val="42F6649D"/>
    <w:rsid w:val="42FE0080"/>
    <w:rsid w:val="43315D2E"/>
    <w:rsid w:val="434F5A51"/>
    <w:rsid w:val="43670C99"/>
    <w:rsid w:val="437E1E93"/>
    <w:rsid w:val="43824A1C"/>
    <w:rsid w:val="43D110E1"/>
    <w:rsid w:val="43E873C9"/>
    <w:rsid w:val="43E97C54"/>
    <w:rsid w:val="43F25407"/>
    <w:rsid w:val="43F61306"/>
    <w:rsid w:val="441575BD"/>
    <w:rsid w:val="446F27D2"/>
    <w:rsid w:val="44905B1F"/>
    <w:rsid w:val="44996E9A"/>
    <w:rsid w:val="44BA514C"/>
    <w:rsid w:val="44C662ED"/>
    <w:rsid w:val="44D501D8"/>
    <w:rsid w:val="45056C1E"/>
    <w:rsid w:val="45316885"/>
    <w:rsid w:val="45433394"/>
    <w:rsid w:val="45927E77"/>
    <w:rsid w:val="45A95EE9"/>
    <w:rsid w:val="45DA52A8"/>
    <w:rsid w:val="45FB0F21"/>
    <w:rsid w:val="46167166"/>
    <w:rsid w:val="46174EF7"/>
    <w:rsid w:val="46250CEB"/>
    <w:rsid w:val="4636719A"/>
    <w:rsid w:val="46530D8D"/>
    <w:rsid w:val="465859F2"/>
    <w:rsid w:val="46E12E64"/>
    <w:rsid w:val="470152B5"/>
    <w:rsid w:val="47134FE8"/>
    <w:rsid w:val="47200EE3"/>
    <w:rsid w:val="47412E58"/>
    <w:rsid w:val="474358CD"/>
    <w:rsid w:val="47435AC2"/>
    <w:rsid w:val="47544B78"/>
    <w:rsid w:val="47587AF7"/>
    <w:rsid w:val="47745A86"/>
    <w:rsid w:val="47886D63"/>
    <w:rsid w:val="47A619B8"/>
    <w:rsid w:val="47CD0723"/>
    <w:rsid w:val="47E239AC"/>
    <w:rsid w:val="480212E4"/>
    <w:rsid w:val="480F4B73"/>
    <w:rsid w:val="487974BD"/>
    <w:rsid w:val="48897310"/>
    <w:rsid w:val="489839F7"/>
    <w:rsid w:val="48AE506D"/>
    <w:rsid w:val="48DB38E3"/>
    <w:rsid w:val="49001B5E"/>
    <w:rsid w:val="49153920"/>
    <w:rsid w:val="492E5634"/>
    <w:rsid w:val="49357497"/>
    <w:rsid w:val="49376DB0"/>
    <w:rsid w:val="494B3812"/>
    <w:rsid w:val="49804BB7"/>
    <w:rsid w:val="49826DCB"/>
    <w:rsid w:val="498F0BBB"/>
    <w:rsid w:val="499013E7"/>
    <w:rsid w:val="49A22843"/>
    <w:rsid w:val="49A55F90"/>
    <w:rsid w:val="49BF5F7A"/>
    <w:rsid w:val="49C8088A"/>
    <w:rsid w:val="4A0F6D68"/>
    <w:rsid w:val="4A1B6E64"/>
    <w:rsid w:val="4A233384"/>
    <w:rsid w:val="4A301C93"/>
    <w:rsid w:val="4A3302AB"/>
    <w:rsid w:val="4A572A17"/>
    <w:rsid w:val="4A6F2535"/>
    <w:rsid w:val="4AAD2B10"/>
    <w:rsid w:val="4ABE526B"/>
    <w:rsid w:val="4AC85D49"/>
    <w:rsid w:val="4AE308A9"/>
    <w:rsid w:val="4B260F2D"/>
    <w:rsid w:val="4B9049B6"/>
    <w:rsid w:val="4B9A1456"/>
    <w:rsid w:val="4BA32C82"/>
    <w:rsid w:val="4BD134C2"/>
    <w:rsid w:val="4BE33543"/>
    <w:rsid w:val="4BE70627"/>
    <w:rsid w:val="4BF40CCA"/>
    <w:rsid w:val="4C003D8D"/>
    <w:rsid w:val="4C0A5AE1"/>
    <w:rsid w:val="4C130AB8"/>
    <w:rsid w:val="4C22078E"/>
    <w:rsid w:val="4C5A284D"/>
    <w:rsid w:val="4C5C0673"/>
    <w:rsid w:val="4C9A533B"/>
    <w:rsid w:val="4CA50490"/>
    <w:rsid w:val="4CB90480"/>
    <w:rsid w:val="4CB96B43"/>
    <w:rsid w:val="4CC75FCC"/>
    <w:rsid w:val="4CC87A5E"/>
    <w:rsid w:val="4CD63947"/>
    <w:rsid w:val="4CDD70A9"/>
    <w:rsid w:val="4CF957AB"/>
    <w:rsid w:val="4CFC49F4"/>
    <w:rsid w:val="4D073D73"/>
    <w:rsid w:val="4D1E27BA"/>
    <w:rsid w:val="4D23574A"/>
    <w:rsid w:val="4D4C4DB0"/>
    <w:rsid w:val="4D534C27"/>
    <w:rsid w:val="4D7322D5"/>
    <w:rsid w:val="4D924EB8"/>
    <w:rsid w:val="4DD7034C"/>
    <w:rsid w:val="4DE312CB"/>
    <w:rsid w:val="4DE66FB2"/>
    <w:rsid w:val="4DF5318E"/>
    <w:rsid w:val="4E1F4862"/>
    <w:rsid w:val="4E2A14DC"/>
    <w:rsid w:val="4E2E4393"/>
    <w:rsid w:val="4E535EF2"/>
    <w:rsid w:val="4E8B1E34"/>
    <w:rsid w:val="4E9E55D0"/>
    <w:rsid w:val="4EC12742"/>
    <w:rsid w:val="4EC12B91"/>
    <w:rsid w:val="4F08773C"/>
    <w:rsid w:val="4F102B4E"/>
    <w:rsid w:val="4F120FBB"/>
    <w:rsid w:val="4F31409F"/>
    <w:rsid w:val="4F4D386C"/>
    <w:rsid w:val="4F5955B2"/>
    <w:rsid w:val="4F5E670E"/>
    <w:rsid w:val="4F846A83"/>
    <w:rsid w:val="4F89218B"/>
    <w:rsid w:val="4F9B5B7A"/>
    <w:rsid w:val="50070E2C"/>
    <w:rsid w:val="501112F3"/>
    <w:rsid w:val="502A594E"/>
    <w:rsid w:val="504B57F2"/>
    <w:rsid w:val="50C5433A"/>
    <w:rsid w:val="50C62BC7"/>
    <w:rsid w:val="50ED7854"/>
    <w:rsid w:val="50F72A66"/>
    <w:rsid w:val="5123368C"/>
    <w:rsid w:val="5130747C"/>
    <w:rsid w:val="515C765A"/>
    <w:rsid w:val="51600E2A"/>
    <w:rsid w:val="51905BB3"/>
    <w:rsid w:val="51946FCB"/>
    <w:rsid w:val="519961FC"/>
    <w:rsid w:val="51DA6E2E"/>
    <w:rsid w:val="51DD796B"/>
    <w:rsid w:val="51DF373B"/>
    <w:rsid w:val="51E33A58"/>
    <w:rsid w:val="51F83C2D"/>
    <w:rsid w:val="525B7A2A"/>
    <w:rsid w:val="5288688A"/>
    <w:rsid w:val="52C113F5"/>
    <w:rsid w:val="52EF4CB5"/>
    <w:rsid w:val="52F959F0"/>
    <w:rsid w:val="5302488E"/>
    <w:rsid w:val="53136173"/>
    <w:rsid w:val="53195734"/>
    <w:rsid w:val="534B12B7"/>
    <w:rsid w:val="539A4AC7"/>
    <w:rsid w:val="53E42C65"/>
    <w:rsid w:val="53F058C2"/>
    <w:rsid w:val="5420228D"/>
    <w:rsid w:val="542631B6"/>
    <w:rsid w:val="542C5727"/>
    <w:rsid w:val="5447483C"/>
    <w:rsid w:val="546E7D01"/>
    <w:rsid w:val="5474625A"/>
    <w:rsid w:val="54942CAE"/>
    <w:rsid w:val="54A61722"/>
    <w:rsid w:val="54B31FAF"/>
    <w:rsid w:val="54C211D8"/>
    <w:rsid w:val="54C46781"/>
    <w:rsid w:val="54DA0EF3"/>
    <w:rsid w:val="54E02C4C"/>
    <w:rsid w:val="54E97446"/>
    <w:rsid w:val="551F3E29"/>
    <w:rsid w:val="55326D63"/>
    <w:rsid w:val="555C4076"/>
    <w:rsid w:val="555D1A10"/>
    <w:rsid w:val="558B620B"/>
    <w:rsid w:val="55CD6C38"/>
    <w:rsid w:val="55EA6982"/>
    <w:rsid w:val="56193B07"/>
    <w:rsid w:val="56394926"/>
    <w:rsid w:val="565607A7"/>
    <w:rsid w:val="565D1DDC"/>
    <w:rsid w:val="56910414"/>
    <w:rsid w:val="56AC4A78"/>
    <w:rsid w:val="56DB16B9"/>
    <w:rsid w:val="577A3463"/>
    <w:rsid w:val="57833AC4"/>
    <w:rsid w:val="57F967AD"/>
    <w:rsid w:val="58052975"/>
    <w:rsid w:val="584374FA"/>
    <w:rsid w:val="584D1A65"/>
    <w:rsid w:val="584F5C44"/>
    <w:rsid w:val="58504D6C"/>
    <w:rsid w:val="587A4C9C"/>
    <w:rsid w:val="58831E2A"/>
    <w:rsid w:val="58BD1CA3"/>
    <w:rsid w:val="58CB5722"/>
    <w:rsid w:val="58D04AE7"/>
    <w:rsid w:val="58E525CA"/>
    <w:rsid w:val="58E55347"/>
    <w:rsid w:val="58EE7372"/>
    <w:rsid w:val="591744C4"/>
    <w:rsid w:val="59384E70"/>
    <w:rsid w:val="593873A0"/>
    <w:rsid w:val="593D045A"/>
    <w:rsid w:val="5960739E"/>
    <w:rsid w:val="59896D0A"/>
    <w:rsid w:val="59972C8B"/>
    <w:rsid w:val="59B72684"/>
    <w:rsid w:val="59E37871"/>
    <w:rsid w:val="5A13112F"/>
    <w:rsid w:val="5A295A8C"/>
    <w:rsid w:val="5A583BE7"/>
    <w:rsid w:val="5A9579AE"/>
    <w:rsid w:val="5A960A06"/>
    <w:rsid w:val="5AA922D6"/>
    <w:rsid w:val="5AAC50E0"/>
    <w:rsid w:val="5AB51DDE"/>
    <w:rsid w:val="5AC468CD"/>
    <w:rsid w:val="5B2E1AA7"/>
    <w:rsid w:val="5B342B9A"/>
    <w:rsid w:val="5B523ED9"/>
    <w:rsid w:val="5B5953B0"/>
    <w:rsid w:val="5B630802"/>
    <w:rsid w:val="5B807F68"/>
    <w:rsid w:val="5B822BA5"/>
    <w:rsid w:val="5B91511B"/>
    <w:rsid w:val="5BA72CE5"/>
    <w:rsid w:val="5BF1296B"/>
    <w:rsid w:val="5C003935"/>
    <w:rsid w:val="5C034D53"/>
    <w:rsid w:val="5C7560D1"/>
    <w:rsid w:val="5CC81D66"/>
    <w:rsid w:val="5D425E1C"/>
    <w:rsid w:val="5D722852"/>
    <w:rsid w:val="5DAB5B22"/>
    <w:rsid w:val="5DD15589"/>
    <w:rsid w:val="5DD23EA7"/>
    <w:rsid w:val="5DD24E5D"/>
    <w:rsid w:val="5E097C56"/>
    <w:rsid w:val="5E1D6F56"/>
    <w:rsid w:val="5E1F6577"/>
    <w:rsid w:val="5E473CC7"/>
    <w:rsid w:val="5E52187F"/>
    <w:rsid w:val="5E6A13CD"/>
    <w:rsid w:val="5E705D15"/>
    <w:rsid w:val="5E7D74BF"/>
    <w:rsid w:val="5E93326C"/>
    <w:rsid w:val="5E9F1A7A"/>
    <w:rsid w:val="5EAF3818"/>
    <w:rsid w:val="5EC62C14"/>
    <w:rsid w:val="5EC724E8"/>
    <w:rsid w:val="5EE67F98"/>
    <w:rsid w:val="5EFB4BA4"/>
    <w:rsid w:val="5EFE2597"/>
    <w:rsid w:val="5F025452"/>
    <w:rsid w:val="5F027E72"/>
    <w:rsid w:val="5F033415"/>
    <w:rsid w:val="5F3D27AA"/>
    <w:rsid w:val="5F5F46B5"/>
    <w:rsid w:val="5F6762C1"/>
    <w:rsid w:val="5FB25360"/>
    <w:rsid w:val="5FBA3CC0"/>
    <w:rsid w:val="5FD90D61"/>
    <w:rsid w:val="60177697"/>
    <w:rsid w:val="602329DB"/>
    <w:rsid w:val="606F6C7A"/>
    <w:rsid w:val="607777D6"/>
    <w:rsid w:val="609A56B8"/>
    <w:rsid w:val="60BC76A1"/>
    <w:rsid w:val="60F0637F"/>
    <w:rsid w:val="610B7637"/>
    <w:rsid w:val="612279BA"/>
    <w:rsid w:val="61472627"/>
    <w:rsid w:val="615D5386"/>
    <w:rsid w:val="615F5624"/>
    <w:rsid w:val="61786FF4"/>
    <w:rsid w:val="617E386D"/>
    <w:rsid w:val="61867B8D"/>
    <w:rsid w:val="61D215CF"/>
    <w:rsid w:val="62071843"/>
    <w:rsid w:val="62415D12"/>
    <w:rsid w:val="62593D9F"/>
    <w:rsid w:val="625C563D"/>
    <w:rsid w:val="62697212"/>
    <w:rsid w:val="626A1704"/>
    <w:rsid w:val="627921C2"/>
    <w:rsid w:val="62B362C8"/>
    <w:rsid w:val="62B64E1E"/>
    <w:rsid w:val="62C1330E"/>
    <w:rsid w:val="632D4A46"/>
    <w:rsid w:val="6342085E"/>
    <w:rsid w:val="634E4F86"/>
    <w:rsid w:val="636F415C"/>
    <w:rsid w:val="637067B4"/>
    <w:rsid w:val="63D22876"/>
    <w:rsid w:val="63F52590"/>
    <w:rsid w:val="64041AE8"/>
    <w:rsid w:val="641C68CD"/>
    <w:rsid w:val="64613B3E"/>
    <w:rsid w:val="646F78AA"/>
    <w:rsid w:val="64917820"/>
    <w:rsid w:val="64923598"/>
    <w:rsid w:val="64AA1CC5"/>
    <w:rsid w:val="64EC3722"/>
    <w:rsid w:val="64F16511"/>
    <w:rsid w:val="650E4F5B"/>
    <w:rsid w:val="65143FAD"/>
    <w:rsid w:val="6528341F"/>
    <w:rsid w:val="65580853"/>
    <w:rsid w:val="656B2909"/>
    <w:rsid w:val="65817895"/>
    <w:rsid w:val="65923EB0"/>
    <w:rsid w:val="659B459C"/>
    <w:rsid w:val="65A3045D"/>
    <w:rsid w:val="65BA5074"/>
    <w:rsid w:val="65C634F9"/>
    <w:rsid w:val="65CE0600"/>
    <w:rsid w:val="65D97752"/>
    <w:rsid w:val="65E25E59"/>
    <w:rsid w:val="65FF4D0C"/>
    <w:rsid w:val="66307F76"/>
    <w:rsid w:val="66580EAF"/>
    <w:rsid w:val="66694D0D"/>
    <w:rsid w:val="667B4472"/>
    <w:rsid w:val="66976C44"/>
    <w:rsid w:val="66AB657F"/>
    <w:rsid w:val="66EA5766"/>
    <w:rsid w:val="66F041A8"/>
    <w:rsid w:val="6721178A"/>
    <w:rsid w:val="67246844"/>
    <w:rsid w:val="6739399A"/>
    <w:rsid w:val="673D10E3"/>
    <w:rsid w:val="673F39DE"/>
    <w:rsid w:val="674C5D22"/>
    <w:rsid w:val="67663AF8"/>
    <w:rsid w:val="67762CFD"/>
    <w:rsid w:val="677A678D"/>
    <w:rsid w:val="6796687B"/>
    <w:rsid w:val="67AA2321"/>
    <w:rsid w:val="67FA392E"/>
    <w:rsid w:val="68011379"/>
    <w:rsid w:val="680A7420"/>
    <w:rsid w:val="681E1720"/>
    <w:rsid w:val="68252C37"/>
    <w:rsid w:val="684150B9"/>
    <w:rsid w:val="68817BAC"/>
    <w:rsid w:val="688670A0"/>
    <w:rsid w:val="689A5E59"/>
    <w:rsid w:val="68A166DE"/>
    <w:rsid w:val="68A94E70"/>
    <w:rsid w:val="68C76CE7"/>
    <w:rsid w:val="68EE72DF"/>
    <w:rsid w:val="690B4C92"/>
    <w:rsid w:val="690B7907"/>
    <w:rsid w:val="69175F5C"/>
    <w:rsid w:val="69485FEA"/>
    <w:rsid w:val="694F7CAA"/>
    <w:rsid w:val="69677DC0"/>
    <w:rsid w:val="698C4A5A"/>
    <w:rsid w:val="698F6CBE"/>
    <w:rsid w:val="69937EC7"/>
    <w:rsid w:val="69D64558"/>
    <w:rsid w:val="69E3623E"/>
    <w:rsid w:val="6A042548"/>
    <w:rsid w:val="6A471EFD"/>
    <w:rsid w:val="6A480B98"/>
    <w:rsid w:val="6A4F5DF4"/>
    <w:rsid w:val="6AB57116"/>
    <w:rsid w:val="6AD17444"/>
    <w:rsid w:val="6AEF34F2"/>
    <w:rsid w:val="6AF43031"/>
    <w:rsid w:val="6B17424A"/>
    <w:rsid w:val="6B1A256C"/>
    <w:rsid w:val="6B2218FA"/>
    <w:rsid w:val="6B2A6A5F"/>
    <w:rsid w:val="6B570F62"/>
    <w:rsid w:val="6B686C59"/>
    <w:rsid w:val="6B691672"/>
    <w:rsid w:val="6B99519D"/>
    <w:rsid w:val="6BA17D14"/>
    <w:rsid w:val="6BD52E17"/>
    <w:rsid w:val="6BE97F42"/>
    <w:rsid w:val="6BF863D7"/>
    <w:rsid w:val="6C2063E9"/>
    <w:rsid w:val="6C3A548D"/>
    <w:rsid w:val="6C5E6A51"/>
    <w:rsid w:val="6C6513C3"/>
    <w:rsid w:val="6C744268"/>
    <w:rsid w:val="6C913746"/>
    <w:rsid w:val="6CBE317C"/>
    <w:rsid w:val="6CD41B88"/>
    <w:rsid w:val="6CD62D03"/>
    <w:rsid w:val="6CD817EC"/>
    <w:rsid w:val="6CD97FB6"/>
    <w:rsid w:val="6D0E5050"/>
    <w:rsid w:val="6D4B22B8"/>
    <w:rsid w:val="6D514781"/>
    <w:rsid w:val="6D930013"/>
    <w:rsid w:val="6E1A1656"/>
    <w:rsid w:val="6E231DD6"/>
    <w:rsid w:val="6E5A5288"/>
    <w:rsid w:val="6E8D72AA"/>
    <w:rsid w:val="6E8E65DD"/>
    <w:rsid w:val="6EBD310B"/>
    <w:rsid w:val="6EC9208E"/>
    <w:rsid w:val="6EE013EE"/>
    <w:rsid w:val="6EE079F1"/>
    <w:rsid w:val="6EE42C42"/>
    <w:rsid w:val="6EF56BFD"/>
    <w:rsid w:val="6F06705D"/>
    <w:rsid w:val="6F240921"/>
    <w:rsid w:val="6F377216"/>
    <w:rsid w:val="6F7F7CB0"/>
    <w:rsid w:val="6F8E34A0"/>
    <w:rsid w:val="6F8F3443"/>
    <w:rsid w:val="6FE0165C"/>
    <w:rsid w:val="6FE10C44"/>
    <w:rsid w:val="70222744"/>
    <w:rsid w:val="7040420A"/>
    <w:rsid w:val="705D4A5A"/>
    <w:rsid w:val="706C335A"/>
    <w:rsid w:val="706D25DF"/>
    <w:rsid w:val="706D2B21"/>
    <w:rsid w:val="707B1384"/>
    <w:rsid w:val="707D6EAA"/>
    <w:rsid w:val="70857A34"/>
    <w:rsid w:val="70985D3C"/>
    <w:rsid w:val="70B12FF8"/>
    <w:rsid w:val="70BF5715"/>
    <w:rsid w:val="70C66AA3"/>
    <w:rsid w:val="70DE3A60"/>
    <w:rsid w:val="71047C73"/>
    <w:rsid w:val="7109004F"/>
    <w:rsid w:val="71103167"/>
    <w:rsid w:val="71224B2C"/>
    <w:rsid w:val="712A66B5"/>
    <w:rsid w:val="712E56F7"/>
    <w:rsid w:val="71691ABB"/>
    <w:rsid w:val="7193454A"/>
    <w:rsid w:val="71AD6B5C"/>
    <w:rsid w:val="71AE1AEA"/>
    <w:rsid w:val="71C00FD3"/>
    <w:rsid w:val="71CF3B6C"/>
    <w:rsid w:val="71F80F33"/>
    <w:rsid w:val="71F84506"/>
    <w:rsid w:val="722922C6"/>
    <w:rsid w:val="727176A7"/>
    <w:rsid w:val="727F6FE6"/>
    <w:rsid w:val="72CB03A1"/>
    <w:rsid w:val="72E967A5"/>
    <w:rsid w:val="72F86CBC"/>
    <w:rsid w:val="732D4B5D"/>
    <w:rsid w:val="73393C88"/>
    <w:rsid w:val="7362513F"/>
    <w:rsid w:val="73771D49"/>
    <w:rsid w:val="737E3665"/>
    <w:rsid w:val="73A1354E"/>
    <w:rsid w:val="73D20C3F"/>
    <w:rsid w:val="73D74B24"/>
    <w:rsid w:val="73E035D5"/>
    <w:rsid w:val="73F12089"/>
    <w:rsid w:val="741E09A4"/>
    <w:rsid w:val="743D0241"/>
    <w:rsid w:val="74855143"/>
    <w:rsid w:val="749D155F"/>
    <w:rsid w:val="74A11E7D"/>
    <w:rsid w:val="75243EF1"/>
    <w:rsid w:val="752E784C"/>
    <w:rsid w:val="75372704"/>
    <w:rsid w:val="753B48E1"/>
    <w:rsid w:val="7550071B"/>
    <w:rsid w:val="75590B0A"/>
    <w:rsid w:val="7582279F"/>
    <w:rsid w:val="75843EB5"/>
    <w:rsid w:val="75912FA2"/>
    <w:rsid w:val="75BB71AF"/>
    <w:rsid w:val="75F01962"/>
    <w:rsid w:val="760E19DF"/>
    <w:rsid w:val="762304F4"/>
    <w:rsid w:val="764A7526"/>
    <w:rsid w:val="764E52E0"/>
    <w:rsid w:val="765331AF"/>
    <w:rsid w:val="76557F3E"/>
    <w:rsid w:val="76676A53"/>
    <w:rsid w:val="76944574"/>
    <w:rsid w:val="76A3294D"/>
    <w:rsid w:val="76B620A1"/>
    <w:rsid w:val="76BD4DDD"/>
    <w:rsid w:val="76D61240"/>
    <w:rsid w:val="76D766A5"/>
    <w:rsid w:val="76F20814"/>
    <w:rsid w:val="76F92565"/>
    <w:rsid w:val="77462524"/>
    <w:rsid w:val="77501DCD"/>
    <w:rsid w:val="77590F1F"/>
    <w:rsid w:val="779A47E6"/>
    <w:rsid w:val="779A6594"/>
    <w:rsid w:val="77A21064"/>
    <w:rsid w:val="77E34EB2"/>
    <w:rsid w:val="77FC4E12"/>
    <w:rsid w:val="781564B8"/>
    <w:rsid w:val="78224ACF"/>
    <w:rsid w:val="78512C75"/>
    <w:rsid w:val="785E3A65"/>
    <w:rsid w:val="787F1E13"/>
    <w:rsid w:val="78832177"/>
    <w:rsid w:val="78B85CF8"/>
    <w:rsid w:val="78CD6DCC"/>
    <w:rsid w:val="78D07CAF"/>
    <w:rsid w:val="78DE12D7"/>
    <w:rsid w:val="79210683"/>
    <w:rsid w:val="79295E21"/>
    <w:rsid w:val="79354885"/>
    <w:rsid w:val="795B69AA"/>
    <w:rsid w:val="799C3465"/>
    <w:rsid w:val="79B14EC4"/>
    <w:rsid w:val="79C30024"/>
    <w:rsid w:val="79DD23FB"/>
    <w:rsid w:val="79F75F20"/>
    <w:rsid w:val="79FA77BE"/>
    <w:rsid w:val="7A025270"/>
    <w:rsid w:val="7A2A6B4A"/>
    <w:rsid w:val="7A681070"/>
    <w:rsid w:val="7A860C7C"/>
    <w:rsid w:val="7A8F4FCE"/>
    <w:rsid w:val="7AB879FE"/>
    <w:rsid w:val="7B080333"/>
    <w:rsid w:val="7B131D54"/>
    <w:rsid w:val="7B231F7D"/>
    <w:rsid w:val="7B3264DD"/>
    <w:rsid w:val="7B4927AB"/>
    <w:rsid w:val="7B6475E5"/>
    <w:rsid w:val="7B6D768F"/>
    <w:rsid w:val="7B81188A"/>
    <w:rsid w:val="7B827630"/>
    <w:rsid w:val="7B9E2902"/>
    <w:rsid w:val="7BC854E2"/>
    <w:rsid w:val="7C0562EC"/>
    <w:rsid w:val="7C067A45"/>
    <w:rsid w:val="7C0D2ED7"/>
    <w:rsid w:val="7C1C072C"/>
    <w:rsid w:val="7C27683F"/>
    <w:rsid w:val="7C4C370C"/>
    <w:rsid w:val="7C8A5545"/>
    <w:rsid w:val="7CB14B4D"/>
    <w:rsid w:val="7CF26969"/>
    <w:rsid w:val="7D1D2755"/>
    <w:rsid w:val="7D25523C"/>
    <w:rsid w:val="7D564FB1"/>
    <w:rsid w:val="7DB23041"/>
    <w:rsid w:val="7DC47A80"/>
    <w:rsid w:val="7DE247F1"/>
    <w:rsid w:val="7DFC1D56"/>
    <w:rsid w:val="7E5F7809"/>
    <w:rsid w:val="7ED56C53"/>
    <w:rsid w:val="7EEA1BAF"/>
    <w:rsid w:val="7F0D1D41"/>
    <w:rsid w:val="7F167190"/>
    <w:rsid w:val="7F5460D4"/>
    <w:rsid w:val="7F552892"/>
    <w:rsid w:val="7F594F87"/>
    <w:rsid w:val="7F7207A3"/>
    <w:rsid w:val="7F735436"/>
    <w:rsid w:val="7F7939B1"/>
    <w:rsid w:val="7FAE7080"/>
    <w:rsid w:val="7FF83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9"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1"/>
    <w:qFormat/>
    <w:uiPriority w:val="9"/>
    <w:pPr>
      <w:keepNext/>
      <w:keepLines/>
      <w:jc w:val="center"/>
      <w:outlineLvl w:val="0"/>
    </w:pPr>
    <w:rPr>
      <w:b/>
      <w:bCs/>
      <w:kern w:val="44"/>
      <w:sz w:val="36"/>
      <w:szCs w:val="44"/>
    </w:rPr>
  </w:style>
  <w:style w:type="paragraph" w:styleId="3">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unhideWhenUsed/>
    <w:qFormat/>
    <w:uiPriority w:val="9"/>
    <w:pPr>
      <w:keepNext/>
      <w:keepLines/>
      <w:spacing w:before="240" w:after="64" w:line="317" w:lineRule="auto"/>
      <w:outlineLvl w:val="5"/>
    </w:pPr>
    <w:rPr>
      <w:rFonts w:ascii="Arial" w:hAnsi="Arial" w:eastAsia="黑体"/>
      <w:b/>
      <w:sz w:val="24"/>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Normal Indent"/>
    <w:basedOn w:val="1"/>
    <w:next w:val="1"/>
    <w:qFormat/>
    <w:uiPriority w:val="99"/>
    <w:pPr>
      <w:ind w:firstLine="420" w:firstLineChars="200"/>
    </w:pPr>
    <w:rPr>
      <w:kern w:val="0"/>
    </w:rPr>
  </w:style>
  <w:style w:type="paragraph" w:styleId="10">
    <w:name w:val="caption"/>
    <w:basedOn w:val="1"/>
    <w:next w:val="1"/>
    <w:qFormat/>
    <w:uiPriority w:val="35"/>
    <w:pPr>
      <w:spacing w:before="152" w:after="160"/>
    </w:pPr>
    <w:rPr>
      <w:rFonts w:ascii="Arial" w:hAnsi="Arial" w:eastAsia="黑体" w:cs="Arial"/>
      <w:sz w:val="20"/>
      <w:szCs w:val="20"/>
    </w:rPr>
  </w:style>
  <w:style w:type="paragraph" w:styleId="11">
    <w:name w:val="Document Map"/>
    <w:basedOn w:val="1"/>
    <w:link w:val="74"/>
    <w:qFormat/>
    <w:uiPriority w:val="0"/>
    <w:pPr>
      <w:shd w:val="clear" w:color="auto" w:fill="000080"/>
    </w:pPr>
    <w:rPr>
      <w:sz w:val="24"/>
    </w:rPr>
  </w:style>
  <w:style w:type="paragraph" w:styleId="12">
    <w:name w:val="toa heading"/>
    <w:basedOn w:val="1"/>
    <w:next w:val="1"/>
    <w:qFormat/>
    <w:uiPriority w:val="99"/>
    <w:pPr>
      <w:spacing w:before="120"/>
    </w:pPr>
    <w:rPr>
      <w:rFonts w:ascii="Arial" w:hAnsi="Arial" w:eastAsia="宋体" w:cs="Arial"/>
      <w:sz w:val="24"/>
      <w:szCs w:val="24"/>
    </w:rPr>
  </w:style>
  <w:style w:type="paragraph" w:styleId="13">
    <w:name w:val="annotation text"/>
    <w:basedOn w:val="1"/>
    <w:link w:val="65"/>
    <w:qFormat/>
    <w:uiPriority w:val="0"/>
    <w:pPr>
      <w:jc w:val="left"/>
    </w:pPr>
  </w:style>
  <w:style w:type="paragraph" w:styleId="14">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5">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6">
    <w:name w:val="Body Text Indent"/>
    <w:basedOn w:val="1"/>
    <w:link w:val="83"/>
    <w:qFormat/>
    <w:uiPriority w:val="99"/>
    <w:pPr>
      <w:spacing w:after="120"/>
      <w:ind w:left="420" w:leftChars="200"/>
    </w:pPr>
    <w:rPr>
      <w:rFonts w:ascii="Calibri" w:hAnsi="Calibri" w:eastAsia="宋体" w:cs="Times New Roman"/>
      <w:szCs w:val="20"/>
    </w:rPr>
  </w:style>
  <w:style w:type="paragraph" w:styleId="17">
    <w:name w:val="index 4"/>
    <w:basedOn w:val="1"/>
    <w:next w:val="1"/>
    <w:qFormat/>
    <w:uiPriority w:val="0"/>
    <w:pPr>
      <w:ind w:left="600" w:leftChars="600"/>
    </w:pPr>
  </w:style>
  <w:style w:type="paragraph" w:styleId="18">
    <w:name w:val="toc 5"/>
    <w:basedOn w:val="1"/>
    <w:next w:val="1"/>
    <w:qFormat/>
    <w:uiPriority w:val="39"/>
    <w:pPr>
      <w:ind w:left="960"/>
      <w:jc w:val="left"/>
    </w:pPr>
    <w:rPr>
      <w:rFonts w:ascii="Calibri" w:hAnsi="Calibri" w:eastAsia="宋体" w:cs="Times New Roman"/>
      <w:sz w:val="18"/>
      <w:szCs w:val="18"/>
    </w:rPr>
  </w:style>
  <w:style w:type="paragraph" w:styleId="19">
    <w:name w:val="toc 3"/>
    <w:basedOn w:val="1"/>
    <w:next w:val="1"/>
    <w:qFormat/>
    <w:uiPriority w:val="39"/>
    <w:pPr>
      <w:ind w:left="480"/>
      <w:jc w:val="left"/>
    </w:pPr>
    <w:rPr>
      <w:rFonts w:ascii="Calibri" w:hAnsi="Calibri" w:eastAsia="宋体" w:cs="Times New Roman"/>
      <w:i/>
      <w:iCs/>
      <w:sz w:val="20"/>
      <w:szCs w:val="20"/>
    </w:rPr>
  </w:style>
  <w:style w:type="paragraph" w:styleId="20">
    <w:name w:val="Plain Text"/>
    <w:basedOn w:val="1"/>
    <w:link w:val="76"/>
    <w:qFormat/>
    <w:uiPriority w:val="0"/>
    <w:rPr>
      <w:rFonts w:ascii="宋体" w:hAnsi="Courier New"/>
    </w:rPr>
  </w:style>
  <w:style w:type="paragraph" w:styleId="21">
    <w:name w:val="toc 8"/>
    <w:basedOn w:val="1"/>
    <w:next w:val="1"/>
    <w:qFormat/>
    <w:uiPriority w:val="39"/>
    <w:pPr>
      <w:ind w:left="1680"/>
      <w:jc w:val="left"/>
    </w:pPr>
    <w:rPr>
      <w:rFonts w:ascii="Calibri" w:hAnsi="Calibri" w:eastAsia="宋体" w:cs="Times New Roman"/>
      <w:sz w:val="18"/>
      <w:szCs w:val="18"/>
    </w:rPr>
  </w:style>
  <w:style w:type="paragraph" w:styleId="22">
    <w:name w:val="Date"/>
    <w:basedOn w:val="1"/>
    <w:next w:val="1"/>
    <w:link w:val="67"/>
    <w:qFormat/>
    <w:uiPriority w:val="0"/>
    <w:pPr>
      <w:ind w:left="100" w:leftChars="2500"/>
    </w:pPr>
    <w:rPr>
      <w:sz w:val="24"/>
    </w:rPr>
  </w:style>
  <w:style w:type="paragraph" w:styleId="23">
    <w:name w:val="Body Text Indent 2"/>
    <w:basedOn w:val="1"/>
    <w:link w:val="55"/>
    <w:qFormat/>
    <w:uiPriority w:val="0"/>
    <w:pPr>
      <w:spacing w:after="120" w:line="480" w:lineRule="auto"/>
      <w:ind w:left="420" w:leftChars="200"/>
    </w:pPr>
  </w:style>
  <w:style w:type="paragraph" w:styleId="24">
    <w:name w:val="Balloon Text"/>
    <w:basedOn w:val="1"/>
    <w:link w:val="71"/>
    <w:qFormat/>
    <w:uiPriority w:val="0"/>
    <w:rPr>
      <w:sz w:val="18"/>
    </w:rPr>
  </w:style>
  <w:style w:type="paragraph" w:styleId="25">
    <w:name w:val="footer"/>
    <w:basedOn w:val="1"/>
    <w:link w:val="77"/>
    <w:qFormat/>
    <w:uiPriority w:val="99"/>
    <w:pPr>
      <w:tabs>
        <w:tab w:val="center" w:pos="4153"/>
        <w:tab w:val="right" w:pos="8306"/>
      </w:tabs>
      <w:snapToGrid w:val="0"/>
      <w:jc w:val="left"/>
    </w:pPr>
    <w:rPr>
      <w:sz w:val="18"/>
    </w:rPr>
  </w:style>
  <w:style w:type="paragraph" w:styleId="26">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qFormat/>
    <w:uiPriority w:val="39"/>
    <w:pPr>
      <w:ind w:left="720"/>
      <w:jc w:val="left"/>
    </w:pPr>
    <w:rPr>
      <w:rFonts w:ascii="Calibri" w:hAnsi="Calibri" w:eastAsia="宋体" w:cs="Times New Roman"/>
      <w:sz w:val="18"/>
      <w:szCs w:val="18"/>
    </w:rPr>
  </w:style>
  <w:style w:type="paragraph" w:styleId="29">
    <w:name w:val="Subtitle"/>
    <w:basedOn w:val="1"/>
    <w:next w:val="1"/>
    <w:qFormat/>
    <w:uiPriority w:val="0"/>
    <w:pPr>
      <w:spacing w:line="360" w:lineRule="auto"/>
      <w:ind w:firstLine="200" w:firstLineChars="200"/>
      <w:outlineLvl w:val="1"/>
    </w:pPr>
    <w:rPr>
      <w:rFonts w:ascii="宋体" w:eastAsia="宋体"/>
      <w:bCs/>
      <w:kern w:val="28"/>
      <w:sz w:val="24"/>
      <w:szCs w:val="32"/>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7"/>
    <w:qFormat/>
    <w:uiPriority w:val="0"/>
    <w:pPr>
      <w:spacing w:after="120"/>
      <w:ind w:left="420" w:leftChars="200"/>
    </w:pPr>
    <w:rPr>
      <w:sz w:val="16"/>
    </w:rPr>
  </w:style>
  <w:style w:type="paragraph" w:styleId="33">
    <w:name w:val="index 9"/>
    <w:basedOn w:val="1"/>
    <w:next w:val="1"/>
    <w:unhideWhenUsed/>
    <w:qFormat/>
    <w:uiPriority w:val="0"/>
    <w:pPr>
      <w:ind w:left="2520" w:hanging="280"/>
    </w:pPr>
    <w:rPr>
      <w:rFonts w:eastAsia="仿宋"/>
      <w:sz w:val="28"/>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3"/>
    <w:next w:val="13"/>
    <w:link w:val="56"/>
    <w:qFormat/>
    <w:uiPriority w:val="0"/>
    <w:rPr>
      <w:b/>
    </w:rPr>
  </w:style>
  <w:style w:type="paragraph" w:styleId="40">
    <w:name w:val="Body Text First Indent 2"/>
    <w:basedOn w:val="16"/>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3"/>
    <w:qFormat/>
    <w:uiPriority w:val="9"/>
    <w:rPr>
      <w:rFonts w:ascii="Arial" w:hAnsi="Arial" w:eastAsia="宋体" w:cs="Times New Roman"/>
      <w:b/>
      <w:bCs/>
      <w:sz w:val="24"/>
      <w:szCs w:val="32"/>
    </w:rPr>
  </w:style>
  <w:style w:type="character" w:customStyle="1" w:styleId="53">
    <w:name w:val="标题 3 字符"/>
    <w:basedOn w:val="43"/>
    <w:link w:val="4"/>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3"/>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2"/>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6"/>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3"/>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2"/>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4"/>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1"/>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0"/>
    <w:qFormat/>
    <w:locked/>
    <w:uiPriority w:val="0"/>
    <w:rPr>
      <w:rFonts w:ascii="宋体" w:hAnsi="Courier New"/>
    </w:rPr>
  </w:style>
  <w:style w:type="character" w:customStyle="1" w:styleId="77">
    <w:name w:val="页脚 字符"/>
    <w:link w:val="25"/>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6"/>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5"/>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0"/>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标题 5（有编号）（绿盟科技）"/>
    <w:basedOn w:val="1"/>
    <w:next w:val="138"/>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8">
    <w:name w:val="正文（绿盟科技）"/>
    <w:unhideWhenUsed/>
    <w:qFormat/>
    <w:uiPriority w:val="0"/>
    <w:pPr>
      <w:spacing w:line="300" w:lineRule="auto"/>
    </w:pPr>
    <w:rPr>
      <w:rFonts w:ascii="Arial" w:hAnsi="Arial" w:eastAsia="宋体" w:cs="Times New Roman"/>
      <w:sz w:val="21"/>
      <w:szCs w:val="21"/>
      <w:lang w:val="en-US" w:eastAsia="zh-CN" w:bidi="ar-SA"/>
    </w:rPr>
  </w:style>
  <w:style w:type="paragraph" w:customStyle="1" w:styleId="139">
    <w:name w:val="表格"/>
    <w:basedOn w:val="1"/>
    <w:qFormat/>
    <w:uiPriority w:val="0"/>
    <w:pPr>
      <w:spacing w:line="300" w:lineRule="auto"/>
    </w:pPr>
    <w:rPr>
      <w:rFonts w:ascii="Times New Roman" w:hAnsi="Times New Roman" w:eastAsia="宋体"/>
      <w:szCs w:val="21"/>
    </w:rPr>
  </w:style>
  <w:style w:type="character" w:customStyle="1" w:styleId="140">
    <w:name w:val="标题 1 Char"/>
    <w:qFormat/>
    <w:uiPriority w:val="9"/>
    <w:rPr>
      <w:rFonts w:eastAsia="宋体" w:cs="Times New Roman"/>
      <w:b/>
      <w:bCs/>
      <w:kern w:val="44"/>
      <w:sz w:val="28"/>
      <w:szCs w:val="44"/>
      <w:lang w:val="en-US" w:eastAsia="zh-CN"/>
    </w:rPr>
  </w:style>
  <w:style w:type="paragraph" w:customStyle="1" w:styleId="141">
    <w:name w:val="1正文段落"/>
    <w:basedOn w:val="1"/>
    <w:qFormat/>
    <w:uiPriority w:val="0"/>
    <w:pPr>
      <w:spacing w:line="360" w:lineRule="auto"/>
      <w:ind w:firstLine="200" w:firstLineChars="200"/>
      <w:jc w:val="left"/>
    </w:pPr>
    <w:rPr>
      <w:snapToGrid w:val="0"/>
      <w:kern w:val="0"/>
      <w:sz w:val="24"/>
      <w:szCs w:val="24"/>
    </w:rPr>
  </w:style>
  <w:style w:type="character" w:customStyle="1" w:styleId="142">
    <w:name w:val="font12"/>
    <w:basedOn w:val="43"/>
    <w:qFormat/>
    <w:uiPriority w:val="0"/>
    <w:rPr>
      <w:rFonts w:hint="eastAsia" w:ascii="微软雅黑" w:hAnsi="微软雅黑" w:eastAsia="微软雅黑" w:cs="微软雅黑"/>
      <w:b/>
      <w:bCs/>
      <w:color w:val="000000"/>
      <w:sz w:val="22"/>
      <w:szCs w:val="22"/>
      <w:u w:val="none"/>
    </w:rPr>
  </w:style>
  <w:style w:type="character" w:customStyle="1" w:styleId="143">
    <w:name w:val="font31"/>
    <w:basedOn w:val="43"/>
    <w:qFormat/>
    <w:uiPriority w:val="0"/>
    <w:rPr>
      <w:rFonts w:hint="eastAsia" w:ascii="微软雅黑" w:hAnsi="微软雅黑" w:eastAsia="微软雅黑" w:cs="微软雅黑"/>
      <w:color w:val="000000"/>
      <w:sz w:val="22"/>
      <w:szCs w:val="22"/>
      <w:u w:val="none"/>
    </w:rPr>
  </w:style>
  <w:style w:type="character" w:customStyle="1" w:styleId="144">
    <w:name w:val="font21"/>
    <w:basedOn w:val="43"/>
    <w:qFormat/>
    <w:uiPriority w:val="0"/>
    <w:rPr>
      <w:rFonts w:hint="eastAsia" w:ascii="仿宋" w:hAnsi="仿宋" w:eastAsia="仿宋" w:cs="仿宋"/>
      <w:color w:val="000000"/>
      <w:sz w:val="24"/>
      <w:szCs w:val="24"/>
      <w:u w:val="none"/>
    </w:rPr>
  </w:style>
  <w:style w:type="character" w:customStyle="1" w:styleId="145">
    <w:name w:val="font91"/>
    <w:basedOn w:val="43"/>
    <w:qFormat/>
    <w:uiPriority w:val="0"/>
    <w:rPr>
      <w:rFonts w:hint="eastAsia" w:ascii="微软雅黑" w:hAnsi="微软雅黑" w:eastAsia="微软雅黑" w:cs="微软雅黑"/>
      <w:color w:val="000000"/>
      <w:sz w:val="21"/>
      <w:szCs w:val="21"/>
      <w:u w:val="none"/>
    </w:rPr>
  </w:style>
  <w:style w:type="character" w:customStyle="1" w:styleId="146">
    <w:name w:val="font101"/>
    <w:basedOn w:val="43"/>
    <w:qFormat/>
    <w:uiPriority w:val="0"/>
    <w:rPr>
      <w:rFonts w:hint="default" w:ascii="Arial" w:hAnsi="Arial" w:cs="Arial"/>
      <w:color w:val="000000"/>
      <w:sz w:val="21"/>
      <w:szCs w:val="21"/>
      <w:u w:val="none"/>
    </w:rPr>
  </w:style>
  <w:style w:type="character" w:customStyle="1" w:styleId="147">
    <w:name w:val="font111"/>
    <w:basedOn w:val="43"/>
    <w:qFormat/>
    <w:uiPriority w:val="0"/>
    <w:rPr>
      <w:rFonts w:hint="eastAsia" w:ascii="宋体" w:hAnsi="宋体" w:eastAsia="宋体" w:cs="宋体"/>
      <w:color w:val="000000"/>
      <w:sz w:val="21"/>
      <w:szCs w:val="21"/>
      <w:u w:val="none"/>
    </w:rPr>
  </w:style>
  <w:style w:type="table" w:customStyle="1" w:styleId="148">
    <w:name w:val="网格型1"/>
    <w:basedOn w:val="41"/>
    <w:qFormat/>
    <w:uiPriority w:val="99"/>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9" Type="http://schemas.openxmlformats.org/officeDocument/2006/relationships/fontTable" Target="fontTable.xml"/><Relationship Id="rId58" Type="http://schemas.openxmlformats.org/officeDocument/2006/relationships/customXml" Target="../customXml/item2.xml"/><Relationship Id="rId57" Type="http://schemas.openxmlformats.org/officeDocument/2006/relationships/numbering" Target="numbering.xml"/><Relationship Id="rId56" Type="http://schemas.openxmlformats.org/officeDocument/2006/relationships/customXml" Target="../customXml/item1.xml"/><Relationship Id="rId55" Type="http://schemas.openxmlformats.org/officeDocument/2006/relationships/image" Target="media/image13.png"/><Relationship Id="rId54" Type="http://schemas.openxmlformats.org/officeDocument/2006/relationships/image" Target="media/image12.png"/><Relationship Id="rId53" Type="http://schemas.openxmlformats.org/officeDocument/2006/relationships/image" Target="media/image11.png"/><Relationship Id="rId52" Type="http://schemas.openxmlformats.org/officeDocument/2006/relationships/image" Target="media/image10.png"/><Relationship Id="rId51" Type="http://schemas.openxmlformats.org/officeDocument/2006/relationships/image" Target="media/image9.png"/><Relationship Id="rId50" Type="http://schemas.openxmlformats.org/officeDocument/2006/relationships/image" Target="media/image8.png"/><Relationship Id="rId5" Type="http://schemas.openxmlformats.org/officeDocument/2006/relationships/header" Target="header1.xml"/><Relationship Id="rId49" Type="http://schemas.openxmlformats.org/officeDocument/2006/relationships/image" Target="media/image7.png"/><Relationship Id="rId48" Type="http://schemas.openxmlformats.org/officeDocument/2006/relationships/image" Target="media/image6.png"/><Relationship Id="rId47" Type="http://schemas.openxmlformats.org/officeDocument/2006/relationships/image" Target="media/image5.png"/><Relationship Id="rId46" Type="http://schemas.openxmlformats.org/officeDocument/2006/relationships/image" Target="media/image4.png"/><Relationship Id="rId45" Type="http://schemas.openxmlformats.org/officeDocument/2006/relationships/image" Target="media/image3.png"/><Relationship Id="rId44" Type="http://schemas.openxmlformats.org/officeDocument/2006/relationships/image" Target="media/image2.png"/><Relationship Id="rId43" Type="http://schemas.openxmlformats.org/officeDocument/2006/relationships/image" Target="media/image1.png"/><Relationship Id="rId42" Type="http://schemas.openxmlformats.org/officeDocument/2006/relationships/theme" Target="theme/theme1.xml"/><Relationship Id="rId41" Type="http://schemas.openxmlformats.org/officeDocument/2006/relationships/footer" Target="footer29.xml"/><Relationship Id="rId40" Type="http://schemas.openxmlformats.org/officeDocument/2006/relationships/footer" Target="footer28.xml"/><Relationship Id="rId4" Type="http://schemas.openxmlformats.org/officeDocument/2006/relationships/footer" Target="footer2.xml"/><Relationship Id="rId39" Type="http://schemas.openxmlformats.org/officeDocument/2006/relationships/header" Target="header10.xml"/><Relationship Id="rId38" Type="http://schemas.openxmlformats.org/officeDocument/2006/relationships/header" Target="header9.xml"/><Relationship Id="rId37" Type="http://schemas.openxmlformats.org/officeDocument/2006/relationships/footer" Target="footer27.xml"/><Relationship Id="rId36" Type="http://schemas.openxmlformats.org/officeDocument/2006/relationships/footer" Target="footer26.xml"/><Relationship Id="rId35" Type="http://schemas.openxmlformats.org/officeDocument/2006/relationships/header" Target="header8.xml"/><Relationship Id="rId34" Type="http://schemas.openxmlformats.org/officeDocument/2006/relationships/header" Target="header7.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A6BCB5-8565-497A-8199-8C5C26F598B4}">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81</Pages>
  <Words>22739</Words>
  <Characters>24519</Characters>
  <Lines>575</Lines>
  <Paragraphs>161</Paragraphs>
  <TotalTime>27</TotalTime>
  <ScaleCrop>false</ScaleCrop>
  <LinksUpToDate>false</LinksUpToDate>
  <CharactersWithSpaces>24737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2024-12-03T01:56:00Z</cp:lastPrinted>
  <dcterms:modified xsi:type="dcterms:W3CDTF">2025-11-06T08:45:42Z</dcterms:modified>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994CB6590D6D455BACCCB995FD8CFF10_13</vt:lpwstr>
  </property>
  <property fmtid="{D5CDD505-2E9C-101B-9397-08002B2CF9AE}" pid="4" name="KSOTemplateDocerSaveRecord">
    <vt:lpwstr>eyJoZGlkIjoiOTRjODg4ZWYwNzQ4N2ZiNDI5YTAxZTRlMDVhM2MzNWUiLCJ1c2VySWQiOiIxMzkyODQ4ODU2In0=</vt:lpwstr>
  </property>
</Properties>
</file>