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rFonts w:hint="default" w:eastAsia="宋体"/>
          <w:sz w:val="28"/>
          <w:szCs w:val="28"/>
          <w:highlight w:val="none"/>
          <w:lang w:val="en-US" w:eastAsia="zh-CN"/>
        </w:rPr>
      </w:pPr>
      <w:r>
        <w:rPr>
          <w:rFonts w:hint="eastAsia" w:ascii="楷体_GB2312" w:hAnsi="宋体" w:eastAsia="楷体_GB2312"/>
          <w:sz w:val="52"/>
          <w:szCs w:val="52"/>
          <w:highlight w:val="none"/>
          <w:lang w:val="en-US" w:eastAsia="zh-CN"/>
        </w:rPr>
        <w:t>济南变速箱厂多用炉富华气智能监控系统项目</w:t>
      </w:r>
    </w:p>
    <w:p w14:paraId="7564C2A7">
      <w:pPr>
        <w:pStyle w:val="3"/>
        <w:rPr>
          <w:highlight w:val="none"/>
        </w:rPr>
      </w:pPr>
    </w:p>
    <w:p w14:paraId="6418E5FF">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FSCZB2025100260</w:t>
      </w:r>
    </w:p>
    <w:p w14:paraId="10A10BCC">
      <w:pPr>
        <w:jc w:val="center"/>
        <w:rPr>
          <w:rFonts w:ascii="宋体" w:hAnsi="宋体"/>
          <w:sz w:val="48"/>
          <w:szCs w:val="48"/>
          <w:highlight w:val="none"/>
        </w:rPr>
      </w:pPr>
    </w:p>
    <w:p w14:paraId="0D4E54EC">
      <w:pPr>
        <w:jc w:val="center"/>
        <w:rPr>
          <w:rFonts w:ascii="宋体" w:hAnsi="宋体"/>
          <w:sz w:val="48"/>
          <w:szCs w:val="48"/>
          <w:highlight w:val="none"/>
        </w:rPr>
      </w:pPr>
    </w:p>
    <w:p w14:paraId="111CA3F9">
      <w:pPr>
        <w:jc w:val="center"/>
        <w:rPr>
          <w:rFonts w:ascii="宋体" w:hAnsi="宋体"/>
          <w:sz w:val="28"/>
          <w:szCs w:val="28"/>
          <w:highlight w:val="none"/>
        </w:rPr>
      </w:pPr>
    </w:p>
    <w:p w14:paraId="12CB50D1">
      <w:pPr>
        <w:jc w:val="both"/>
        <w:rPr>
          <w:rFonts w:ascii="宋体" w:hAnsi="宋体"/>
          <w:sz w:val="28"/>
          <w:szCs w:val="28"/>
          <w:highlight w:val="none"/>
        </w:rPr>
      </w:pPr>
    </w:p>
    <w:p w14:paraId="1CE80EBC">
      <w:pPr>
        <w:jc w:val="center"/>
        <w:rPr>
          <w:rFonts w:ascii="宋体" w:hAnsi="宋体"/>
          <w:sz w:val="28"/>
          <w:szCs w:val="28"/>
          <w:highlight w:val="none"/>
        </w:rPr>
      </w:pPr>
      <w:r>
        <w:rPr>
          <w:rFonts w:hint="eastAsia" w:ascii="宋体" w:hAnsi="宋体"/>
          <w:sz w:val="28"/>
          <w:szCs w:val="28"/>
          <w:highlight w:val="none"/>
        </w:rPr>
        <w:t>招 标 人：中国重汽集团</w:t>
      </w:r>
      <w:r>
        <w:rPr>
          <w:rFonts w:hint="eastAsia" w:ascii="宋体" w:hAnsi="宋体"/>
          <w:sz w:val="28"/>
          <w:szCs w:val="28"/>
          <w:highlight w:val="none"/>
          <w:u w:val="none"/>
          <w:lang w:val="en-US" w:eastAsia="zh-CN"/>
        </w:rPr>
        <w:t>济南动力</w:t>
      </w:r>
      <w:r>
        <w:rPr>
          <w:rFonts w:hint="eastAsia" w:ascii="宋体" w:hAnsi="宋体"/>
          <w:sz w:val="28"/>
          <w:szCs w:val="28"/>
          <w:highlight w:val="none"/>
        </w:rPr>
        <w:t>有限公司</w:t>
      </w:r>
    </w:p>
    <w:p w14:paraId="0D8A0D9A">
      <w:pPr>
        <w:jc w:val="center"/>
        <w:rPr>
          <w:rFonts w:ascii="宋体" w:hAnsi="宋体"/>
          <w:sz w:val="28"/>
          <w:szCs w:val="28"/>
          <w:highlight w:val="none"/>
        </w:rPr>
      </w:pPr>
    </w:p>
    <w:p w14:paraId="4C86B285">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11月</w:t>
      </w:r>
    </w:p>
    <w:p w14:paraId="0230EEDA">
      <w:pPr>
        <w:pStyle w:val="71"/>
      </w:pPr>
      <w:bookmarkStart w:id="0" w:name="_Toc47976587"/>
      <w:bookmarkStart w:id="1" w:name="_Toc6103"/>
      <w:r>
        <w:rPr>
          <w:rFonts w:hint="eastAsia"/>
        </w:rPr>
        <w:t>招标公告</w:t>
      </w:r>
      <w:bookmarkEnd w:id="0"/>
      <w:bookmarkEnd w:id="1"/>
    </w:p>
    <w:p w14:paraId="3B867C39">
      <w:pPr>
        <w:pStyle w:val="71"/>
        <w:outlineLvl w:val="9"/>
        <w:rPr>
          <w:rFonts w:hint="default" w:eastAsia="宋体"/>
          <w:highlight w:val="none"/>
          <w:lang w:val="en-US" w:eastAsia="zh-CN"/>
        </w:rPr>
      </w:pPr>
      <w:r>
        <w:rPr>
          <w:rFonts w:hint="eastAsia" w:eastAsia="宋体"/>
          <w:highlight w:val="none"/>
          <w:lang w:val="en-US" w:eastAsia="zh-CN"/>
        </w:rPr>
        <w:t>济南变速箱厂多用炉富华气智能监控系统项目</w:t>
      </w:r>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2" w:name="_Toc47976588"/>
      <w:r>
        <w:rPr>
          <w:rFonts w:hint="eastAsia"/>
          <w:highlight w:val="none"/>
        </w:rPr>
        <w:t>项目</w:t>
      </w:r>
      <w:bookmarkEnd w:id="2"/>
      <w:r>
        <w:rPr>
          <w:rFonts w:hint="eastAsia"/>
          <w:highlight w:val="none"/>
          <w:lang w:val="en-US" w:eastAsia="zh-CN"/>
        </w:rPr>
        <w:t>介绍</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济南变速箱厂多用炉富华气智能监控系统项目</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w:t>
      </w:r>
      <w:r>
        <w:rPr>
          <w:rFonts w:hint="eastAsia"/>
          <w:highlight w:val="none"/>
          <w:lang w:val="en-US" w:eastAsia="zh-CN"/>
        </w:rPr>
        <w:t>FSCZB2025100260</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招标形式：公开招标</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项目概况</w:t>
      </w:r>
      <w:r>
        <w:rPr>
          <w:rFonts w:hint="eastAsia"/>
          <w:highlight w:val="none"/>
        </w:rPr>
        <w:t>：</w:t>
      </w:r>
      <w:r>
        <w:rPr>
          <w:rFonts w:hint="eastAsia"/>
          <w:highlight w:val="none"/>
          <w:lang w:val="en-US" w:eastAsia="zh-CN"/>
        </w:rPr>
        <w:t>更新1套多用炉富化气智能监控系统。</w:t>
      </w:r>
    </w:p>
    <w:p w14:paraId="7A71A65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建设地点：济南变速箱厂</w:t>
      </w:r>
    </w:p>
    <w:p w14:paraId="125094B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default" w:cs="Times New Roman"/>
          <w:highlight w:val="none"/>
          <w:lang w:val="en-US" w:eastAsia="zh-CN"/>
        </w:rPr>
        <w:t>投标限价：人民币</w:t>
      </w:r>
      <w:r>
        <w:rPr>
          <w:rFonts w:hint="eastAsia" w:cs="Times New Roman"/>
          <w:highlight w:val="none"/>
          <w:lang w:val="en-US" w:eastAsia="zh-CN"/>
        </w:rPr>
        <w:t>20.51</w:t>
      </w:r>
      <w:r>
        <w:rPr>
          <w:rFonts w:hint="default" w:cs="Times New Roman"/>
          <w:highlight w:val="none"/>
          <w:lang w:val="en-US" w:eastAsia="zh-CN"/>
        </w:rPr>
        <w:t>万元（含税），超过投标限价无法投标。</w:t>
      </w:r>
    </w:p>
    <w:p w14:paraId="2F9D390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cs="Times New Roman"/>
          <w:highlight w:val="none"/>
          <w:lang w:val="en-US" w:eastAsia="zh-CN"/>
        </w:rPr>
        <w:t>付款方式：半年期商业汇票（包括银行承兑汇票和商业承兑汇票）</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14:paraId="5188D4AE">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1960616B">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拟投标人必须是在中华人民共和国境内注册的独立法人机构，具有独立承担民事责任能力；注册资金不少于100万人民币（或等值其他货币）；公司成立三年以上（以营业执照成立日期到开标当日满三年为准），且经营范围满足招标人需求；并在人员、设备、资金等方面具有承担本项目的能力；</w:t>
      </w:r>
    </w:p>
    <w:p w14:paraId="081A33FF">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拟投标人应提供营业执照副本原件和扫描件（需盖章）；</w:t>
      </w:r>
    </w:p>
    <w:p w14:paraId="2623B084">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拟投标人应提供法定代表人资格证明文件；</w:t>
      </w:r>
    </w:p>
    <w:p w14:paraId="52273BB7">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拟投标人在国家市场监督管理总局的《国家企业信用信息公示系统》中查询不存在不良记录；</w:t>
      </w:r>
    </w:p>
    <w:p w14:paraId="541FF5E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拟投标人不存在严重违规或被列入招标人“黑名单”的声明；</w:t>
      </w:r>
    </w:p>
    <w:p w14:paraId="5D3AB49A">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拟投标人2020年1月1日至今经会计师事务所审计且出具无保留意见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4B462267">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拟投标人2021年1月1日至今，有与本次招标内容相同或类似项目业绩，且近三年内无因服务不当而造成重大事故；</w:t>
      </w:r>
    </w:p>
    <w:p w14:paraId="3143888C">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拟投标人近三年内在经营活动中无与本项目有关的违法及重大违规情况；</w:t>
      </w:r>
    </w:p>
    <w:p w14:paraId="6E597E8A">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拟投标人须认可招标人的工作指令，包括节、假日能正常开展工作的要求；</w:t>
      </w:r>
    </w:p>
    <w:p w14:paraId="2ADD0D5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拟投标人最近半年纳税正常；</w:t>
      </w:r>
    </w:p>
    <w:p w14:paraId="02906089">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拟投标人信用证明材料（征信报告）未显示异常；</w:t>
      </w:r>
    </w:p>
    <w:p w14:paraId="3E5839C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拟投标人的直接或间接股东、法定代表人、董事、监事、高管非重汽员工及其亲属；</w:t>
      </w:r>
    </w:p>
    <w:p w14:paraId="68FFAC02">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本次招标不接受代理商投标；</w:t>
      </w:r>
    </w:p>
    <w:p w14:paraId="125D61EF">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本项目不接受联合体投标，拟投标人必须是最终投标单位和签订合同单位，不得以任何理由将已中标项目以任何形式分包或转包给其他单位；</w:t>
      </w:r>
    </w:p>
    <w:p w14:paraId="1981AA67">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与招标人存在利害关系可能影响招标公正性的法人、其他组织或者个人，不得参加投标。</w:t>
      </w:r>
    </w:p>
    <w:p w14:paraId="3767D4B6">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293BD4DF">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拟投标人须准备以下材料的盖章电子扫描件，并在应标时作为三个独立</w:t>
      </w:r>
      <w:r>
        <w:rPr>
          <w:rFonts w:hint="eastAsia" w:hAnsi="Courier New" w:cs="Times New Roman"/>
          <w:highlight w:val="none"/>
          <w:lang w:val="en-US" w:eastAsia="zh-CN"/>
        </w:rPr>
        <w:t>的</w:t>
      </w:r>
      <w:r>
        <w:rPr>
          <w:rFonts w:hint="eastAsia" w:ascii="宋体" w:hAnsi="Courier New" w:eastAsia="宋体" w:cs="Times New Roman"/>
          <w:highlight w:val="none"/>
          <w:lang w:val="en-US" w:eastAsia="zh-CN"/>
        </w:rPr>
        <w:t>PDF格式文件上传至“中国</w:t>
      </w:r>
      <w:bookmarkStart w:id="7" w:name="_GoBack"/>
      <w:bookmarkEnd w:id="7"/>
      <w:r>
        <w:rPr>
          <w:rFonts w:hint="eastAsia" w:ascii="宋体" w:hAnsi="Courier New" w:eastAsia="宋体" w:cs="Times New Roman"/>
          <w:highlight w:val="none"/>
          <w:lang w:val="en-US" w:eastAsia="zh-CN"/>
        </w:rPr>
        <w:t>重汽e采通”平台，文件均以“公司简称+文件名称”格式命名：</w:t>
      </w:r>
    </w:p>
    <w:p w14:paraId="3B8EDB0C">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840" w:leftChars="2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① </w:t>
      </w:r>
      <w:r>
        <w:rPr>
          <w:rFonts w:hint="eastAsia" w:ascii="宋体" w:hAnsi="Courier New" w:eastAsia="宋体" w:cs="Times New Roman"/>
          <w:highlight w:val="none"/>
          <w:lang w:val="en-US" w:eastAsia="zh-CN"/>
        </w:rPr>
        <w:t>供方资质：</w:t>
      </w:r>
      <w:r>
        <w:rPr>
          <w:rFonts w:hint="eastAsia" w:hAnsi="Courier New" w:cs="Times New Roman"/>
          <w:highlight w:val="none"/>
          <w:lang w:val="en-US" w:eastAsia="zh-CN"/>
        </w:rPr>
        <w:t>按照</w:t>
      </w:r>
      <w:r>
        <w:rPr>
          <w:rFonts w:hint="eastAsia" w:hAnsi="Courier New" w:cs="Times New Roman"/>
          <w:b/>
          <w:bCs/>
          <w:highlight w:val="none"/>
          <w:lang w:val="en-US" w:eastAsia="zh-CN"/>
        </w:rPr>
        <w:t>“应标文件的编制”</w:t>
      </w:r>
      <w:r>
        <w:rPr>
          <w:rFonts w:hint="eastAsia" w:eastAsia="宋体" w:cs="Times New Roman"/>
          <w:b/>
          <w:bCs/>
          <w:highlight w:val="none"/>
        </w:rPr>
        <w:t>中的</w:t>
      </w:r>
      <w:r>
        <w:rPr>
          <w:rFonts w:hint="eastAsia" w:eastAsia="宋体" w:cs="Times New Roman"/>
          <w:b/>
          <w:bCs/>
          <w:highlight w:val="none"/>
          <w:lang w:val="en-US" w:eastAsia="zh-CN"/>
        </w:rPr>
        <w:t>2.1</w:t>
      </w:r>
      <w:r>
        <w:rPr>
          <w:rFonts w:eastAsia="宋体" w:cs="Times New Roman"/>
          <w:b/>
          <w:bCs/>
          <w:highlight w:val="none"/>
        </w:rPr>
        <w:t>-</w:t>
      </w:r>
      <w:r>
        <w:rPr>
          <w:rFonts w:hint="eastAsia" w:eastAsia="宋体" w:cs="Times New Roman"/>
          <w:b/>
          <w:bCs/>
          <w:highlight w:val="none"/>
          <w:lang w:val="en-US" w:eastAsia="zh-CN"/>
        </w:rPr>
        <w:t>2.10</w:t>
      </w:r>
      <w:r>
        <w:rPr>
          <w:rFonts w:hint="eastAsia" w:eastAsia="宋体" w:cs="Times New Roman"/>
          <w:b/>
          <w:bCs/>
        </w:rPr>
        <w:t>准备</w:t>
      </w:r>
      <w:r>
        <w:rPr>
          <w:rFonts w:hint="eastAsia" w:ascii="宋体" w:hAnsi="Courier New" w:eastAsia="宋体" w:cs="Times New Roman"/>
          <w:b/>
          <w:bCs/>
          <w:highlight w:val="none"/>
          <w:lang w:val="en-US" w:eastAsia="zh-CN"/>
        </w:rPr>
        <w:t>资料</w:t>
      </w:r>
      <w:r>
        <w:rPr>
          <w:rFonts w:hint="eastAsia" w:ascii="宋体" w:hAnsi="Courier New" w:eastAsia="宋体" w:cs="Times New Roman"/>
          <w:highlight w:val="none"/>
          <w:lang w:val="en-US" w:eastAsia="zh-CN"/>
        </w:rPr>
        <w:t>，须附目录，并在首页清晰列出公司名称、联系人、电话及邮箱</w:t>
      </w:r>
      <w:r>
        <w:rPr>
          <w:rFonts w:hint="default" w:ascii="宋体" w:hAnsi="Courier New" w:eastAsia="宋体" w:cs="Times New Roman"/>
          <w:highlight w:val="none"/>
          <w:lang w:val="en-US" w:eastAsia="zh-CN"/>
        </w:rPr>
        <w:t>；</w:t>
      </w:r>
    </w:p>
    <w:p w14:paraId="4DF9AC4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840" w:leftChars="2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② </w:t>
      </w:r>
      <w:r>
        <w:rPr>
          <w:rFonts w:hint="eastAsia" w:ascii="宋体" w:hAnsi="Courier New" w:eastAsia="宋体" w:cs="Times New Roman"/>
          <w:highlight w:val="none"/>
          <w:lang w:val="en-US" w:eastAsia="zh-CN"/>
        </w:rPr>
        <w:t>企业简介；</w:t>
      </w:r>
    </w:p>
    <w:p w14:paraId="19D2859D">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840" w:leftChars="2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③ </w:t>
      </w:r>
      <w:r>
        <w:rPr>
          <w:rFonts w:hint="eastAsia" w:ascii="宋体" w:hAnsi="Courier New" w:eastAsia="宋体" w:cs="Times New Roman"/>
          <w:highlight w:val="none"/>
          <w:lang w:val="en-US" w:eastAsia="zh-CN"/>
        </w:rPr>
        <w:t>项目业绩</w:t>
      </w:r>
      <w:r>
        <w:rPr>
          <w:rFonts w:hint="eastAsia" w:hAnsi="Courier New" w:cs="Times New Roman"/>
          <w:highlight w:val="none"/>
          <w:lang w:val="en-US" w:eastAsia="zh-CN"/>
        </w:rPr>
        <w:t>：</w:t>
      </w:r>
      <w:r>
        <w:rPr>
          <w:rFonts w:hint="eastAsia" w:hAnsi="Courier New" w:cs="Times New Roman"/>
          <w:b/>
          <w:bCs/>
          <w:highlight w:val="none"/>
          <w:lang w:val="en-US" w:eastAsia="zh-CN"/>
        </w:rPr>
        <w:t>按照“应标文件的编制”</w:t>
      </w:r>
      <w:r>
        <w:rPr>
          <w:rFonts w:hint="eastAsia" w:eastAsia="宋体" w:cs="Times New Roman"/>
          <w:b/>
          <w:bCs/>
          <w:highlight w:val="none"/>
        </w:rPr>
        <w:t>中的</w:t>
      </w:r>
      <w:r>
        <w:rPr>
          <w:rFonts w:hint="eastAsia" w:eastAsia="宋体" w:cs="Times New Roman"/>
          <w:b/>
          <w:bCs/>
          <w:highlight w:val="none"/>
          <w:lang w:val="en-US" w:eastAsia="zh-CN"/>
        </w:rPr>
        <w:t>2.11</w:t>
      </w:r>
      <w:r>
        <w:rPr>
          <w:rFonts w:hint="eastAsia" w:eastAsia="宋体" w:cs="Times New Roman"/>
          <w:b/>
          <w:bCs/>
        </w:rPr>
        <w:t>准备资料</w:t>
      </w:r>
      <w:r>
        <w:rPr>
          <w:rFonts w:hint="eastAsia" w:ascii="宋体" w:hAnsi="Courier New" w:eastAsia="宋体" w:cs="Times New Roman"/>
          <w:highlight w:val="none"/>
          <w:lang w:val="en-US" w:eastAsia="zh-CN"/>
        </w:rPr>
        <w:t>。</w:t>
      </w:r>
    </w:p>
    <w:p w14:paraId="6195BE49">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840" w:leftChars="200" w:hanging="420" w:hangingChars="200"/>
        <w:jc w:val="both"/>
        <w:textAlignment w:val="auto"/>
        <w:rPr>
          <w:rFonts w:hint="default" w:ascii="宋体" w:hAnsi="Courier New" w:eastAsia="宋体" w:cs="Times New Roman"/>
          <w:highlight w:val="none"/>
          <w:lang w:val="en-US" w:eastAsia="zh-CN"/>
        </w:rPr>
      </w:pPr>
    </w:p>
    <w:p w14:paraId="55D42DC4">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0"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营业执照副本复印件（需加盖公章）；</w:t>
      </w:r>
    </w:p>
    <w:p w14:paraId="5CEFFC08">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0"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法定代表人授权书（附件</w:t>
      </w:r>
      <w:r>
        <w:rPr>
          <w:rFonts w:hint="eastAsia" w:cs="Times New Roman"/>
          <w:b w:val="0"/>
          <w:bCs/>
          <w:highlight w:val="none"/>
          <w:lang w:val="en-US" w:eastAsia="zh-CN"/>
        </w:rPr>
        <w:t>1</w:t>
      </w:r>
      <w:r>
        <w:rPr>
          <w:rFonts w:hint="eastAsia" w:ascii="宋体" w:hAnsi="宋体" w:eastAsia="宋体" w:cs="Times New Roman"/>
          <w:b w:val="0"/>
          <w:bCs/>
          <w:highlight w:val="none"/>
          <w:lang w:val="en-US" w:eastAsia="zh-CN"/>
        </w:rPr>
        <w:t>）；法定代表人参加投标的，提供法人身份证明文件即可；被授权人参加投标的，需提供法定代表人授权委托书（含法人身份证和被授权人身份证正反面复印件）和被授权人近6个月及以上在授权单位的社保缴纳证明；</w:t>
      </w:r>
    </w:p>
    <w:p w14:paraId="7DA4B4B1">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0" w:firstLineChars="0"/>
        <w:textAlignment w:val="auto"/>
        <w:rPr>
          <w:rFonts w:hint="eastAsia" w:ascii="宋体" w:hAnsi="宋体" w:eastAsia="宋体" w:cs="Times New Roman"/>
          <w:b w:val="0"/>
          <w:bCs/>
          <w:highlight w:val="none"/>
          <w:lang w:val="en-US" w:eastAsia="zh-CN"/>
        </w:rPr>
      </w:pPr>
      <w:bookmarkStart w:id="4" w:name="OLE_LINK3"/>
      <w:r>
        <w:rPr>
          <w:rFonts w:hint="eastAsia" w:ascii="宋体" w:hAnsi="宋体" w:eastAsia="宋体" w:cs="Times New Roman"/>
          <w:b w:val="0"/>
          <w:bCs/>
          <w:highlight w:val="none"/>
          <w:lang w:val="en-US" w:eastAsia="zh-CN"/>
        </w:rPr>
        <w:t>拟投标人2020年1月1日至今经会计师事务所审计且出具无保留意见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bookmarkEnd w:id="4"/>
      <w:r>
        <w:rPr>
          <w:rFonts w:hint="eastAsia" w:ascii="宋体" w:hAnsi="宋体" w:eastAsia="宋体" w:cs="Times New Roman"/>
          <w:b w:val="0"/>
          <w:bCs/>
          <w:highlight w:val="none"/>
          <w:lang w:val="en-US" w:eastAsia="zh-CN"/>
        </w:rPr>
        <w:t>必须连续，同时填写投标人基本情况及资产情况汇总表（附件</w:t>
      </w:r>
      <w:r>
        <w:rPr>
          <w:rFonts w:hint="eastAsia" w:cs="Times New Roman"/>
          <w:b w:val="0"/>
          <w:bCs/>
          <w:highlight w:val="none"/>
          <w:lang w:val="en-US" w:eastAsia="zh-CN"/>
        </w:rPr>
        <w:t>2</w:t>
      </w:r>
      <w:r>
        <w:rPr>
          <w:rFonts w:hint="eastAsia" w:ascii="宋体" w:hAnsi="宋体" w:eastAsia="宋体" w:cs="Times New Roman"/>
          <w:b w:val="0"/>
          <w:bCs/>
          <w:highlight w:val="none"/>
          <w:lang w:val="en-US" w:eastAsia="zh-CN"/>
        </w:rPr>
        <w:t>）；</w:t>
      </w:r>
    </w:p>
    <w:p w14:paraId="32B4D8D2">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0"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近三年内在经营活动中无与本项目有关的违法及重大违规行为的声明；</w:t>
      </w:r>
    </w:p>
    <w:p w14:paraId="5EEEC721">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0"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投标人在国家企业信用信息公示系统中无与本项目有关的行政处罚、经营异常和失信信息的声明；</w:t>
      </w:r>
    </w:p>
    <w:p w14:paraId="095A2AD6">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0"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企业对外担保说明（写投标人对外有无对外担保和质押业务，需加盖公章）；</w:t>
      </w:r>
    </w:p>
    <w:p w14:paraId="632A1228">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0"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企业信用证明材料（征信报告）；</w:t>
      </w:r>
    </w:p>
    <w:p w14:paraId="1818F3E2">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0"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企业最近半年的完税证明、年度纳税信用评价信息（可从电子税务局查询截图，</w:t>
      </w:r>
    </w:p>
    <w:p w14:paraId="1050DD4D">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0"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需加盖公章）；</w:t>
      </w:r>
    </w:p>
    <w:p w14:paraId="09468F4B">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0"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保密承诺函（附件</w:t>
      </w:r>
      <w:r>
        <w:rPr>
          <w:rFonts w:hint="eastAsia" w:cs="Times New Roman"/>
          <w:b w:val="0"/>
          <w:bCs/>
          <w:highlight w:val="none"/>
          <w:lang w:val="en-US" w:eastAsia="zh-CN"/>
        </w:rPr>
        <w:t>3</w:t>
      </w:r>
      <w:r>
        <w:rPr>
          <w:rFonts w:hint="eastAsia" w:ascii="宋体" w:hAnsi="宋体" w:eastAsia="宋体" w:cs="Times New Roman"/>
          <w:b w:val="0"/>
          <w:bCs/>
          <w:highlight w:val="none"/>
          <w:lang w:val="en-US" w:eastAsia="zh-CN"/>
        </w:rPr>
        <w:t>）；</w:t>
      </w:r>
    </w:p>
    <w:p w14:paraId="72F3EC30">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0"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企业2021年1月1日以来同类项目业绩证明，</w:t>
      </w:r>
      <w:r>
        <w:rPr>
          <w:rFonts w:hint="default" w:ascii="宋体" w:hAnsi="宋体" w:eastAsia="宋体" w:cs="Times New Roman"/>
          <w:b w:val="0"/>
          <w:bCs/>
          <w:highlight w:val="none"/>
          <w:lang w:val="en-US" w:eastAsia="zh-CN"/>
        </w:rPr>
        <w:t>须提供</w:t>
      </w:r>
      <w:r>
        <w:rPr>
          <w:rFonts w:hint="eastAsia" w:ascii="宋体" w:hAnsi="宋体" w:eastAsia="宋体" w:cs="Times New Roman"/>
          <w:b w:val="0"/>
          <w:bCs/>
          <w:highlight w:val="none"/>
          <w:lang w:val="en-US" w:eastAsia="zh-CN"/>
        </w:rPr>
        <w:t>用户清单</w:t>
      </w:r>
      <w:r>
        <w:rPr>
          <w:rFonts w:hint="default" w:ascii="宋体" w:hAnsi="宋体" w:eastAsia="宋体" w:cs="Times New Roman"/>
          <w:b w:val="0"/>
          <w:bCs/>
          <w:highlight w:val="none"/>
          <w:lang w:val="en-US" w:eastAsia="zh-CN"/>
        </w:rPr>
        <w:t>、采购合同</w:t>
      </w:r>
      <w:r>
        <w:rPr>
          <w:rFonts w:hint="eastAsia" w:ascii="宋体" w:hAnsi="宋体" w:eastAsia="宋体" w:cs="Times New Roman"/>
          <w:b w:val="0"/>
          <w:bCs/>
          <w:highlight w:val="none"/>
          <w:lang w:val="en-US" w:eastAsia="zh-CN"/>
        </w:rPr>
        <w:t>复印件；</w:t>
      </w:r>
    </w:p>
    <w:p w14:paraId="3E77B17A">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2" w:firstLineChars="200"/>
        <w:textAlignment w:val="auto"/>
        <w:rPr>
          <w:rFonts w:hint="eastAsia" w:ascii="宋体" w:hAnsi="宋体" w:eastAsia="宋体" w:cs="Times New Roman"/>
          <w:b w:val="0"/>
          <w:bCs/>
          <w:lang w:val="en-US" w:eastAsia="zh-CN"/>
        </w:rPr>
      </w:pPr>
      <w:r>
        <w:rPr>
          <w:rFonts w:hint="eastAsia"/>
          <w:b/>
          <w:bCs/>
          <w:color w:val="auto"/>
        </w:rPr>
        <w:t>对于投标人资质审核不通过的，招标人有权拒绝其投标。</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yellow"/>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cs="Times New Roman"/>
          <w:highlight w:val="none"/>
          <w:lang w:val="en-US" w:eastAsia="zh-CN"/>
        </w:rPr>
        <w:t>11</w:t>
      </w:r>
      <w:r>
        <w:rPr>
          <w:rFonts w:hint="eastAsia" w:ascii="宋体" w:hAnsi="Courier New" w:eastAsia="宋体" w:cs="Times New Roman"/>
          <w:highlight w:val="none"/>
          <w:lang w:val="en-US" w:eastAsia="zh-CN"/>
        </w:rPr>
        <w:t>月</w:t>
      </w:r>
      <w:r>
        <w:rPr>
          <w:rFonts w:hint="eastAsia" w:cs="Times New Roman"/>
          <w:highlight w:val="none"/>
          <w:lang w:val="en-US" w:eastAsia="zh-CN"/>
        </w:rPr>
        <w:t>6</w:t>
      </w:r>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44BC705F">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投标</w:t>
      </w:r>
      <w:r>
        <w:rPr>
          <w:rFonts w:hint="eastAsia" w:cs="Times New Roman"/>
          <w:highlight w:val="none"/>
          <w:lang w:val="en-US" w:eastAsia="zh-CN"/>
        </w:rPr>
        <w:t>报名</w:t>
      </w:r>
    </w:p>
    <w:p w14:paraId="22D0959D">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210" w:firstLineChars="100"/>
        <w:jc w:val="both"/>
        <w:textAlignment w:val="auto"/>
        <w:outlineLvl w:val="3"/>
        <w:rPr>
          <w:rFonts w:hint="eastAsia" w:ascii="宋体" w:hAnsi="Courier New" w:eastAsia="宋体" w:cs="Times New Roman"/>
          <w:highlight w:val="none"/>
          <w:lang w:val="en-US" w:eastAsia="zh-CN"/>
        </w:rPr>
      </w:pPr>
      <w:r>
        <w:rPr>
          <w:rFonts w:hint="eastAsia" w:cs="Times New Roman"/>
          <w:highlight w:val="none"/>
          <w:lang w:val="en-US" w:eastAsia="zh-CN"/>
        </w:rPr>
        <w:t>应标截止时间：</w:t>
      </w:r>
      <w:r>
        <w:rPr>
          <w:rFonts w:hint="eastAsia" w:eastAsia="宋体" w:cs="宋体"/>
          <w:highlight w:val="none"/>
          <w:u w:val="single"/>
        </w:rPr>
        <w:t>202</w:t>
      </w:r>
      <w:r>
        <w:rPr>
          <w:rFonts w:hint="eastAsia" w:cs="宋体"/>
          <w:highlight w:val="none"/>
          <w:u w:val="single"/>
          <w:lang w:val="en-US" w:eastAsia="zh-CN"/>
        </w:rPr>
        <w:t>5</w:t>
      </w:r>
      <w:r>
        <w:rPr>
          <w:rFonts w:hint="eastAsia" w:eastAsia="宋体" w:cs="宋体"/>
          <w:highlight w:val="none"/>
          <w:u w:val="single"/>
        </w:rPr>
        <w:t>年</w:t>
      </w:r>
      <w:r>
        <w:rPr>
          <w:rFonts w:hint="eastAsia" w:cs="宋体"/>
          <w:highlight w:val="none"/>
          <w:u w:val="single"/>
          <w:lang w:val="en-US" w:eastAsia="zh-CN"/>
        </w:rPr>
        <w:t>11</w:t>
      </w:r>
      <w:r>
        <w:rPr>
          <w:rFonts w:hint="eastAsia" w:eastAsia="宋体" w:cs="宋体"/>
          <w:highlight w:val="none"/>
          <w:u w:val="single"/>
        </w:rPr>
        <w:t>月</w:t>
      </w:r>
      <w:r>
        <w:rPr>
          <w:rFonts w:hint="eastAsia" w:cs="宋体"/>
          <w:highlight w:val="none"/>
          <w:u w:val="single"/>
          <w:lang w:val="en-US" w:eastAsia="zh-CN"/>
        </w:rPr>
        <w:t>12</w:t>
      </w:r>
      <w:r>
        <w:rPr>
          <w:rFonts w:hint="eastAsia" w:eastAsia="宋体" w:cs="宋体"/>
          <w:highlight w:val="none"/>
          <w:u w:val="single"/>
        </w:rPr>
        <w:t>日</w:t>
      </w:r>
      <w:r>
        <w:rPr>
          <w:rFonts w:hint="eastAsia" w:cs="宋体"/>
          <w:highlight w:val="none"/>
          <w:u w:val="single"/>
          <w:lang w:val="en-US" w:eastAsia="zh-CN"/>
        </w:rPr>
        <w:t>17</w:t>
      </w:r>
      <w:r>
        <w:rPr>
          <w:rFonts w:hint="eastAsia"/>
          <w:highlight w:val="none"/>
          <w:u w:val="single"/>
          <w:lang w:val="en-US" w:eastAsia="zh-CN"/>
        </w:rPr>
        <w:t>:00:00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100BE237">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210" w:leftChars="100" w:firstLine="0" w:firstLineChars="0"/>
        <w:jc w:val="both"/>
        <w:textAlignment w:val="auto"/>
        <w:outlineLvl w:val="3"/>
        <w:rPr>
          <w:rFonts w:hint="eastAsia" w:cs="Times New Roman"/>
          <w:highlight w:val="none"/>
          <w:lang w:val="en-US" w:eastAsia="zh-CN"/>
        </w:rPr>
      </w:pPr>
      <w:r>
        <w:rPr>
          <w:rFonts w:hint="eastAsia" w:cs="宋体"/>
          <w:sz w:val="21"/>
          <w:szCs w:val="21"/>
          <w:highlight w:val="none"/>
          <w:lang w:val="en-US" w:eastAsia="zh-CN"/>
        </w:rPr>
        <w:t>报名方式：</w:t>
      </w:r>
      <w:r>
        <w:rPr>
          <w:rFonts w:hint="eastAsia" w:eastAsia="宋体" w:cs="宋体"/>
          <w:sz w:val="21"/>
          <w:szCs w:val="21"/>
          <w:highlight w:val="none"/>
          <w:lang w:val="en-US" w:eastAsia="zh-CN"/>
        </w:rPr>
        <w:t>拟</w:t>
      </w:r>
      <w:r>
        <w:rPr>
          <w:rFonts w:hint="eastAsia" w:cs="Times New Roman"/>
          <w:highlight w:val="none"/>
          <w:lang w:val="en-US" w:eastAsia="zh-CN"/>
        </w:rPr>
        <w:t>投标</w:t>
      </w:r>
      <w:r>
        <w:rPr>
          <w:rFonts w:hint="eastAsia" w:eastAsia="宋体" w:cs="宋体"/>
          <w:sz w:val="21"/>
          <w:szCs w:val="21"/>
          <w:highlight w:val="none"/>
          <w:lang w:val="en-US" w:eastAsia="zh-CN"/>
        </w:rPr>
        <w:t>人根据招标人在中国重汽官网公开媒体上发布的招标信息，在</w:t>
      </w:r>
      <w:r>
        <w:rPr>
          <w:rFonts w:hint="eastAsia" w:eastAsia="宋体" w:cs="宋体"/>
          <w:b/>
          <w:bCs/>
          <w:sz w:val="21"/>
          <w:szCs w:val="21"/>
          <w:highlight w:val="none"/>
          <w:lang w:val="en-US" w:eastAsia="zh-CN"/>
        </w:rPr>
        <w:t>“中国重汽e采通”</w:t>
      </w:r>
      <w:r>
        <w:rPr>
          <w:rFonts w:hint="eastAsia" w:eastAsia="宋体" w:cs="宋体"/>
          <w:sz w:val="21"/>
          <w:szCs w:val="21"/>
          <w:highlight w:val="none"/>
          <w:lang w:val="en-US" w:eastAsia="zh-CN"/>
        </w:rPr>
        <w:t>平台报名。具体流程如下：</w:t>
      </w:r>
    </w:p>
    <w:p w14:paraId="4F779DBE">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210" w:leftChars="100" w:firstLine="420" w:firstLineChars="200"/>
        <w:jc w:val="both"/>
        <w:textAlignment w:val="auto"/>
        <w:outlineLvl w:val="9"/>
        <w:rPr>
          <w:rFonts w:hint="eastAsia" w:cs="Times New Roman"/>
          <w:highlight w:val="none"/>
          <w:lang w:val="en-US" w:eastAsia="zh-CN"/>
        </w:rPr>
      </w:pPr>
      <w:r>
        <w:rPr>
          <w:rFonts w:hint="eastAsia" w:cs="宋体"/>
          <w:sz w:val="21"/>
          <w:szCs w:val="21"/>
          <w:highlight w:val="none"/>
          <w:lang w:val="en-US" w:eastAsia="zh-CN"/>
        </w:rPr>
        <w:t>①</w:t>
      </w:r>
      <w:r>
        <w:rPr>
          <w:rFonts w:hint="eastAsia" w:eastAsia="宋体" w:cs="宋体"/>
          <w:sz w:val="21"/>
          <w:szCs w:val="21"/>
          <w:highlight w:val="none"/>
          <w:lang w:val="en-US" w:eastAsia="zh-CN"/>
        </w:rPr>
        <w:t>系统注册与信息维护</w:t>
      </w:r>
    </w:p>
    <w:p w14:paraId="2B0D73C8">
      <w:pPr>
        <w:pStyle w:val="76"/>
        <w:keepNext w:val="0"/>
        <w:keepLines w:val="0"/>
        <w:pageBreakBefore w:val="0"/>
        <w:widowControl w:val="0"/>
        <w:numPr>
          <w:ilvl w:val="0"/>
          <w:numId w:val="14"/>
        </w:numPr>
        <w:kinsoku/>
        <w:wordWrap/>
        <w:overflowPunct/>
        <w:topLinePunct w:val="0"/>
        <w:autoSpaceDE/>
        <w:autoSpaceDN/>
        <w:bidi w:val="0"/>
        <w:adjustRightInd/>
        <w:snapToGrid/>
        <w:spacing w:line="400" w:lineRule="exact"/>
        <w:ind w:left="1472" w:leftChars="50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首次注册</w:t>
      </w:r>
      <w:r>
        <w:rPr>
          <w:rFonts w:hint="eastAsia" w:cs="Times New Roman"/>
          <w:b w:val="0"/>
          <w:bCs w:val="0"/>
          <w:highlight w:val="none"/>
          <w:lang w:val="en-US" w:eastAsia="zh-CN"/>
        </w:rPr>
        <w:t>供应商</w:t>
      </w:r>
      <w:r>
        <w:rPr>
          <w:rFonts w:hint="eastAsia" w:cs="Times New Roman"/>
          <w:b/>
          <w:bCs/>
          <w:highlight w:val="none"/>
          <w:lang w:val="en-US" w:eastAsia="zh-CN"/>
        </w:rPr>
        <w:t>：</w:t>
      </w:r>
      <w:r>
        <w:rPr>
          <w:rFonts w:hint="eastAsia" w:cs="Times New Roman"/>
          <w:highlight w:val="none"/>
          <w:lang w:val="en-US" w:eastAsia="zh-CN"/>
        </w:rPr>
        <w:t>请根据《SRM非生产供应商注册手册》（附件4）完成平台账号注册。</w:t>
      </w:r>
    </w:p>
    <w:p w14:paraId="41B17194">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1472" w:leftChars="50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已注册供应商：</w:t>
      </w:r>
      <w:r>
        <w:rPr>
          <w:rFonts w:hint="eastAsia" w:cs="Times New Roman"/>
          <w:highlight w:val="none"/>
          <w:lang w:val="en-US" w:eastAsia="zh-CN"/>
        </w:rPr>
        <w:t>请登录系统核对系统中</w:t>
      </w:r>
      <w:r>
        <w:rPr>
          <w:rFonts w:hint="eastAsia" w:cs="Times New Roman"/>
          <w:b/>
          <w:bCs/>
          <w:highlight w:val="none"/>
          <w:lang w:val="en-US" w:eastAsia="zh-CN"/>
        </w:rPr>
        <w:t>2022-2024年度财务数据</w:t>
      </w:r>
      <w:r>
        <w:rPr>
          <w:rFonts w:hint="eastAsia" w:cs="Times New Roman"/>
          <w:highlight w:val="none"/>
          <w:lang w:val="en-US" w:eastAsia="zh-CN"/>
        </w:rPr>
        <w:t>。</w:t>
      </w:r>
      <w:r>
        <w:rPr>
          <w:rFonts w:hint="default" w:cs="Times New Roman"/>
          <w:highlight w:val="none"/>
          <w:lang w:val="en-US" w:eastAsia="zh-CN"/>
        </w:rPr>
        <w:t>如尚未填写或信息不全，请参照《SRM非生产供应商注册手册》（附件</w:t>
      </w:r>
      <w:r>
        <w:rPr>
          <w:rFonts w:hint="eastAsia" w:cs="Times New Roman"/>
          <w:highlight w:val="none"/>
          <w:lang w:val="en-US" w:eastAsia="zh-CN"/>
        </w:rPr>
        <w:t>4</w:t>
      </w:r>
      <w:r>
        <w:rPr>
          <w:rFonts w:hint="default" w:cs="Times New Roman"/>
          <w:highlight w:val="none"/>
          <w:lang w:val="en-US" w:eastAsia="zh-CN"/>
        </w:rPr>
        <w:t>）及时进行补充与更新，确保信息真实、完整。</w:t>
      </w:r>
    </w:p>
    <w:p w14:paraId="56C53AFD">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210" w:leftChars="100" w:firstLine="420" w:firstLineChars="200"/>
        <w:jc w:val="both"/>
        <w:textAlignment w:val="auto"/>
        <w:outlineLvl w:val="9"/>
        <w:rPr>
          <w:rFonts w:hint="eastAsia" w:cs="Times New Roman"/>
          <w:highlight w:val="none"/>
          <w:lang w:val="en-US" w:eastAsia="zh-CN"/>
        </w:rPr>
      </w:pPr>
      <w:r>
        <w:rPr>
          <w:rFonts w:hint="eastAsia" w:cs="Times New Roman"/>
          <w:highlight w:val="none"/>
          <w:lang w:val="en-US" w:eastAsia="zh-CN"/>
        </w:rPr>
        <w:t>②应标流程</w:t>
      </w:r>
    </w:p>
    <w:p w14:paraId="01846438">
      <w:pPr>
        <w:pStyle w:val="76"/>
        <w:keepNext w:val="0"/>
        <w:keepLines w:val="0"/>
        <w:pageBreakBefore w:val="0"/>
        <w:widowControl w:val="0"/>
        <w:numPr>
          <w:ilvl w:val="0"/>
          <w:numId w:val="0"/>
        </w:numPr>
        <w:kinsoku/>
        <w:wordWrap/>
        <w:overflowPunct/>
        <w:topLinePunct w:val="0"/>
        <w:autoSpaceDE/>
        <w:autoSpaceDN/>
        <w:bidi w:val="0"/>
        <w:adjustRightInd/>
        <w:snapToGrid/>
        <w:spacing w:line="400" w:lineRule="exact"/>
        <w:ind w:left="840" w:leftChars="400" w:firstLine="420" w:firstLineChars="200"/>
        <w:jc w:val="both"/>
        <w:textAlignment w:val="auto"/>
        <w:rPr>
          <w:rFonts w:hint="default" w:cs="Times New Roman"/>
          <w:b/>
          <w:bCs/>
          <w:highlight w:val="none"/>
          <w:lang w:val="en-US" w:eastAsia="zh-CN"/>
        </w:rPr>
      </w:pPr>
      <w:r>
        <w:rPr>
          <w:rFonts w:hint="eastAsia" w:cs="Times New Roman"/>
          <w:highlight w:val="none"/>
          <w:lang w:val="en-US" w:eastAsia="zh-CN"/>
        </w:rPr>
        <w:t>注册及财务数据维护完成后，参照《SRM系统供应商用户手册》（附件5）登录平台，进入“供应商应标”模块，选择对应项目点击“应标”，并按照本公告第二部分</w:t>
      </w:r>
      <w:r>
        <w:rPr>
          <w:rFonts w:hint="eastAsia" w:cs="Times New Roman"/>
          <w:b/>
          <w:bCs/>
          <w:highlight w:val="none"/>
          <w:lang w:val="en-US" w:eastAsia="zh-CN"/>
        </w:rPr>
        <w:t>“应标文件的编制”</w:t>
      </w:r>
      <w:r>
        <w:rPr>
          <w:rFonts w:hint="eastAsia" w:cs="Times New Roman"/>
          <w:highlight w:val="none"/>
          <w:lang w:val="en-US" w:eastAsia="zh-CN"/>
        </w:rPr>
        <w:t>要求准备资料并上传。</w:t>
      </w:r>
      <w:r>
        <w:rPr>
          <w:rFonts w:hint="eastAsia" w:cs="Times New Roman"/>
          <w:b/>
          <w:bCs/>
          <w:highlight w:val="none"/>
          <w:lang w:val="en-US" w:eastAsia="zh-CN"/>
        </w:rPr>
        <w:t>资质审查通过后，视为报名成功（是否为代理商请如实选择，若为代理商应标，请在应标后联系商务联系人）。</w:t>
      </w:r>
    </w:p>
    <w:p w14:paraId="6C035143">
      <w:pPr>
        <w:pStyle w:val="76"/>
        <w:keepNext w:val="0"/>
        <w:keepLines w:val="0"/>
        <w:pageBreakBefore w:val="0"/>
        <w:widowControl w:val="0"/>
        <w:numPr>
          <w:ilvl w:val="0"/>
          <w:numId w:val="0"/>
        </w:numPr>
        <w:kinsoku/>
        <w:wordWrap/>
        <w:overflowPunct/>
        <w:topLinePunct w:val="0"/>
        <w:autoSpaceDE/>
        <w:autoSpaceDN/>
        <w:bidi w:val="0"/>
        <w:adjustRightInd/>
        <w:snapToGrid/>
        <w:spacing w:line="400" w:lineRule="exact"/>
        <w:ind w:left="840" w:leftChars="400" w:firstLine="420" w:firstLineChars="200"/>
        <w:jc w:val="both"/>
        <w:textAlignment w:val="auto"/>
        <w:rPr>
          <w:rFonts w:hint="eastAsia" w:cs="Times New Roman"/>
          <w:b/>
          <w:bCs/>
          <w:highlight w:val="none"/>
          <w:lang w:val="en-US" w:eastAsia="zh-CN"/>
        </w:rPr>
      </w:pPr>
      <w:r>
        <w:rPr>
          <w:rFonts w:hint="eastAsia" w:cs="Times New Roman"/>
          <w:highlight w:val="none"/>
          <w:lang w:val="en-US" w:eastAsia="zh-CN"/>
        </w:rPr>
        <w:t>如资质审查未通过，请按审核意见修改后重新上传。请注意：</w:t>
      </w:r>
      <w:r>
        <w:rPr>
          <w:rFonts w:hint="eastAsia" w:cs="Times New Roman"/>
          <w:b/>
          <w:bCs/>
          <w:highlight w:val="none"/>
          <w:lang w:val="en-US" w:eastAsia="zh-CN"/>
        </w:rPr>
        <w:t>应标截止时间后将无法再次上传或修改应标文件。</w:t>
      </w:r>
    </w:p>
    <w:p w14:paraId="082866B2">
      <w:pPr>
        <w:pStyle w:val="76"/>
        <w:keepNext w:val="0"/>
        <w:keepLines w:val="0"/>
        <w:pageBreakBefore w:val="0"/>
        <w:widowControl w:val="0"/>
        <w:numPr>
          <w:ilvl w:val="0"/>
          <w:numId w:val="0"/>
        </w:numPr>
        <w:kinsoku/>
        <w:wordWrap/>
        <w:overflowPunct/>
        <w:topLinePunct w:val="0"/>
        <w:autoSpaceDE/>
        <w:autoSpaceDN/>
        <w:bidi w:val="0"/>
        <w:adjustRightInd/>
        <w:snapToGrid/>
        <w:spacing w:before="157" w:beforeLines="50"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w:t>
      </w:r>
      <w:r>
        <w:rPr>
          <w:rFonts w:hint="eastAsia" w:cs="宋体"/>
          <w:b/>
          <w:bCs/>
          <w:highlight w:val="none"/>
          <w:lang w:val="en-US" w:eastAsia="zh-CN"/>
        </w:rPr>
        <w:t>财务数据变更审核需1-2日，</w:t>
      </w:r>
      <w:r>
        <w:rPr>
          <w:rFonts w:hint="eastAsia" w:eastAsia="宋体" w:cs="宋体"/>
          <w:b/>
          <w:bCs/>
          <w:highlight w:val="none"/>
        </w:rPr>
        <w:t>应标截止时间精确到秒，逾期将无法应标。请自行掌握时间，避免无法应标。</w:t>
      </w:r>
    </w:p>
    <w:p w14:paraId="2DC106E1">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11</w:t>
      </w:r>
      <w:r>
        <w:rPr>
          <w:rFonts w:hint="eastAsia" w:ascii="宋体" w:hAnsi="Courier New" w:eastAsia="宋体" w:cs="Times New Roman"/>
          <w:highlight w:val="none"/>
          <w:u w:val="none"/>
          <w:lang w:val="en-US" w:eastAsia="zh-CN"/>
        </w:rPr>
        <w:t>月</w:t>
      </w:r>
      <w:r>
        <w:rPr>
          <w:rFonts w:hint="eastAsia" w:cs="Times New Roman"/>
          <w:highlight w:val="none"/>
          <w:u w:val="none"/>
          <w:lang w:val="en-US" w:eastAsia="zh-CN"/>
        </w:rPr>
        <w:t>22</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11月22日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6"/>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2C8A7A75">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14:paraId="03DE9C64">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ascii="宋体" w:hAnsi="Courier New" w:eastAsia="宋体" w:cs="Times New Roman"/>
          <w:highlight w:val="none"/>
          <w:lang w:val="en-US" w:eastAsia="zh-CN"/>
        </w:rPr>
      </w:pPr>
      <w:r>
        <w:rPr>
          <w:rFonts w:hint="eastAsia" w:cs="Times New Roman"/>
          <w:highlight w:val="none"/>
          <w:lang w:val="en-US" w:eastAsia="zh-CN"/>
        </w:rPr>
        <w:t>获取时间：报名成功后；</w:t>
      </w:r>
    </w:p>
    <w:p w14:paraId="2E9312AD">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14:paraId="0284161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cyan"/>
          <w:lang w:val="en-US" w:eastAsia="zh-CN"/>
        </w:rPr>
      </w:pPr>
      <w:r>
        <w:rPr>
          <w:rFonts w:hint="eastAsia"/>
          <w:highlight w:val="none"/>
          <w:lang w:val="en-US" w:eastAsia="zh-CN"/>
        </w:rPr>
        <w:t>投标文件的递交</w:t>
      </w:r>
    </w:p>
    <w:p w14:paraId="2FA00E6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w:t>
      </w:r>
      <w:r>
        <w:rPr>
          <w:rFonts w:hint="default" w:ascii="宋体" w:hAnsi="Courier New" w:eastAsia="宋体" w:cs="Times New Roman"/>
          <w:b/>
          <w:bCs w:val="0"/>
          <w:kern w:val="2"/>
          <w:sz w:val="21"/>
          <w:highlight w:val="none"/>
          <w:lang w:val="en-US" w:eastAsia="zh-CN" w:bidi="ar-SA"/>
        </w:rPr>
        <w:t> 2025年</w:t>
      </w:r>
      <w:r>
        <w:rPr>
          <w:rFonts w:hint="eastAsia" w:hAnsi="Courier New" w:cs="Times New Roman"/>
          <w:b/>
          <w:bCs w:val="0"/>
          <w:kern w:val="2"/>
          <w:sz w:val="21"/>
          <w:highlight w:val="none"/>
          <w:lang w:val="en-US" w:eastAsia="zh-CN" w:bidi="ar-SA"/>
        </w:rPr>
        <w:t>11</w:t>
      </w:r>
      <w:r>
        <w:rPr>
          <w:rFonts w:hint="default" w:ascii="宋体" w:hAnsi="Courier New" w:eastAsia="宋体" w:cs="Times New Roman"/>
          <w:b/>
          <w:bCs w:val="0"/>
          <w:kern w:val="2"/>
          <w:sz w:val="21"/>
          <w:highlight w:val="none"/>
          <w:lang w:val="en-US" w:eastAsia="zh-CN" w:bidi="ar-SA"/>
        </w:rPr>
        <w:t>月</w:t>
      </w:r>
      <w:r>
        <w:rPr>
          <w:rFonts w:hint="eastAsia" w:hAnsi="Courier New" w:cs="Times New Roman"/>
          <w:b/>
          <w:bCs w:val="0"/>
          <w:kern w:val="2"/>
          <w:sz w:val="21"/>
          <w:highlight w:val="none"/>
          <w:lang w:val="en-US" w:eastAsia="zh-CN" w:bidi="ar-SA"/>
        </w:rPr>
        <w:t>28</w:t>
      </w:r>
      <w:r>
        <w:rPr>
          <w:rFonts w:hint="default" w:ascii="宋体" w:hAnsi="Courier New" w:eastAsia="宋体" w:cs="Times New Roman"/>
          <w:b/>
          <w:bCs w:val="0"/>
          <w:kern w:val="2"/>
          <w:sz w:val="21"/>
          <w:highlight w:val="none"/>
          <w:lang w:val="en-US" w:eastAsia="zh-CN" w:bidi="ar-SA"/>
        </w:rPr>
        <w:t xml:space="preserve">日 </w:t>
      </w:r>
      <w:r>
        <w:rPr>
          <w:rFonts w:hint="eastAsia" w:hAnsi="Courier New" w:cs="Times New Roman"/>
          <w:b/>
          <w:bCs w:val="0"/>
          <w:kern w:val="2"/>
          <w:sz w:val="21"/>
          <w:highlight w:val="none"/>
          <w:lang w:val="en-US" w:eastAsia="zh-CN" w:bidi="ar-SA"/>
        </w:rPr>
        <w:t>9</w:t>
      </w:r>
      <w:r>
        <w:rPr>
          <w:rFonts w:hint="default" w:ascii="宋体" w:hAnsi="Courier New" w:eastAsia="宋体" w:cs="Times New Roman"/>
          <w:b/>
          <w:bCs w:val="0"/>
          <w:kern w:val="2"/>
          <w:sz w:val="21"/>
          <w:highlight w:val="none"/>
          <w:lang w:val="en-US" w:eastAsia="zh-CN" w:bidi="ar-SA"/>
        </w:rPr>
        <w:t>:00:00（北京时间）</w:t>
      </w:r>
      <w:r>
        <w:rPr>
          <w:rFonts w:hint="default" w:ascii="宋体" w:hAnsi="Courier New" w:eastAsia="宋体" w:cs="Times New Roman"/>
          <w:b w:val="0"/>
          <w:bCs/>
          <w:kern w:val="2"/>
          <w:sz w:val="21"/>
          <w:highlight w:val="none"/>
          <w:lang w:val="en-US" w:eastAsia="zh-CN" w:bidi="ar-SA"/>
        </w:rPr>
        <w:t>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同时，投标人须在开标当日、开标仪式开始前，将与电子版内容一致的纸质版投标文件（</w:t>
      </w:r>
      <w:r>
        <w:rPr>
          <w:rFonts w:hint="eastAsia" w:hAnsi="Courier New" w:cs="Times New Roman"/>
          <w:b w:val="0"/>
          <w:bCs/>
          <w:kern w:val="2"/>
          <w:sz w:val="21"/>
          <w:highlight w:val="none"/>
          <w:lang w:val="en-US" w:eastAsia="zh-CN" w:bidi="ar-SA"/>
        </w:rPr>
        <w:t>正本一</w:t>
      </w:r>
      <w:r>
        <w:rPr>
          <w:rFonts w:hint="default" w:ascii="宋体" w:hAnsi="Courier New" w:eastAsia="宋体" w:cs="Times New Roman"/>
          <w:b w:val="0"/>
          <w:bCs/>
          <w:kern w:val="2"/>
          <w:sz w:val="21"/>
          <w:highlight w:val="none"/>
          <w:lang w:val="en-US" w:eastAsia="zh-CN" w:bidi="ar-SA"/>
        </w:rPr>
        <w:t>份）密封后递交至开标地点。当电子版与纸质版文件内容不一致时，应以平台提交的电子版文件为准。</w:t>
      </w:r>
    </w:p>
    <w:p w14:paraId="2EF84F0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文件须包含《资质标》、《商务标》</w:t>
      </w:r>
      <w:r>
        <w:rPr>
          <w:rFonts w:hint="eastAsia" w:hAnsi="Courier New" w:cs="Times New Roman"/>
          <w:b w:val="0"/>
          <w:bCs/>
          <w:kern w:val="2"/>
          <w:sz w:val="21"/>
          <w:highlight w:val="none"/>
          <w:lang w:val="en-US" w:eastAsia="zh-CN" w:bidi="ar-SA"/>
        </w:rPr>
        <w:t>两</w:t>
      </w:r>
      <w:r>
        <w:rPr>
          <w:rFonts w:hint="default" w:ascii="宋体" w:hAnsi="Courier New" w:eastAsia="宋体" w:cs="Times New Roman"/>
          <w:b w:val="0"/>
          <w:bCs/>
          <w:kern w:val="2"/>
          <w:sz w:val="21"/>
          <w:highlight w:val="none"/>
          <w:lang w:val="en-US" w:eastAsia="zh-CN" w:bidi="ar-SA"/>
        </w:rPr>
        <w:t>部分，各部分的详细编制要求、内容和格式见招标文件。</w:t>
      </w:r>
    </w:p>
    <w:p w14:paraId="337C1C0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eastAsia" w:hAnsi="Courier New" w:cs="Times New Roman"/>
          <w:b w:val="0"/>
          <w:bCs/>
          <w:kern w:val="2"/>
          <w:sz w:val="21"/>
          <w:highlight w:val="none"/>
          <w:lang w:val="en-US" w:eastAsia="zh-CN" w:bidi="ar-SA"/>
        </w:rPr>
        <w:t>投标保证金缴纳金额及缴纳方式详见招标文件。</w:t>
      </w:r>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cs="Times New Roman"/>
          <w:highlight w:val="none"/>
          <w:lang w:val="en-US" w:eastAsia="zh-CN"/>
        </w:rPr>
        <w:t>11月28</w:t>
      </w:r>
      <w:r>
        <w:rPr>
          <w:rFonts w:hint="eastAsia" w:ascii="宋体" w:hAnsi="Courier New" w:eastAsia="宋体" w:cs="Times New Roman"/>
          <w:b w:val="0"/>
          <w:bCs/>
          <w:kern w:val="2"/>
          <w:sz w:val="21"/>
          <w:highlight w:val="none"/>
          <w:lang w:val="en-US" w:eastAsia="zh-CN" w:bidi="ar-SA"/>
        </w:rPr>
        <w:t>日</w:t>
      </w:r>
      <w:r>
        <w:rPr>
          <w:rFonts w:hint="eastAsia" w:hAnsi="Courier New" w:cs="Times New Roman"/>
          <w:b w:val="0"/>
          <w:bCs/>
          <w:kern w:val="2"/>
          <w:sz w:val="21"/>
          <w:highlight w:val="none"/>
          <w:lang w:val="en-US" w:eastAsia="zh-CN" w:bidi="ar-SA"/>
        </w:rPr>
        <w:t>9</w:t>
      </w:r>
      <w:r>
        <w:rPr>
          <w:rFonts w:hint="default" w:ascii="宋体" w:hAnsi="Courier New" w:eastAsia="宋体" w:cs="Times New Roman"/>
          <w:b w:val="0"/>
          <w:bCs/>
          <w:kern w:val="2"/>
          <w:sz w:val="21"/>
          <w:highlight w:val="none"/>
          <w:lang w:val="en-US" w:eastAsia="zh-CN" w:bidi="ar-SA"/>
        </w:rPr>
        <w:t>:00:00（北京时间）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开标地点：济南市高新区华奥路777号重汽科技大厦三楼会议室</w:t>
      </w:r>
    </w:p>
    <w:p w14:paraId="62D3B67B">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425" w:leftChars="0" w:hanging="425" w:firstLineChars="0"/>
        <w:jc w:val="both"/>
        <w:textAlignment w:val="auto"/>
      </w:pPr>
      <w:r>
        <w:rPr>
          <w:rFonts w:hint="eastAsia" w:ascii="宋体" w:hAnsi="Courier New" w:eastAsia="宋体" w:cs="Times New Roman"/>
          <w:highlight w:val="none"/>
          <w:lang w:val="en-US" w:eastAsia="zh-CN"/>
        </w:rPr>
        <w:t>开标方式：</w:t>
      </w:r>
      <w:r>
        <w:rPr>
          <w:rFonts w:hint="eastAsia" w:ascii="宋体" w:hAnsi="Courier New" w:eastAsia="宋体" w:cs="Times New Roman"/>
          <w:b w:val="0"/>
          <w:bCs/>
          <w:kern w:val="2"/>
          <w:sz w:val="21"/>
          <w:highlight w:val="none"/>
          <w:lang w:val="en-US" w:eastAsia="zh-CN" w:bidi="ar-SA"/>
        </w:rPr>
        <w:t>现场招</w:t>
      </w:r>
      <w:r>
        <w:rPr>
          <w:rFonts w:hint="eastAsia" w:ascii="宋体" w:hAnsi="宋体" w:eastAsia="宋体" w:cs="宋体"/>
          <w:b w:val="0"/>
          <w:bCs w:val="0"/>
          <w:sz w:val="21"/>
          <w:szCs w:val="21"/>
          <w:highlight w:val="none"/>
          <w:lang w:val="en-US" w:eastAsia="zh-CN"/>
        </w:rPr>
        <w:t>标</w:t>
      </w: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5" w:name="_Toc47976594"/>
      <w:r>
        <w:rPr>
          <w:rFonts w:hint="eastAsia" w:cs="Times New Roman"/>
          <w:highlight w:val="none"/>
          <w:lang w:val="en-US" w:eastAsia="zh-CN"/>
        </w:rPr>
        <w:t>联系方式</w:t>
      </w:r>
      <w:bookmarkEnd w:id="5"/>
    </w:p>
    <w:p w14:paraId="278FDC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5F538BD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color w:val="auto"/>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Style w:val="37"/>
          <w:rFonts w:hint="eastAsia" w:ascii="宋体" w:hAnsi="Courier New" w:eastAsia="宋体" w:cs="Times New Roman"/>
          <w:color w:val="auto"/>
          <w:kern w:val="2"/>
          <w:sz w:val="21"/>
          <w:lang w:val="en-US" w:eastAsia="zh-CN" w:bidi="ar-SA"/>
        </w:rPr>
        <w:t>lvyidi@sinotruk.com</w:t>
      </w:r>
      <w:r>
        <w:rPr>
          <w:rFonts w:hint="eastAsia" w:ascii="宋体" w:hAnsi="Courier New" w:eastAsia="宋体" w:cs="Times New Roman"/>
          <w:color w:val="auto"/>
          <w:kern w:val="2"/>
          <w:sz w:val="21"/>
          <w:lang w:val="en-US" w:eastAsia="zh-CN" w:bidi="ar-SA"/>
        </w:rPr>
        <w:fldChar w:fldCharType="end"/>
      </w:r>
    </w:p>
    <w:p w14:paraId="71F1BF4B">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技术联系人：渠广磊</w:t>
      </w:r>
    </w:p>
    <w:p w14:paraId="038D786C">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电话：15953105659</w:t>
      </w:r>
    </w:p>
    <w:p w14:paraId="21E8CF26">
      <w:pPr>
        <w:pStyle w:val="14"/>
      </w:pPr>
    </w:p>
    <w:p w14:paraId="1EDCB495">
      <w:pPr>
        <w:pStyle w:val="14"/>
      </w:pPr>
    </w:p>
    <w:p w14:paraId="1DB387D8">
      <w:pPr>
        <w:pStyle w:val="14"/>
      </w:pP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57006D89">
      <w:pPr>
        <w:pStyle w:val="72"/>
        <w:numPr>
          <w:ilvl w:val="0"/>
          <w:numId w:val="0"/>
        </w:numPr>
        <w:ind w:leftChars="0"/>
        <w:outlineLvl w:val="2"/>
        <w:rPr>
          <w:rFonts w:hint="default" w:ascii="宋体" w:hAnsi="宋体" w:eastAsia="宋体" w:cs="宋体"/>
          <w:sz w:val="32"/>
          <w:szCs w:val="32"/>
          <w:highlight w:val="yellow"/>
          <w:lang w:val="en-US" w:eastAsia="zh-CN"/>
        </w:rPr>
      </w:pPr>
      <w:bookmarkStart w:id="6" w:name="_Toc47976618"/>
      <w:r>
        <w:rPr>
          <w:rFonts w:hint="eastAsia" w:ascii="宋体" w:hAnsi="宋体" w:eastAsia="宋体" w:cs="宋体"/>
          <w:sz w:val="32"/>
          <w:szCs w:val="32"/>
          <w:highlight w:val="none"/>
          <w:lang w:val="en-US" w:eastAsia="zh-CN"/>
        </w:rPr>
        <w:t>附件1 法定代表人授权委托书</w:t>
      </w:r>
    </w:p>
    <w:bookmarkEnd w:id="6"/>
    <w:p w14:paraId="0179E87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highlight w:val="none"/>
          <w:u w:val="single"/>
          <w:lang w:val="en-US" w:eastAsia="zh-CN"/>
        </w:rPr>
        <w:t xml:space="preserve"> 济南变速箱厂多用炉富华气智能监控系统项目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20A14F6C">
      <w:pPr>
        <w:rPr>
          <w:rFonts w:ascii="Calibri" w:hAnsi="Calibri" w:eastAsia="黑体" w:cs="Times New Roman"/>
          <w:b/>
          <w:bCs/>
          <w:color w:val="000000"/>
          <w:sz w:val="28"/>
          <w:szCs w:val="20"/>
        </w:rPr>
      </w:pPr>
      <w:r>
        <w:rPr>
          <w:rFonts w:ascii="Calibri" w:hAnsi="Calibri" w:eastAsia="黑体" w:cs="Times New Roman"/>
          <w:b/>
          <w:bCs/>
          <w:color w:val="000000"/>
          <w:sz w:val="28"/>
          <w:szCs w:val="20"/>
        </w:rPr>
        <w:br w:type="page"/>
      </w:r>
    </w:p>
    <w:p w14:paraId="43E559F1">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投标人基本情况及资产情况汇总表</w:t>
      </w:r>
    </w:p>
    <w:p w14:paraId="5F877666">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outlineLvl w:val="3"/>
        <w:rPr>
          <w:rFonts w:ascii="Times New Roman" w:hAnsi="Times New Roman" w:eastAsia="宋体" w:cs="Times New Roman"/>
          <w:b w:val="0"/>
          <w:bCs w:val="0"/>
          <w:color w:val="000000"/>
          <w:sz w:val="24"/>
          <w:szCs w:val="24"/>
        </w:rPr>
      </w:pPr>
      <w:r>
        <w:rPr>
          <w:rFonts w:ascii="宋体" w:hAnsi="宋体" w:eastAsia="宋体" w:cs="宋体"/>
          <w:b w:val="0"/>
          <w:bCs w:val="0"/>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b w:val="0"/>
          <w:bCs w:val="0"/>
          <w:spacing w:val="-7"/>
          <w:sz w:val="24"/>
          <w:szCs w:val="24"/>
        </w:rPr>
        <w:t xml:space="preserve"> </w:t>
      </w:r>
      <w:r>
        <w:rPr>
          <w:rFonts w:ascii="宋体" w:hAnsi="宋体" w:eastAsia="宋体" w:cs="宋体"/>
          <w:b w:val="0"/>
          <w:bCs w:val="0"/>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b w:val="0"/>
          <w:bCs w:val="0"/>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1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3CCF96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6AD601A4">
            <w:pPr>
              <w:pStyle w:val="111"/>
              <w:spacing w:before="114"/>
              <w:ind w:left="720"/>
              <w:rPr>
                <w:rFonts w:hint="eastAsia"/>
              </w:rPr>
            </w:pPr>
            <w:r>
              <w:t xml:space="preserve">企业名称 </w:t>
            </w:r>
          </w:p>
        </w:tc>
        <w:tc>
          <w:tcPr>
            <w:tcW w:w="4680" w:type="dxa"/>
            <w:gridSpan w:val="4"/>
            <w:vAlign w:val="center"/>
          </w:tcPr>
          <w:p w14:paraId="2F09E192">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291F7495">
            <w:pPr>
              <w:pStyle w:val="111"/>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36C84A1A">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05C431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02C79214">
            <w:pPr>
              <w:pStyle w:val="111"/>
              <w:spacing w:before="114"/>
              <w:ind w:left="720"/>
              <w:rPr>
                <w:rFonts w:hint="eastAsia"/>
              </w:rPr>
            </w:pPr>
            <w:r>
              <w:t xml:space="preserve">企业地址 </w:t>
            </w:r>
          </w:p>
        </w:tc>
        <w:tc>
          <w:tcPr>
            <w:tcW w:w="4680" w:type="dxa"/>
            <w:gridSpan w:val="4"/>
            <w:vAlign w:val="center"/>
          </w:tcPr>
          <w:p w14:paraId="3D3BB027">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35E1AC6D">
            <w:pPr>
              <w:pStyle w:val="111"/>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2DA09D6D">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14D669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52AD7E42">
            <w:pPr>
              <w:pStyle w:val="111"/>
              <w:spacing w:before="111"/>
              <w:ind w:left="720"/>
              <w:rPr>
                <w:rFonts w:hint="eastAsia"/>
              </w:rPr>
            </w:pPr>
            <w:r>
              <w:t xml:space="preserve">企业性质 </w:t>
            </w:r>
          </w:p>
        </w:tc>
        <w:tc>
          <w:tcPr>
            <w:tcW w:w="4680" w:type="dxa"/>
            <w:gridSpan w:val="4"/>
            <w:vAlign w:val="center"/>
          </w:tcPr>
          <w:p w14:paraId="64D17EDE">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53FD0322">
            <w:pPr>
              <w:pStyle w:val="111"/>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2C6E0C30">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797600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00927CFA">
            <w:pPr>
              <w:pStyle w:val="111"/>
              <w:spacing w:before="111"/>
              <w:ind w:left="509"/>
              <w:rPr>
                <w:rFonts w:hint="eastAsia"/>
                <w:highlight w:val="yellow"/>
              </w:rPr>
            </w:pPr>
            <w:r>
              <w:t xml:space="preserve">企业法人代表  </w:t>
            </w:r>
          </w:p>
        </w:tc>
        <w:tc>
          <w:tcPr>
            <w:tcW w:w="4680" w:type="dxa"/>
            <w:gridSpan w:val="4"/>
          </w:tcPr>
          <w:p w14:paraId="0ED139AC">
            <w:pPr>
              <w:pStyle w:val="4"/>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14:paraId="0B9E2D77">
            <w:pPr>
              <w:pStyle w:val="111"/>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4E42F320">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331AF4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EF8909B">
            <w:pPr>
              <w:pStyle w:val="111"/>
              <w:spacing w:before="114"/>
              <w:ind w:left="720"/>
              <w:rPr>
                <w:rFonts w:hint="eastAsia"/>
              </w:rPr>
            </w:pPr>
            <w:r>
              <w:t xml:space="preserve">品牌区分 </w:t>
            </w:r>
          </w:p>
        </w:tc>
        <w:tc>
          <w:tcPr>
            <w:tcW w:w="7500" w:type="dxa"/>
            <w:gridSpan w:val="6"/>
          </w:tcPr>
          <w:p w14:paraId="60D0535D">
            <w:pPr>
              <w:pStyle w:val="111"/>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037F39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2C209534">
            <w:pPr>
              <w:pStyle w:val="111"/>
              <w:spacing w:before="178"/>
              <w:ind w:left="720"/>
              <w:rPr>
                <w:rFonts w:hint="eastAsia"/>
              </w:rPr>
            </w:pPr>
            <w:r>
              <w:t xml:space="preserve">品牌名称 </w:t>
            </w:r>
          </w:p>
        </w:tc>
        <w:tc>
          <w:tcPr>
            <w:tcW w:w="3583" w:type="dxa"/>
            <w:gridSpan w:val="3"/>
            <w:vAlign w:val="center"/>
          </w:tcPr>
          <w:p w14:paraId="7908B2EB">
            <w:pPr>
              <w:widowControl/>
              <w:rPr>
                <w:rFonts w:hint="eastAsia" w:ascii="宋体" w:hAnsi="宋体" w:eastAsia="仿宋_GB2312"/>
                <w:kern w:val="0"/>
                <w:szCs w:val="21"/>
                <w:lang w:bidi="ar"/>
              </w:rPr>
            </w:pPr>
          </w:p>
        </w:tc>
        <w:tc>
          <w:tcPr>
            <w:tcW w:w="1097" w:type="dxa"/>
          </w:tcPr>
          <w:p w14:paraId="5DC4E911">
            <w:pPr>
              <w:pStyle w:val="111"/>
              <w:spacing w:before="15"/>
              <w:ind w:left="279"/>
              <w:rPr>
                <w:rFonts w:hint="eastAsia"/>
              </w:rPr>
            </w:pPr>
            <w:r>
              <w:rPr>
                <w:spacing w:val="-2"/>
              </w:rPr>
              <w:t>质量</w:t>
            </w:r>
            <w:r>
              <w:t xml:space="preserve"> </w:t>
            </w:r>
          </w:p>
          <w:p w14:paraId="662E0937">
            <w:pPr>
              <w:pStyle w:val="111"/>
              <w:spacing w:before="30" w:line="277" w:lineRule="exact"/>
              <w:ind w:left="279"/>
              <w:rPr>
                <w:rFonts w:hint="eastAsia"/>
              </w:rPr>
            </w:pPr>
            <w:r>
              <w:rPr>
                <w:rFonts w:hint="eastAsia"/>
              </w:rPr>
              <w:t>体系</w:t>
            </w:r>
          </w:p>
        </w:tc>
        <w:tc>
          <w:tcPr>
            <w:tcW w:w="2820" w:type="dxa"/>
            <w:gridSpan w:val="2"/>
          </w:tcPr>
          <w:p w14:paraId="0F246D3B">
            <w:pPr>
              <w:pStyle w:val="111"/>
              <w:spacing w:before="158"/>
              <w:jc w:val="center"/>
              <w:rPr>
                <w:rFonts w:hint="eastAsia"/>
                <w:sz w:val="24"/>
              </w:rPr>
            </w:pPr>
            <w:r>
              <w:rPr>
                <w:rFonts w:hint="eastAsia"/>
                <w:kern w:val="0"/>
                <w:szCs w:val="21"/>
                <w:lang w:bidi="ar"/>
              </w:rPr>
              <w:t>/</w:t>
            </w:r>
          </w:p>
        </w:tc>
      </w:tr>
      <w:tr w14:paraId="35C5B8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42D30DD0">
            <w:pPr>
              <w:pStyle w:val="111"/>
              <w:spacing w:before="149"/>
              <w:ind w:left="3345" w:right="3223"/>
              <w:jc w:val="center"/>
              <w:rPr>
                <w:rFonts w:hint="eastAsia"/>
              </w:rPr>
            </w:pPr>
            <w:r>
              <w:rPr>
                <w:rFonts w:hint="eastAsia"/>
                <w:szCs w:val="21"/>
              </w:rPr>
              <w:t>单位概况</w:t>
            </w:r>
          </w:p>
        </w:tc>
      </w:tr>
      <w:tr w14:paraId="6432FE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7D34D1F3">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6E6757ED">
            <w:pPr>
              <w:widowControl/>
              <w:textAlignment w:val="center"/>
              <w:rPr>
                <w:rFonts w:hint="eastAsia" w:ascii="宋体" w:hAnsi="宋体" w:eastAsia="宋体" w:cs="宋体"/>
                <w:szCs w:val="21"/>
              </w:rPr>
            </w:pPr>
          </w:p>
        </w:tc>
        <w:tc>
          <w:tcPr>
            <w:tcW w:w="1530" w:type="dxa"/>
            <w:vAlign w:val="center"/>
          </w:tcPr>
          <w:p w14:paraId="0DA51AA8">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11FC66BE">
            <w:pPr>
              <w:widowControl/>
              <w:jc w:val="center"/>
              <w:textAlignment w:val="center"/>
              <w:rPr>
                <w:rFonts w:hint="eastAsia" w:ascii="宋体" w:hAnsi="宋体" w:eastAsia="宋体" w:cs="宋体"/>
                <w:szCs w:val="21"/>
              </w:rPr>
            </w:pPr>
          </w:p>
        </w:tc>
        <w:tc>
          <w:tcPr>
            <w:tcW w:w="1097" w:type="dxa"/>
            <w:vAlign w:val="center"/>
          </w:tcPr>
          <w:p w14:paraId="1AFE33FC">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251CFD6D">
            <w:pPr>
              <w:widowControl/>
              <w:jc w:val="center"/>
              <w:textAlignment w:val="center"/>
              <w:rPr>
                <w:rFonts w:hint="eastAsia" w:ascii="宋体" w:hAnsi="宋体" w:eastAsia="宋体" w:cs="宋体"/>
                <w:szCs w:val="21"/>
              </w:rPr>
            </w:pPr>
          </w:p>
        </w:tc>
      </w:tr>
      <w:tr w14:paraId="35ED60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13691E76">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42C26018">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783776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EA1714E">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4284B599">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01E8B5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02CD47B1">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843F3B2">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495989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786000D">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4ABCD58E">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04AE62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AFB951E">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70944F2D">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3C55B7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3110B986">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69AA10DC">
            <w:pPr>
              <w:widowControl/>
              <w:jc w:val="left"/>
              <w:rPr>
                <w:rFonts w:hint="eastAsia" w:ascii="宋体" w:hAnsi="宋体" w:eastAsia="宋体" w:cs="宋体"/>
                <w:kern w:val="0"/>
                <w:szCs w:val="21"/>
                <w:lang w:bidi="ar"/>
              </w:rPr>
            </w:pPr>
          </w:p>
        </w:tc>
      </w:tr>
    </w:tbl>
    <w:p w14:paraId="3F61A286">
      <w:pPr>
        <w:pStyle w:val="14"/>
        <w:rPr>
          <w:rFonts w:ascii="Times New Roman" w:hAnsi="Times New Roman" w:eastAsia="宋体" w:cs="Times New Roman"/>
          <w:b/>
          <w:bCs/>
          <w:color w:val="000000"/>
          <w:sz w:val="24"/>
          <w:szCs w:val="24"/>
        </w:rPr>
      </w:pPr>
    </w:p>
    <w:p w14:paraId="1FA4D2B6">
      <w:pPr>
        <w:pStyle w:val="14"/>
        <w:rPr>
          <w:rFonts w:ascii="Times New Roman" w:hAnsi="Times New Roman" w:eastAsia="宋体" w:cs="Times New Roman"/>
          <w:b/>
          <w:bCs/>
          <w:color w:val="000000"/>
          <w:sz w:val="24"/>
          <w:szCs w:val="24"/>
        </w:rPr>
      </w:pPr>
    </w:p>
    <w:p w14:paraId="11345667">
      <w:pPr>
        <w:pStyle w:val="14"/>
        <w:rPr>
          <w:rFonts w:ascii="Times New Roman" w:hAnsi="Times New Roman" w:eastAsia="宋体" w:cs="Times New Roman"/>
          <w:b/>
          <w:bCs/>
          <w:color w:val="000000"/>
          <w:sz w:val="24"/>
          <w:szCs w:val="24"/>
        </w:rPr>
      </w:pPr>
    </w:p>
    <w:p w14:paraId="1FE36F6F">
      <w:pPr>
        <w:pStyle w:val="14"/>
        <w:rPr>
          <w:rFonts w:ascii="Times New Roman" w:hAnsi="Times New Roman" w:eastAsia="宋体" w:cs="Times New Roman"/>
          <w:b/>
          <w:bCs/>
          <w:color w:val="000000"/>
          <w:sz w:val="24"/>
          <w:szCs w:val="24"/>
        </w:rPr>
      </w:pPr>
    </w:p>
    <w:p w14:paraId="7336A9C5">
      <w:pPr>
        <w:pStyle w:val="14"/>
        <w:rPr>
          <w:rFonts w:ascii="Times New Roman" w:hAnsi="Times New Roman" w:eastAsia="宋体" w:cs="Times New Roman"/>
          <w:b/>
          <w:bCs/>
          <w:color w:val="000000"/>
          <w:sz w:val="24"/>
          <w:szCs w:val="24"/>
        </w:rPr>
      </w:pPr>
    </w:p>
    <w:p w14:paraId="131BF077">
      <w:pPr>
        <w:pStyle w:val="14"/>
        <w:rPr>
          <w:rFonts w:ascii="Times New Roman" w:hAnsi="Times New Roman" w:eastAsia="宋体" w:cs="Times New Roman"/>
          <w:b/>
          <w:bCs/>
          <w:color w:val="000000"/>
          <w:sz w:val="24"/>
          <w:szCs w:val="24"/>
        </w:rPr>
      </w:pPr>
    </w:p>
    <w:p w14:paraId="2A6FF2C0">
      <w:pPr>
        <w:pStyle w:val="14"/>
        <w:keepNext w:val="0"/>
        <w:keepLines w:val="0"/>
        <w:pageBreakBefore w:val="0"/>
        <w:widowControl w:val="0"/>
        <w:kinsoku/>
        <w:wordWrap/>
        <w:overflowPunct/>
        <w:topLinePunct w:val="0"/>
        <w:autoSpaceDE/>
        <w:autoSpaceDN/>
        <w:bidi w:val="0"/>
        <w:adjustRightInd/>
        <w:snapToGrid/>
        <w:spacing w:line="440" w:lineRule="exact"/>
        <w:textAlignment w:val="auto"/>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tbl>
      <w:tblPr>
        <w:tblStyle w:val="30"/>
        <w:tblW w:w="9719" w:type="dxa"/>
        <w:jc w:val="center"/>
        <w:tblLayout w:type="fixed"/>
        <w:tblCellMar>
          <w:top w:w="0" w:type="dxa"/>
          <w:left w:w="108" w:type="dxa"/>
          <w:bottom w:w="0" w:type="dxa"/>
          <w:right w:w="108" w:type="dxa"/>
        </w:tblCellMar>
      </w:tblPr>
      <w:tblGrid>
        <w:gridCol w:w="2429"/>
        <w:gridCol w:w="1778"/>
        <w:gridCol w:w="1702"/>
        <w:gridCol w:w="2050"/>
        <w:gridCol w:w="1760"/>
      </w:tblGrid>
      <w:tr w14:paraId="2A7FADA5">
        <w:tblPrEx>
          <w:tblCellMar>
            <w:top w:w="0" w:type="dxa"/>
            <w:left w:w="108" w:type="dxa"/>
            <w:bottom w:w="0" w:type="dxa"/>
            <w:right w:w="108" w:type="dxa"/>
          </w:tblCellMar>
        </w:tblPrEx>
        <w:trPr>
          <w:trHeight w:val="720" w:hRule="atLeast"/>
          <w:jc w:val="center"/>
        </w:trPr>
        <w:tc>
          <w:tcPr>
            <w:tcW w:w="9719" w:type="dxa"/>
            <w:gridSpan w:val="5"/>
            <w:tcBorders>
              <w:top w:val="single" w:color="000000" w:sz="4" w:space="0"/>
              <w:left w:val="single" w:color="000000" w:sz="4" w:space="0"/>
              <w:bottom w:val="single" w:color="000000" w:sz="4" w:space="0"/>
              <w:right w:val="single" w:color="000000" w:sz="4" w:space="0"/>
            </w:tcBorders>
            <w:vAlign w:val="center"/>
          </w:tcPr>
          <w:p w14:paraId="23C07CC7">
            <w:pPr>
              <w:spacing w:line="440" w:lineRule="exact"/>
              <w:jc w:val="center"/>
              <w:rPr>
                <w:rFonts w:hint="eastAsia" w:ascii="宋体" w:hAnsi="宋体" w:eastAsia="宋体"/>
                <w:color w:val="000000"/>
                <w:sz w:val="24"/>
                <w:szCs w:val="24"/>
                <w:u w:val="single"/>
              </w:rPr>
            </w:pPr>
            <w:r>
              <w:rPr>
                <w:rFonts w:ascii="宋体" w:hAnsi="宋体" w:eastAsia="宋体"/>
                <w:color w:val="000000"/>
                <w:sz w:val="24"/>
                <w:szCs w:val="24"/>
                <w:u w:val="single"/>
              </w:rPr>
              <w:t xml:space="preserve">                   </w:t>
            </w:r>
            <w:r>
              <w:rPr>
                <w:rFonts w:ascii="宋体" w:hAnsi="宋体" w:eastAsia="宋体"/>
                <w:color w:val="000000"/>
                <w:sz w:val="24"/>
                <w:szCs w:val="24"/>
              </w:rPr>
              <w:t>公司资产情况汇总表</w:t>
            </w:r>
          </w:p>
        </w:tc>
      </w:tr>
      <w:tr w14:paraId="00D087F5">
        <w:tblPrEx>
          <w:tblCellMar>
            <w:top w:w="0" w:type="dxa"/>
            <w:left w:w="108" w:type="dxa"/>
            <w:bottom w:w="0" w:type="dxa"/>
            <w:right w:w="108" w:type="dxa"/>
          </w:tblCellMar>
        </w:tblPrEx>
        <w:trPr>
          <w:trHeight w:val="424"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7F355420">
            <w:pPr>
              <w:spacing w:line="440" w:lineRule="exact"/>
              <w:jc w:val="center"/>
              <w:rPr>
                <w:rFonts w:hint="eastAsia" w:ascii="宋体" w:hAnsi="宋体"/>
                <w:color w:val="000000"/>
                <w:sz w:val="24"/>
                <w:szCs w:val="24"/>
              </w:rPr>
            </w:pPr>
            <w:r>
              <w:rPr>
                <w:rFonts w:ascii="宋体" w:hAnsi="宋体" w:eastAsia="宋体"/>
                <w:color w:val="000000"/>
                <w:sz w:val="24"/>
                <w:szCs w:val="24"/>
              </w:rPr>
              <w:t>注册资金（万元）</w:t>
            </w:r>
          </w:p>
        </w:tc>
        <w:tc>
          <w:tcPr>
            <w:tcW w:w="7290" w:type="dxa"/>
            <w:gridSpan w:val="4"/>
            <w:tcBorders>
              <w:top w:val="single" w:color="000000" w:sz="4" w:space="0"/>
              <w:left w:val="single" w:color="000000" w:sz="4" w:space="0"/>
              <w:bottom w:val="single" w:color="000000" w:sz="4" w:space="0"/>
              <w:right w:val="single" w:color="000000" w:sz="4" w:space="0"/>
            </w:tcBorders>
          </w:tcPr>
          <w:p w14:paraId="3BE950E0">
            <w:pPr>
              <w:spacing w:line="440" w:lineRule="exact"/>
              <w:jc w:val="center"/>
              <w:rPr>
                <w:rFonts w:hint="eastAsia" w:ascii="宋体" w:hAnsi="宋体"/>
                <w:color w:val="000000"/>
                <w:sz w:val="24"/>
                <w:szCs w:val="24"/>
              </w:rPr>
            </w:pPr>
          </w:p>
        </w:tc>
      </w:tr>
      <w:tr w14:paraId="0D84E99D">
        <w:tblPrEx>
          <w:tblCellMar>
            <w:top w:w="0" w:type="dxa"/>
            <w:left w:w="108" w:type="dxa"/>
            <w:bottom w:w="0" w:type="dxa"/>
            <w:right w:w="108" w:type="dxa"/>
          </w:tblCellMar>
        </w:tblPrEx>
        <w:trPr>
          <w:trHeight w:val="492"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5AFC68AA">
            <w:pPr>
              <w:spacing w:line="440" w:lineRule="exact"/>
              <w:jc w:val="center"/>
              <w:rPr>
                <w:rFonts w:hint="eastAsia" w:ascii="宋体" w:hAnsi="宋体"/>
                <w:color w:val="000000"/>
                <w:sz w:val="24"/>
                <w:szCs w:val="24"/>
              </w:rPr>
            </w:pPr>
            <w:r>
              <w:rPr>
                <w:rFonts w:ascii="宋体" w:hAnsi="宋体" w:eastAsia="宋体"/>
                <w:color w:val="000000"/>
                <w:sz w:val="24"/>
                <w:szCs w:val="24"/>
              </w:rPr>
              <w:t>实收资金（万元）</w:t>
            </w:r>
          </w:p>
        </w:tc>
        <w:tc>
          <w:tcPr>
            <w:tcW w:w="7290" w:type="dxa"/>
            <w:gridSpan w:val="4"/>
            <w:tcBorders>
              <w:top w:val="single" w:color="000000" w:sz="4" w:space="0"/>
              <w:left w:val="single" w:color="000000" w:sz="4" w:space="0"/>
              <w:bottom w:val="single" w:color="000000" w:sz="4" w:space="0"/>
              <w:right w:val="single" w:color="000000" w:sz="4" w:space="0"/>
            </w:tcBorders>
          </w:tcPr>
          <w:p w14:paraId="20483779">
            <w:pPr>
              <w:spacing w:line="440" w:lineRule="exact"/>
              <w:jc w:val="center"/>
              <w:rPr>
                <w:rFonts w:hint="eastAsia" w:ascii="宋体" w:hAnsi="宋体"/>
                <w:color w:val="000000"/>
                <w:sz w:val="24"/>
                <w:szCs w:val="24"/>
              </w:rPr>
            </w:pPr>
          </w:p>
        </w:tc>
      </w:tr>
      <w:tr w14:paraId="300CC722">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3F02D88B">
            <w:pPr>
              <w:spacing w:line="440" w:lineRule="exact"/>
              <w:jc w:val="center"/>
              <w:rPr>
                <w:rFonts w:hint="eastAsia" w:ascii="宋体" w:hAnsi="宋体"/>
                <w:color w:val="000000"/>
                <w:sz w:val="24"/>
                <w:szCs w:val="24"/>
              </w:rPr>
            </w:pPr>
            <w:r>
              <w:rPr>
                <w:rFonts w:ascii="宋体" w:hAnsi="宋体" w:eastAsia="宋体"/>
                <w:color w:val="000000"/>
                <w:sz w:val="24"/>
                <w:szCs w:val="24"/>
              </w:rPr>
              <w:t>年度资产情况</w:t>
            </w:r>
          </w:p>
        </w:tc>
        <w:tc>
          <w:tcPr>
            <w:tcW w:w="1778" w:type="dxa"/>
            <w:tcBorders>
              <w:top w:val="single" w:color="000000" w:sz="4" w:space="0"/>
              <w:left w:val="single" w:color="000000" w:sz="4" w:space="0"/>
              <w:bottom w:val="single" w:color="000000" w:sz="4" w:space="0"/>
              <w:right w:val="single" w:color="000000" w:sz="4" w:space="0"/>
            </w:tcBorders>
            <w:vAlign w:val="center"/>
          </w:tcPr>
          <w:p w14:paraId="6B3A2249">
            <w:pPr>
              <w:spacing w:line="440" w:lineRule="exact"/>
              <w:jc w:val="center"/>
              <w:rPr>
                <w:rFonts w:hint="eastAsia" w:ascii="宋体" w:hAnsi="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1</w:t>
            </w:r>
            <w:r>
              <w:rPr>
                <w:rFonts w:ascii="宋体" w:hAnsi="宋体" w:eastAsia="宋体"/>
                <w:color w:val="000000"/>
                <w:sz w:val="24"/>
                <w:szCs w:val="24"/>
              </w:rPr>
              <w:t>年</w:t>
            </w:r>
          </w:p>
        </w:tc>
        <w:tc>
          <w:tcPr>
            <w:tcW w:w="1702" w:type="dxa"/>
            <w:tcBorders>
              <w:top w:val="single" w:color="000000" w:sz="4" w:space="0"/>
              <w:left w:val="single" w:color="000000" w:sz="4" w:space="0"/>
              <w:bottom w:val="single" w:color="000000" w:sz="4" w:space="0"/>
              <w:right w:val="single" w:color="000000" w:sz="4" w:space="0"/>
            </w:tcBorders>
            <w:vAlign w:val="center"/>
          </w:tcPr>
          <w:p w14:paraId="304249E6">
            <w:pPr>
              <w:spacing w:line="440" w:lineRule="exact"/>
              <w:jc w:val="center"/>
              <w:rPr>
                <w:rFonts w:hint="eastAsia" w:ascii="宋体" w:hAnsi="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2</w:t>
            </w:r>
            <w:r>
              <w:rPr>
                <w:rFonts w:ascii="宋体" w:hAnsi="宋体" w:eastAsia="宋体"/>
                <w:color w:val="000000"/>
                <w:sz w:val="24"/>
                <w:szCs w:val="24"/>
              </w:rPr>
              <w:t>年</w:t>
            </w:r>
          </w:p>
        </w:tc>
        <w:tc>
          <w:tcPr>
            <w:tcW w:w="2050" w:type="dxa"/>
            <w:tcBorders>
              <w:top w:val="single" w:color="000000" w:sz="4" w:space="0"/>
              <w:left w:val="single" w:color="000000" w:sz="4" w:space="0"/>
              <w:bottom w:val="single" w:color="000000" w:sz="4" w:space="0"/>
              <w:right w:val="single" w:color="000000" w:sz="4" w:space="0"/>
            </w:tcBorders>
            <w:vAlign w:val="center"/>
          </w:tcPr>
          <w:p w14:paraId="7A19CE4C">
            <w:pPr>
              <w:spacing w:line="440" w:lineRule="exact"/>
              <w:jc w:val="center"/>
              <w:rPr>
                <w:rFonts w:hint="eastAsia" w:ascii="宋体" w:hAnsi="宋体" w:eastAsia="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3</w:t>
            </w:r>
            <w:r>
              <w:rPr>
                <w:rFonts w:ascii="宋体" w:hAnsi="宋体" w:eastAsia="宋体"/>
                <w:color w:val="000000"/>
                <w:sz w:val="24"/>
                <w:szCs w:val="24"/>
              </w:rPr>
              <w:t>年</w:t>
            </w:r>
          </w:p>
        </w:tc>
        <w:tc>
          <w:tcPr>
            <w:tcW w:w="1760" w:type="dxa"/>
            <w:tcBorders>
              <w:top w:val="single" w:color="000000" w:sz="4" w:space="0"/>
              <w:left w:val="single" w:color="000000" w:sz="4" w:space="0"/>
              <w:bottom w:val="single" w:color="000000" w:sz="4" w:space="0"/>
              <w:right w:val="single" w:color="000000" w:sz="4" w:space="0"/>
            </w:tcBorders>
            <w:vAlign w:val="center"/>
          </w:tcPr>
          <w:p w14:paraId="4B0C4055">
            <w:pPr>
              <w:spacing w:line="440" w:lineRule="exact"/>
              <w:jc w:val="center"/>
              <w:rPr>
                <w:rFonts w:hint="eastAsia" w:ascii="宋体" w:hAnsi="宋体" w:eastAsia="宋体"/>
                <w:color w:val="000000"/>
                <w:sz w:val="24"/>
                <w:szCs w:val="24"/>
              </w:rPr>
            </w:pPr>
            <w:r>
              <w:rPr>
                <w:rFonts w:hint="eastAsia" w:ascii="宋体" w:hAnsi="宋体" w:eastAsia="宋体"/>
                <w:color w:val="000000"/>
                <w:sz w:val="24"/>
                <w:szCs w:val="24"/>
              </w:rPr>
              <w:t>2024年</w:t>
            </w:r>
          </w:p>
        </w:tc>
      </w:tr>
      <w:tr w14:paraId="7B91B049">
        <w:tblPrEx>
          <w:tblCellMar>
            <w:top w:w="0" w:type="dxa"/>
            <w:left w:w="108" w:type="dxa"/>
            <w:bottom w:w="0" w:type="dxa"/>
            <w:right w:w="108" w:type="dxa"/>
          </w:tblCellMar>
        </w:tblPrEx>
        <w:trPr>
          <w:trHeight w:val="506"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75403D6A">
            <w:pPr>
              <w:spacing w:line="440" w:lineRule="exact"/>
              <w:jc w:val="center"/>
              <w:rPr>
                <w:rFonts w:hint="eastAsia" w:ascii="宋体" w:hAnsi="宋体"/>
                <w:color w:val="000000"/>
                <w:sz w:val="24"/>
                <w:szCs w:val="24"/>
              </w:rPr>
            </w:pPr>
            <w:r>
              <w:rPr>
                <w:rFonts w:ascii="宋体" w:hAnsi="宋体" w:eastAsia="宋体"/>
                <w:color w:val="000000"/>
                <w:sz w:val="24"/>
                <w:szCs w:val="24"/>
              </w:rPr>
              <w:t>流动资产（万元）</w:t>
            </w:r>
          </w:p>
        </w:tc>
        <w:tc>
          <w:tcPr>
            <w:tcW w:w="1778" w:type="dxa"/>
            <w:tcBorders>
              <w:top w:val="single" w:color="000000" w:sz="4" w:space="0"/>
              <w:left w:val="single" w:color="000000" w:sz="4" w:space="0"/>
              <w:bottom w:val="single" w:color="000000" w:sz="4" w:space="0"/>
              <w:right w:val="single" w:color="000000" w:sz="4" w:space="0"/>
            </w:tcBorders>
          </w:tcPr>
          <w:p w14:paraId="3C80F216">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39D40318">
            <w:pPr>
              <w:spacing w:line="440" w:lineRule="exact"/>
              <w:jc w:val="center"/>
              <w:rPr>
                <w:rFonts w:hint="eastAsia" w:ascii="宋体" w:hAnsi="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1587860A">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0B2DEAB4">
            <w:pPr>
              <w:spacing w:line="440" w:lineRule="exact"/>
              <w:jc w:val="center"/>
              <w:rPr>
                <w:rFonts w:hint="eastAsia" w:ascii="宋体" w:hAnsi="宋体"/>
                <w:color w:val="000000"/>
                <w:sz w:val="24"/>
                <w:szCs w:val="24"/>
              </w:rPr>
            </w:pPr>
          </w:p>
        </w:tc>
      </w:tr>
      <w:tr w14:paraId="05A2963C">
        <w:tblPrEx>
          <w:tblCellMar>
            <w:top w:w="0" w:type="dxa"/>
            <w:left w:w="108" w:type="dxa"/>
            <w:bottom w:w="0" w:type="dxa"/>
            <w:right w:w="108" w:type="dxa"/>
          </w:tblCellMar>
        </w:tblPrEx>
        <w:trPr>
          <w:trHeight w:val="615"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1F24E9DE">
            <w:pPr>
              <w:spacing w:line="440" w:lineRule="exact"/>
              <w:jc w:val="center"/>
              <w:rPr>
                <w:rFonts w:hint="eastAsia" w:ascii="宋体" w:hAnsi="宋体"/>
                <w:color w:val="000000"/>
                <w:sz w:val="24"/>
                <w:szCs w:val="24"/>
              </w:rPr>
            </w:pPr>
            <w:r>
              <w:rPr>
                <w:rFonts w:ascii="宋体" w:hAnsi="宋体" w:eastAsia="宋体"/>
                <w:color w:val="000000"/>
                <w:sz w:val="24"/>
                <w:szCs w:val="24"/>
              </w:rPr>
              <w:t>非流动资产（万元）</w:t>
            </w:r>
          </w:p>
        </w:tc>
        <w:tc>
          <w:tcPr>
            <w:tcW w:w="1778" w:type="dxa"/>
            <w:tcBorders>
              <w:top w:val="single" w:color="000000" w:sz="4" w:space="0"/>
              <w:left w:val="single" w:color="000000" w:sz="4" w:space="0"/>
              <w:bottom w:val="single" w:color="000000" w:sz="4" w:space="0"/>
              <w:right w:val="single" w:color="000000" w:sz="4" w:space="0"/>
            </w:tcBorders>
          </w:tcPr>
          <w:p w14:paraId="662C9B2D">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5849E9A8">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2695C9D8">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5B6D27F4">
            <w:pPr>
              <w:spacing w:line="440" w:lineRule="exact"/>
              <w:jc w:val="center"/>
              <w:rPr>
                <w:rFonts w:hint="eastAsia" w:ascii="宋体" w:hAnsi="宋体"/>
                <w:color w:val="000000"/>
                <w:sz w:val="24"/>
                <w:szCs w:val="24"/>
              </w:rPr>
            </w:pPr>
          </w:p>
        </w:tc>
      </w:tr>
      <w:tr w14:paraId="4DDE12CD">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496A2010">
            <w:pPr>
              <w:spacing w:line="440" w:lineRule="exact"/>
              <w:jc w:val="center"/>
              <w:rPr>
                <w:rFonts w:hint="eastAsia" w:ascii="宋体" w:hAnsi="宋体"/>
                <w:color w:val="000000"/>
                <w:sz w:val="24"/>
                <w:szCs w:val="24"/>
              </w:rPr>
            </w:pPr>
            <w:r>
              <w:rPr>
                <w:rFonts w:ascii="宋体" w:hAnsi="宋体" w:eastAsia="宋体"/>
                <w:color w:val="000000"/>
                <w:sz w:val="24"/>
                <w:szCs w:val="24"/>
              </w:rPr>
              <w:t>营业收入（万元）</w:t>
            </w:r>
          </w:p>
        </w:tc>
        <w:tc>
          <w:tcPr>
            <w:tcW w:w="1778" w:type="dxa"/>
            <w:tcBorders>
              <w:top w:val="single" w:color="000000" w:sz="4" w:space="0"/>
              <w:left w:val="single" w:color="000000" w:sz="4" w:space="0"/>
              <w:bottom w:val="single" w:color="000000" w:sz="4" w:space="0"/>
              <w:right w:val="single" w:color="000000" w:sz="4" w:space="0"/>
            </w:tcBorders>
          </w:tcPr>
          <w:p w14:paraId="075CDC5C">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107E6109">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5B5D3ECE">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233F48F1">
            <w:pPr>
              <w:spacing w:line="440" w:lineRule="exact"/>
              <w:jc w:val="center"/>
              <w:rPr>
                <w:rFonts w:hint="eastAsia" w:ascii="宋体" w:hAnsi="宋体"/>
                <w:color w:val="000000"/>
                <w:sz w:val="24"/>
                <w:szCs w:val="24"/>
                <w:highlight w:val="yellow"/>
              </w:rPr>
            </w:pPr>
          </w:p>
        </w:tc>
      </w:tr>
      <w:tr w14:paraId="795B3F0F">
        <w:tblPrEx>
          <w:tblCellMar>
            <w:top w:w="0" w:type="dxa"/>
            <w:left w:w="108" w:type="dxa"/>
            <w:bottom w:w="0" w:type="dxa"/>
            <w:right w:w="108" w:type="dxa"/>
          </w:tblCellMar>
        </w:tblPrEx>
        <w:trPr>
          <w:trHeight w:val="858"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5B8426BA">
            <w:pPr>
              <w:spacing w:line="440" w:lineRule="exact"/>
              <w:jc w:val="center"/>
              <w:rPr>
                <w:rFonts w:hint="eastAsia" w:ascii="宋体" w:hAnsi="宋体"/>
                <w:color w:val="000000"/>
                <w:sz w:val="24"/>
                <w:szCs w:val="24"/>
              </w:rPr>
            </w:pPr>
            <w:r>
              <w:rPr>
                <w:rFonts w:ascii="宋体" w:hAnsi="宋体" w:eastAsia="宋体"/>
                <w:color w:val="000000"/>
                <w:sz w:val="24"/>
                <w:szCs w:val="24"/>
              </w:rPr>
              <w:t>年底资产总值（万元）</w:t>
            </w:r>
          </w:p>
        </w:tc>
        <w:tc>
          <w:tcPr>
            <w:tcW w:w="1778" w:type="dxa"/>
            <w:tcBorders>
              <w:top w:val="single" w:color="000000" w:sz="4" w:space="0"/>
              <w:left w:val="single" w:color="000000" w:sz="4" w:space="0"/>
              <w:bottom w:val="single" w:color="000000" w:sz="4" w:space="0"/>
              <w:right w:val="single" w:color="000000" w:sz="4" w:space="0"/>
            </w:tcBorders>
          </w:tcPr>
          <w:p w14:paraId="77CE88C1">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4961567D">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363FD559">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49E88C4D">
            <w:pPr>
              <w:spacing w:line="440" w:lineRule="exact"/>
              <w:jc w:val="center"/>
              <w:rPr>
                <w:rFonts w:hint="eastAsia" w:ascii="宋体" w:hAnsi="宋体"/>
                <w:color w:val="000000"/>
                <w:sz w:val="24"/>
                <w:szCs w:val="24"/>
              </w:rPr>
            </w:pPr>
          </w:p>
        </w:tc>
      </w:tr>
      <w:tr w14:paraId="41D5C204">
        <w:tblPrEx>
          <w:tblCellMar>
            <w:top w:w="0" w:type="dxa"/>
            <w:left w:w="108" w:type="dxa"/>
            <w:bottom w:w="0" w:type="dxa"/>
            <w:right w:w="108" w:type="dxa"/>
          </w:tblCellMar>
        </w:tblPrEx>
        <w:trPr>
          <w:trHeight w:val="858"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3C8F2187">
            <w:pPr>
              <w:spacing w:line="440" w:lineRule="exact"/>
              <w:jc w:val="center"/>
              <w:rPr>
                <w:rFonts w:hint="eastAsia" w:ascii="宋体" w:hAnsi="宋体"/>
                <w:color w:val="000000"/>
                <w:sz w:val="24"/>
                <w:szCs w:val="24"/>
              </w:rPr>
            </w:pPr>
            <w:r>
              <w:rPr>
                <w:rFonts w:ascii="宋体" w:hAnsi="宋体" w:eastAsia="宋体"/>
                <w:color w:val="000000"/>
                <w:sz w:val="24"/>
                <w:szCs w:val="24"/>
              </w:rPr>
              <w:t>年底负债总值（万元）</w:t>
            </w:r>
          </w:p>
        </w:tc>
        <w:tc>
          <w:tcPr>
            <w:tcW w:w="1778" w:type="dxa"/>
            <w:tcBorders>
              <w:top w:val="single" w:color="000000" w:sz="4" w:space="0"/>
              <w:left w:val="single" w:color="000000" w:sz="4" w:space="0"/>
              <w:bottom w:val="single" w:color="000000" w:sz="4" w:space="0"/>
              <w:right w:val="single" w:color="000000" w:sz="4" w:space="0"/>
            </w:tcBorders>
          </w:tcPr>
          <w:p w14:paraId="5A061447">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3644D8A3">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0A37ADD3">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15142B81">
            <w:pPr>
              <w:spacing w:line="440" w:lineRule="exact"/>
              <w:jc w:val="center"/>
              <w:rPr>
                <w:rFonts w:hint="eastAsia" w:ascii="宋体" w:hAnsi="宋体"/>
                <w:color w:val="000000"/>
                <w:sz w:val="24"/>
                <w:szCs w:val="24"/>
              </w:rPr>
            </w:pPr>
          </w:p>
        </w:tc>
      </w:tr>
      <w:tr w14:paraId="1EB546BB">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4080D83D">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  %）</w:t>
            </w:r>
          </w:p>
        </w:tc>
        <w:tc>
          <w:tcPr>
            <w:tcW w:w="1778" w:type="dxa"/>
            <w:tcBorders>
              <w:top w:val="single" w:color="000000" w:sz="4" w:space="0"/>
              <w:left w:val="single" w:color="000000" w:sz="4" w:space="0"/>
              <w:bottom w:val="single" w:color="000000" w:sz="4" w:space="0"/>
              <w:right w:val="single" w:color="000000" w:sz="4" w:space="0"/>
            </w:tcBorders>
          </w:tcPr>
          <w:p w14:paraId="29F46C43">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20EA007D">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4C216D16">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3962CF3E">
            <w:pPr>
              <w:spacing w:line="440" w:lineRule="exact"/>
              <w:jc w:val="center"/>
              <w:rPr>
                <w:rFonts w:hint="eastAsia" w:ascii="宋体" w:hAnsi="宋体"/>
                <w:color w:val="000000"/>
                <w:sz w:val="24"/>
                <w:szCs w:val="24"/>
                <w:highlight w:val="yellow"/>
              </w:rPr>
            </w:pPr>
          </w:p>
        </w:tc>
      </w:tr>
      <w:tr w14:paraId="45D67E0A">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2B67392B">
            <w:pPr>
              <w:spacing w:line="440" w:lineRule="exact"/>
              <w:jc w:val="center"/>
              <w:rPr>
                <w:rFonts w:hint="eastAsia" w:ascii="宋体" w:hAnsi="宋体"/>
                <w:color w:val="000000"/>
                <w:sz w:val="24"/>
                <w:szCs w:val="24"/>
              </w:rPr>
            </w:pPr>
            <w:r>
              <w:rPr>
                <w:rFonts w:ascii="宋体" w:hAnsi="宋体" w:eastAsia="宋体"/>
                <w:color w:val="000000"/>
                <w:sz w:val="24"/>
                <w:szCs w:val="24"/>
              </w:rPr>
              <w:t>净利润（万元）</w:t>
            </w:r>
          </w:p>
        </w:tc>
        <w:tc>
          <w:tcPr>
            <w:tcW w:w="1778" w:type="dxa"/>
            <w:tcBorders>
              <w:top w:val="single" w:color="000000" w:sz="4" w:space="0"/>
              <w:left w:val="single" w:color="000000" w:sz="4" w:space="0"/>
              <w:bottom w:val="single" w:color="000000" w:sz="4" w:space="0"/>
              <w:right w:val="single" w:color="000000" w:sz="4" w:space="0"/>
            </w:tcBorders>
          </w:tcPr>
          <w:p w14:paraId="3208FA2B">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1D720B68">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3B2C48B5">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2CEE1CE0">
            <w:pPr>
              <w:spacing w:line="440" w:lineRule="exact"/>
              <w:jc w:val="center"/>
              <w:rPr>
                <w:rFonts w:hint="eastAsia" w:ascii="宋体" w:hAnsi="宋体"/>
                <w:color w:val="000000"/>
                <w:sz w:val="24"/>
                <w:szCs w:val="24"/>
                <w:highlight w:val="yellow"/>
              </w:rPr>
            </w:pPr>
          </w:p>
        </w:tc>
      </w:tr>
      <w:tr w14:paraId="30FB48DF">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50AE161B">
            <w:pPr>
              <w:spacing w:line="440" w:lineRule="exact"/>
              <w:jc w:val="center"/>
              <w:rPr>
                <w:rFonts w:hint="eastAsia" w:ascii="宋体" w:hAnsi="宋体"/>
                <w:color w:val="000000"/>
                <w:sz w:val="24"/>
                <w:szCs w:val="24"/>
              </w:rPr>
            </w:pPr>
            <w:r>
              <w:rPr>
                <w:rFonts w:ascii="宋体" w:hAnsi="宋体" w:eastAsia="宋体"/>
                <w:color w:val="000000"/>
                <w:sz w:val="24"/>
                <w:szCs w:val="24"/>
              </w:rPr>
              <w:t>未分配利润（万元）</w:t>
            </w:r>
          </w:p>
        </w:tc>
        <w:tc>
          <w:tcPr>
            <w:tcW w:w="1778" w:type="dxa"/>
            <w:tcBorders>
              <w:top w:val="single" w:color="000000" w:sz="4" w:space="0"/>
              <w:left w:val="single" w:color="000000" w:sz="4" w:space="0"/>
              <w:bottom w:val="single" w:color="000000" w:sz="4" w:space="0"/>
              <w:right w:val="single" w:color="000000" w:sz="4" w:space="0"/>
            </w:tcBorders>
          </w:tcPr>
          <w:p w14:paraId="4192E6CB">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3BACE38C">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72A2379D">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543C865C">
            <w:pPr>
              <w:spacing w:line="440" w:lineRule="exact"/>
              <w:jc w:val="center"/>
              <w:rPr>
                <w:rFonts w:hint="eastAsia" w:ascii="宋体" w:hAnsi="宋体"/>
                <w:color w:val="000000"/>
                <w:sz w:val="24"/>
                <w:szCs w:val="24"/>
              </w:rPr>
            </w:pPr>
          </w:p>
        </w:tc>
      </w:tr>
      <w:tr w14:paraId="691F567D">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3327577F">
            <w:pPr>
              <w:spacing w:line="440" w:lineRule="exact"/>
              <w:jc w:val="center"/>
              <w:rPr>
                <w:rFonts w:hint="eastAsia" w:ascii="宋体" w:hAnsi="宋体"/>
                <w:color w:val="000000"/>
                <w:sz w:val="24"/>
                <w:szCs w:val="24"/>
              </w:rPr>
            </w:pPr>
            <w:r>
              <w:rPr>
                <w:rFonts w:ascii="宋体" w:hAnsi="宋体" w:eastAsia="宋体"/>
                <w:color w:val="000000"/>
                <w:sz w:val="24"/>
                <w:szCs w:val="24"/>
              </w:rPr>
              <w:t>营运资金</w:t>
            </w:r>
          </w:p>
        </w:tc>
        <w:tc>
          <w:tcPr>
            <w:tcW w:w="1778" w:type="dxa"/>
            <w:tcBorders>
              <w:top w:val="single" w:color="000000" w:sz="4" w:space="0"/>
              <w:left w:val="single" w:color="000000" w:sz="4" w:space="0"/>
              <w:bottom w:val="single" w:color="000000" w:sz="4" w:space="0"/>
              <w:right w:val="single" w:color="000000" w:sz="4" w:space="0"/>
            </w:tcBorders>
          </w:tcPr>
          <w:p w14:paraId="07547DBB">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4F681333">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66B56211">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57801E82">
            <w:pPr>
              <w:spacing w:line="440" w:lineRule="exact"/>
              <w:jc w:val="center"/>
              <w:rPr>
                <w:rFonts w:hint="eastAsia" w:ascii="宋体" w:hAnsi="宋体"/>
                <w:color w:val="000000"/>
                <w:sz w:val="24"/>
                <w:szCs w:val="24"/>
              </w:rPr>
            </w:pPr>
          </w:p>
        </w:tc>
      </w:tr>
      <w:tr w14:paraId="74F2EF66">
        <w:tblPrEx>
          <w:tblCellMar>
            <w:top w:w="0" w:type="dxa"/>
            <w:left w:w="108" w:type="dxa"/>
            <w:bottom w:w="0" w:type="dxa"/>
            <w:right w:w="108" w:type="dxa"/>
          </w:tblCellMar>
        </w:tblPrEx>
        <w:trPr>
          <w:trHeight w:val="1292"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7245DD83">
            <w:pPr>
              <w:spacing w:line="440" w:lineRule="exact"/>
              <w:jc w:val="center"/>
              <w:rPr>
                <w:rFonts w:hint="eastAsia" w:ascii="宋体" w:hAnsi="宋体"/>
                <w:color w:val="000000"/>
                <w:sz w:val="24"/>
                <w:szCs w:val="24"/>
              </w:rPr>
            </w:pPr>
            <w:r>
              <w:rPr>
                <w:rFonts w:ascii="宋体" w:hAnsi="宋体" w:eastAsia="宋体"/>
                <w:color w:val="000000"/>
                <w:sz w:val="24"/>
                <w:szCs w:val="24"/>
              </w:rPr>
              <w:t>（本年营业收入-上年营业收入）÷上年营业收入</w:t>
            </w:r>
          </w:p>
        </w:tc>
        <w:tc>
          <w:tcPr>
            <w:tcW w:w="1778" w:type="dxa"/>
            <w:tcBorders>
              <w:top w:val="single" w:color="000000" w:sz="4" w:space="0"/>
              <w:left w:val="single" w:color="000000" w:sz="4" w:space="0"/>
              <w:bottom w:val="single" w:color="000000" w:sz="4" w:space="0"/>
              <w:right w:val="single" w:color="000000" w:sz="4" w:space="0"/>
            </w:tcBorders>
          </w:tcPr>
          <w:p w14:paraId="7D4FDE33">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7C0C5537">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002E2794">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05B11157">
            <w:pPr>
              <w:spacing w:line="440" w:lineRule="exact"/>
              <w:jc w:val="center"/>
              <w:rPr>
                <w:rFonts w:hint="eastAsia" w:ascii="宋体" w:hAnsi="宋体"/>
                <w:color w:val="000000"/>
                <w:sz w:val="24"/>
                <w:szCs w:val="24"/>
              </w:rPr>
            </w:pPr>
          </w:p>
        </w:tc>
      </w:tr>
    </w:tbl>
    <w:p w14:paraId="26D71E7E">
      <w:pPr>
        <w:pStyle w:val="14"/>
        <w:rPr>
          <w:rFonts w:ascii="Times New Roman" w:hAnsi="Times New Roman" w:eastAsia="宋体" w:cs="Times New Roman"/>
          <w:b/>
          <w:bCs/>
          <w:color w:val="000000"/>
          <w:sz w:val="24"/>
          <w:szCs w:val="24"/>
        </w:rPr>
      </w:pPr>
    </w:p>
    <w:p w14:paraId="25B993D4">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5B68ED8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36C3E42">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2E67C9F">
      <w:pPr>
        <w:rPr>
          <w:rFonts w:ascii="宋体" w:hAnsi="Calibri"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p>
    <w:p w14:paraId="6B20C6DF">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保密承诺函</w:t>
      </w:r>
    </w:p>
    <w:p w14:paraId="0F4E083F">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14:paraId="4EBD3B8F">
      <w:pPr>
        <w:spacing w:line="240" w:lineRule="exact"/>
        <w:jc w:val="center"/>
        <w:rPr>
          <w:rFonts w:ascii="宋体" w:hAnsi="Calibri" w:eastAsia="宋体" w:cs="Times New Roman"/>
          <w:b/>
          <w:bCs/>
          <w:sz w:val="36"/>
          <w:szCs w:val="20"/>
        </w:rPr>
      </w:pPr>
    </w:p>
    <w:p w14:paraId="2FA216F9">
      <w:pPr>
        <w:spacing w:line="360" w:lineRule="auto"/>
        <w:rPr>
          <w:rFonts w:hint="default" w:ascii="宋体" w:hAnsi="宋体" w:eastAsia="宋体" w:cs="宋体"/>
          <w:b/>
          <w:bCs/>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cs="宋体"/>
          <w:b/>
          <w:bCs/>
          <w:sz w:val="24"/>
          <w:szCs w:val="24"/>
          <w:highlight w:val="none"/>
          <w:u w:val="single"/>
          <w:lang w:val="en-US" w:eastAsia="zh-CN"/>
        </w:rPr>
        <w:t>济南变速箱厂多用炉富华气智能监控系统项目</w:t>
      </w:r>
    </w:p>
    <w:p w14:paraId="2D225539">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7EDB6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31E444C1">
      <w:pPr>
        <w:spacing w:line="360" w:lineRule="auto"/>
        <w:ind w:firstLine="480" w:firstLineChars="200"/>
        <w:rPr>
          <w:rFonts w:ascii="宋体" w:hAnsi="Calibri" w:eastAsia="宋体" w:cs="宋体"/>
          <w:b/>
          <w:bCs/>
          <w:color w:val="000000"/>
          <w:sz w:val="28"/>
          <w:szCs w:val="20"/>
        </w:rPr>
        <w:sectPr>
          <w:footerReference r:id="rId11" w:type="first"/>
          <w:headerReference r:id="rId9" w:type="default"/>
          <w:footerReference r:id="rId10"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p>
    <w:p w14:paraId="7F7233A4">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0"/>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1"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2"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3"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4" cstate="print"/>
                    <a:srcRect/>
                    <a:stretch>
                      <a:fillRect/>
                    </a:stretch>
                  </pic:blipFill>
                  <pic:spPr>
                    <a:xfrm>
                      <a:off x="0" y="0"/>
                      <a:ext cx="5760085" cy="2853055"/>
                    </a:xfrm>
                    <a:prstGeom prst="rect">
                      <a:avLst/>
                    </a:prstGeom>
                  </pic:spPr>
                </pic:pic>
              </a:graphicData>
            </a:graphic>
          </wp:inline>
        </w:drawing>
      </w:r>
    </w:p>
    <w:p w14:paraId="7149E950">
      <w:pPr>
        <w:numPr>
          <w:ilvl w:val="0"/>
          <w:numId w:val="19"/>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25"/>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6"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 /</w:t>
      </w:r>
      <w:r>
        <w:rPr>
          <w:rFonts w:hint="eastAsia" w:ascii="宋体" w:hAnsi="宋体" w:cs="宋体"/>
          <w:b/>
          <w:bCs/>
          <w:color w:val="000000"/>
          <w:sz w:val="24"/>
          <w:szCs w:val="28"/>
          <w:highlight w:val="none"/>
          <w:lang w:val="en-US" w:eastAsia="zh-CN"/>
        </w:rPr>
        <w:t xml:space="preserve"> </w:t>
      </w:r>
      <w:r>
        <w:rPr>
          <w:rFonts w:hint="eastAsia" w:ascii="宋体" w:hAnsi="宋体" w:eastAsia="宋体" w:cs="宋体"/>
          <w:b/>
          <w:bCs/>
          <w:color w:val="000000"/>
          <w:sz w:val="24"/>
          <w:szCs w:val="28"/>
          <w:highlight w:val="none"/>
        </w:rPr>
        <w:t>工艺设备 / 工艺设备”，业务主管部门选择“工艺研究院”。</w:t>
      </w:r>
    </w:p>
    <w:p w14:paraId="5DC9B20D">
      <w:pPr>
        <w:numPr>
          <w:ilvl w:val="0"/>
          <w:numId w:val="19"/>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21"/>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238A45E1">
      <w:pPr>
        <w:outlineLvl w:val="9"/>
        <w:rPr>
          <w:rFonts w:hint="default"/>
          <w:lang w:val="en-US" w:eastAsia="zh-CN"/>
        </w:rPr>
        <w:sectPr>
          <w:headerReference r:id="rId13" w:type="first"/>
          <w:footerReference r:id="rId15" w:type="first"/>
          <w:headerReference r:id="rId12" w:type="default"/>
          <w:footerReference r:id="rId14"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27"/>
                    <a:stretch>
                      <a:fillRect/>
                    </a:stretch>
                  </pic:blipFill>
                  <pic:spPr>
                    <a:xfrm>
                      <a:off x="0" y="0"/>
                      <a:ext cx="5486400" cy="2661285"/>
                    </a:xfrm>
                    <a:prstGeom prst="rect">
                      <a:avLst/>
                    </a:prstGeom>
                    <a:noFill/>
                    <a:ln>
                      <a:noFill/>
                    </a:ln>
                  </pic:spPr>
                </pic:pic>
              </a:graphicData>
            </a:graphic>
          </wp:inline>
        </w:drawing>
      </w:r>
    </w:p>
    <w:p w14:paraId="75321FE7">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附件5 SRM系统供应商用户手册</w:t>
      </w:r>
    </w:p>
    <w:p w14:paraId="42C7FA7F">
      <w:pPr>
        <w:spacing w:line="360" w:lineRule="auto"/>
        <w:rPr>
          <w:rStyle w:val="3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ascii="宋体" w:hAnsi="宋体" w:eastAsia="宋体" w:cs="宋体"/>
          <w:color w:val="000000"/>
          <w:sz w:val="24"/>
          <w:szCs w:val="24"/>
        </w:rPr>
        <w:t>初始密码：scm@2022</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8" cstate="print"/>
                    <a:srcRect/>
                    <a:stretch>
                      <a:fillRect/>
                    </a:stretch>
                  </pic:blipFill>
                  <pic:spPr>
                    <a:xfrm>
                      <a:off x="0" y="0"/>
                      <a:ext cx="5760085" cy="2269490"/>
                    </a:xfrm>
                    <a:prstGeom prst="rect">
                      <a:avLst/>
                    </a:prstGeom>
                  </pic:spPr>
                </pic:pic>
              </a:graphicData>
            </a:graphic>
          </wp:inline>
        </w:drawing>
      </w:r>
    </w:p>
    <w:p w14:paraId="02513ACC">
      <w:pPr>
        <w:pStyle w:val="14"/>
      </w:pPr>
    </w:p>
    <w:p w14:paraId="2C65B758">
      <w:pPr>
        <w:pStyle w:val="14"/>
      </w:pPr>
      <w:r>
        <w:rPr>
          <w:rFonts w:hint="eastAsia" w:cs="Times New Roman"/>
          <w:b/>
          <w:bCs/>
          <w:highlight w:val="none"/>
          <w:lang w:val="en-US" w:eastAsia="zh-CN"/>
        </w:rPr>
        <w:t>2、应标页面否为代理商请如实选择，若为代理商应标，请在应标后联系商务联系人</w:t>
      </w:r>
    </w:p>
    <w:p w14:paraId="444E97A4">
      <w:pPr>
        <w:pStyle w:val="14"/>
      </w:pPr>
    </w:p>
    <w:p w14:paraId="66C2E418">
      <w:pPr>
        <w:pStyle w:val="14"/>
      </w:pPr>
    </w:p>
    <w:p w14:paraId="0586ECE5">
      <w:pPr>
        <w:pStyle w:val="14"/>
      </w:pPr>
    </w:p>
    <w:p w14:paraId="4D435F90">
      <w:pPr>
        <w:pStyle w:val="14"/>
      </w:pPr>
    </w:p>
    <w:p w14:paraId="370F4324">
      <w:pPr>
        <w:pStyle w:val="14"/>
      </w:pPr>
    </w:p>
    <w:p w14:paraId="6EE8ABCC">
      <w:pPr>
        <w:pStyle w:val="14"/>
      </w:pPr>
    </w:p>
    <w:p w14:paraId="61DF1E88">
      <w:pPr>
        <w:pStyle w:val="14"/>
      </w:pPr>
    </w:p>
    <w:p w14:paraId="61CE34F1">
      <w:pPr>
        <w:pStyle w:val="14"/>
      </w:pPr>
    </w:p>
    <w:p w14:paraId="6B688F52">
      <w:pPr>
        <w:pStyle w:val="14"/>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69993B95">
      <w:pPr>
        <w:pStyle w:val="76"/>
        <w:ind w:firstLine="6510" w:firstLineChars="3100"/>
        <w:jc w:val="both"/>
        <w:rPr>
          <w:rFonts w:hint="default"/>
          <w:lang w:val="en-US"/>
        </w:rPr>
      </w:pPr>
    </w:p>
    <w:sectPr>
      <w:headerReference r:id="rId16" w:type="first"/>
      <w:footerReference r:id="rId17"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Segoe UI">
    <w:panose1 w:val="020B0502040204020203"/>
    <w:charset w:val="00"/>
    <w:family w:val="auto"/>
    <w:pitch w:val="default"/>
    <w:sig w:usb0="E4002EFF" w:usb1="C000E47F" w:usb2="00000009" w:usb3="00000000" w:csb0="200001FF" w:csb1="00000000"/>
  </w:font>
  <w:font w:name="Consolas">
    <w:panose1 w:val="020B0609020204030204"/>
    <w:charset w:val="00"/>
    <w:family w:val="auto"/>
    <w:pitch w:val="default"/>
    <w:sig w:usb0="E00006FF" w:usb1="0000FCFF" w:usb2="00000001" w:usb3="00000000" w:csb0="6000019F" w:csb1="DFD70000"/>
  </w:font>
  <w:font w:name="Wingdings">
    <w:panose1 w:val="05000000000000000000"/>
    <w:charset w:val="00"/>
    <w:family w:val="auto"/>
    <w:pitch w:val="default"/>
    <w:sig w:usb0="00000000" w:usb1="00000000" w:usb2="00000000" w:usb3="00000000" w:csb0="80000000" w:csb1="00000000"/>
  </w:font>
  <w:font w:name="Symbol">
    <w:panose1 w:val="05050102010706020507"/>
    <w:charset w:val="00"/>
    <w:family w:val="auto"/>
    <w:pitch w:val="default"/>
    <w:sig w:usb0="00000000" w:usb1="00000000" w:usb2="00000000" w:usb3="00000000" w:csb0="80000000" w:csb1="00000000"/>
  </w:font>
  <w:font w:name="Courier New">
    <w:panose1 w:val="02070309020205020404"/>
    <w:charset w:val="00"/>
    <w:family w:val="auto"/>
    <w:pitch w:val="default"/>
    <w:sig w:usb0="E0002E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D5A855">
    <w:pPr>
      <w:pStyle w:val="18"/>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FE23EB">
                          <w:pPr>
                            <w:pStyle w:val="18"/>
                            <w:rPr>
                              <w:rFonts w:hint="eastAsia"/>
                            </w:rPr>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7AFE23EB">
                    <w:pPr>
                      <w:pStyle w:val="18"/>
                      <w:rPr>
                        <w:rFonts w:hint="eastAsia"/>
                      </w:rPr>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AB660C">
    <w:pPr>
      <w:pStyle w:val="18"/>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2E43C4">
                          <w:pPr>
                            <w:pStyle w:val="18"/>
                            <w:rPr>
                              <w:rFonts w:hint="eastAsia"/>
                            </w:rPr>
                          </w:pPr>
                          <w:r>
                            <w:fldChar w:fldCharType="begin"/>
                          </w:r>
                          <w:r>
                            <w:instrText xml:space="preserve"> PAGE  \* MERGEFORMAT </w:instrText>
                          </w:r>
                          <w:r>
                            <w:fldChar w:fldCharType="separate"/>
                          </w:r>
                          <w:r>
                            <w:t>29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732E43C4">
                    <w:pPr>
                      <w:pStyle w:val="18"/>
                      <w:rPr>
                        <w:rFonts w:hint="eastAsia"/>
                      </w:rP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3">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4">
    <w:nsid w:val="F54BF83F"/>
    <w:multiLevelType w:val="singleLevel"/>
    <w:tmpl w:val="F54BF83F"/>
    <w:lvl w:ilvl="0" w:tentative="0">
      <w:start w:val="1"/>
      <w:numFmt w:val="decimal"/>
      <w:suff w:val="space"/>
      <w:lvlText w:val="%1."/>
      <w:lvlJc w:val="left"/>
      <w:pPr>
        <w:ind w:left="0" w:firstLine="0"/>
      </w:pPr>
    </w:lvl>
  </w:abstractNum>
  <w:abstractNum w:abstractNumId="5">
    <w:nsid w:val="00000003"/>
    <w:multiLevelType w:val="singleLevel"/>
    <w:tmpl w:val="00000003"/>
    <w:lvl w:ilvl="0" w:tentative="0">
      <w:start w:val="5"/>
      <w:numFmt w:val="decimal"/>
      <w:lvlText w:val="%1."/>
      <w:lvlJc w:val="left"/>
      <w:pPr>
        <w:tabs>
          <w:tab w:val="left" w:pos="312"/>
        </w:tabs>
      </w:pPr>
    </w:lvl>
  </w:abstractNum>
  <w:abstractNum w:abstractNumId="6">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7">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8">
    <w:nsid w:val="11906048"/>
    <w:multiLevelType w:val="multilevel"/>
    <w:tmpl w:val="11906048"/>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9">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0">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1">
    <w:nsid w:val="2C9BAC0C"/>
    <w:multiLevelType w:val="multilevel"/>
    <w:tmpl w:val="2C9BAC0C"/>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2">
    <w:nsid w:val="4AF0723E"/>
    <w:multiLevelType w:val="singleLevel"/>
    <w:tmpl w:val="4AF0723E"/>
    <w:lvl w:ilvl="0" w:tentative="0">
      <w:start w:val="2"/>
      <w:numFmt w:val="chineseCounting"/>
      <w:suff w:val="nothing"/>
      <w:lvlText w:val="%1、"/>
      <w:lvlJc w:val="left"/>
      <w:rPr>
        <w:rFonts w:hint="eastAsia"/>
      </w:rPr>
    </w:lvl>
  </w:abstractNum>
  <w:abstractNum w:abstractNumId="13">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5">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6">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7">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8">
    <w:nsid w:val="58F6E17C"/>
    <w:multiLevelType w:val="multilevel"/>
    <w:tmpl w:val="58F6E17C"/>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9">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0">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13"/>
  </w:num>
  <w:num w:numId="2">
    <w:abstractNumId w:val="19"/>
  </w:num>
  <w:num w:numId="3">
    <w:abstractNumId w:val="17"/>
  </w:num>
  <w:num w:numId="4">
    <w:abstractNumId w:val="14"/>
  </w:num>
  <w:num w:numId="5">
    <w:abstractNumId w:val="6"/>
  </w:num>
  <w:num w:numId="6">
    <w:abstractNumId w:val="9"/>
  </w:num>
  <w:num w:numId="7">
    <w:abstractNumId w:val="10"/>
  </w:num>
  <w:num w:numId="8">
    <w:abstractNumId w:val="15"/>
  </w:num>
  <w:num w:numId="9">
    <w:abstractNumId w:val="3"/>
  </w:num>
  <w:num w:numId="10">
    <w:abstractNumId w:val="20"/>
  </w:num>
  <w:num w:numId="11">
    <w:abstractNumId w:val="7"/>
  </w:num>
  <w:num w:numId="12">
    <w:abstractNumId w:val="16"/>
  </w:num>
  <w:num w:numId="13">
    <w:abstractNumId w:val="8"/>
  </w:num>
  <w:num w:numId="14">
    <w:abstractNumId w:val="2"/>
  </w:num>
  <w:num w:numId="15">
    <w:abstractNumId w:val="0"/>
  </w:num>
  <w:num w:numId="16">
    <w:abstractNumId w:val="1"/>
  </w:num>
  <w:num w:numId="17">
    <w:abstractNumId w:val="11"/>
  </w:num>
  <w:num w:numId="18">
    <w:abstractNumId w:val="18"/>
  </w:num>
  <w:num w:numId="19">
    <w:abstractNumId w:val="5"/>
  </w:num>
  <w:num w:numId="20">
    <w:abstractNumId w:val="4"/>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7"/>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47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F033B0"/>
    <w:rsid w:val="041C2F30"/>
    <w:rsid w:val="04D36302"/>
    <w:rsid w:val="057C1D39"/>
    <w:rsid w:val="05891259"/>
    <w:rsid w:val="07046D8D"/>
    <w:rsid w:val="07BA233A"/>
    <w:rsid w:val="08633479"/>
    <w:rsid w:val="08BD01DD"/>
    <w:rsid w:val="091C13C7"/>
    <w:rsid w:val="09E702BC"/>
    <w:rsid w:val="0A10664D"/>
    <w:rsid w:val="0B0B2010"/>
    <w:rsid w:val="0B3A2110"/>
    <w:rsid w:val="0B861BBC"/>
    <w:rsid w:val="0C3C5A14"/>
    <w:rsid w:val="0C4444D5"/>
    <w:rsid w:val="0C572F92"/>
    <w:rsid w:val="0CB51572"/>
    <w:rsid w:val="0DF476ED"/>
    <w:rsid w:val="0E4D31E3"/>
    <w:rsid w:val="0F953699"/>
    <w:rsid w:val="10566E56"/>
    <w:rsid w:val="10B33FAA"/>
    <w:rsid w:val="10DC2AA3"/>
    <w:rsid w:val="10FA7C8C"/>
    <w:rsid w:val="11F8418B"/>
    <w:rsid w:val="130B198F"/>
    <w:rsid w:val="13EE0AB5"/>
    <w:rsid w:val="14633A77"/>
    <w:rsid w:val="14726CAC"/>
    <w:rsid w:val="14962116"/>
    <w:rsid w:val="156009C5"/>
    <w:rsid w:val="15891CCA"/>
    <w:rsid w:val="15901D2B"/>
    <w:rsid w:val="16A918E4"/>
    <w:rsid w:val="17D966D6"/>
    <w:rsid w:val="18CC2A24"/>
    <w:rsid w:val="19AF6691"/>
    <w:rsid w:val="1B9121A9"/>
    <w:rsid w:val="1BC71D3B"/>
    <w:rsid w:val="1C035F1F"/>
    <w:rsid w:val="1C59115B"/>
    <w:rsid w:val="1D5C1D1A"/>
    <w:rsid w:val="1DC2561E"/>
    <w:rsid w:val="1DDE1E75"/>
    <w:rsid w:val="1F730AA4"/>
    <w:rsid w:val="1FB23E60"/>
    <w:rsid w:val="20C56CE9"/>
    <w:rsid w:val="210A37FE"/>
    <w:rsid w:val="22C5630B"/>
    <w:rsid w:val="22F66168"/>
    <w:rsid w:val="23EC0BA6"/>
    <w:rsid w:val="24701A48"/>
    <w:rsid w:val="24F03D58"/>
    <w:rsid w:val="25387077"/>
    <w:rsid w:val="268B0052"/>
    <w:rsid w:val="26C82FDF"/>
    <w:rsid w:val="26DB434F"/>
    <w:rsid w:val="27743C90"/>
    <w:rsid w:val="29CA2459"/>
    <w:rsid w:val="29D82DC8"/>
    <w:rsid w:val="2B271A58"/>
    <w:rsid w:val="2B6304A7"/>
    <w:rsid w:val="2C054A11"/>
    <w:rsid w:val="2C7F1926"/>
    <w:rsid w:val="2CC406B7"/>
    <w:rsid w:val="2CF6734C"/>
    <w:rsid w:val="2D663463"/>
    <w:rsid w:val="2DF0057E"/>
    <w:rsid w:val="2E0526F6"/>
    <w:rsid w:val="2EF96EE4"/>
    <w:rsid w:val="2F553627"/>
    <w:rsid w:val="321E7A8F"/>
    <w:rsid w:val="343455CA"/>
    <w:rsid w:val="34717BB2"/>
    <w:rsid w:val="34EA16B2"/>
    <w:rsid w:val="34ED224B"/>
    <w:rsid w:val="36254FE4"/>
    <w:rsid w:val="36596AAA"/>
    <w:rsid w:val="36A967C5"/>
    <w:rsid w:val="37192188"/>
    <w:rsid w:val="372F61E0"/>
    <w:rsid w:val="374C4D4B"/>
    <w:rsid w:val="38993922"/>
    <w:rsid w:val="39322FCA"/>
    <w:rsid w:val="3AB554EE"/>
    <w:rsid w:val="3AB90991"/>
    <w:rsid w:val="3B706131"/>
    <w:rsid w:val="3B904FFA"/>
    <w:rsid w:val="3CC75F2B"/>
    <w:rsid w:val="3CC902F7"/>
    <w:rsid w:val="3DA718B8"/>
    <w:rsid w:val="3E6F041E"/>
    <w:rsid w:val="3E6F2015"/>
    <w:rsid w:val="3F8A0269"/>
    <w:rsid w:val="40F3136C"/>
    <w:rsid w:val="4275481E"/>
    <w:rsid w:val="427B6837"/>
    <w:rsid w:val="428B617A"/>
    <w:rsid w:val="42914424"/>
    <w:rsid w:val="42B775C7"/>
    <w:rsid w:val="433D7BDC"/>
    <w:rsid w:val="437E1813"/>
    <w:rsid w:val="43B00CB6"/>
    <w:rsid w:val="43E75C8A"/>
    <w:rsid w:val="45BD47FC"/>
    <w:rsid w:val="45CC5FB2"/>
    <w:rsid w:val="45E10110"/>
    <w:rsid w:val="46B75BA8"/>
    <w:rsid w:val="47254CCE"/>
    <w:rsid w:val="47445C3E"/>
    <w:rsid w:val="48C97955"/>
    <w:rsid w:val="49880C8F"/>
    <w:rsid w:val="4A6A4F1F"/>
    <w:rsid w:val="4A8835F7"/>
    <w:rsid w:val="4B592E71"/>
    <w:rsid w:val="4B603EF9"/>
    <w:rsid w:val="4C164192"/>
    <w:rsid w:val="4E183491"/>
    <w:rsid w:val="4FC96E34"/>
    <w:rsid w:val="50077177"/>
    <w:rsid w:val="509B7998"/>
    <w:rsid w:val="50D4718B"/>
    <w:rsid w:val="512017E6"/>
    <w:rsid w:val="518941BB"/>
    <w:rsid w:val="522E7E1A"/>
    <w:rsid w:val="52B9239A"/>
    <w:rsid w:val="52CF5C5C"/>
    <w:rsid w:val="52DC74B8"/>
    <w:rsid w:val="54BA4640"/>
    <w:rsid w:val="54BD78FD"/>
    <w:rsid w:val="55922C6A"/>
    <w:rsid w:val="56706375"/>
    <w:rsid w:val="567E79B3"/>
    <w:rsid w:val="57486D6A"/>
    <w:rsid w:val="58A86DDE"/>
    <w:rsid w:val="59154AD7"/>
    <w:rsid w:val="59A246D5"/>
    <w:rsid w:val="5A8E4D8E"/>
    <w:rsid w:val="5ACA35F7"/>
    <w:rsid w:val="5ADF548D"/>
    <w:rsid w:val="5C9A28BE"/>
    <w:rsid w:val="5CC62AD6"/>
    <w:rsid w:val="5D5C60B4"/>
    <w:rsid w:val="5E5B6341"/>
    <w:rsid w:val="5FF70B2A"/>
    <w:rsid w:val="61DE3046"/>
    <w:rsid w:val="635C60FE"/>
    <w:rsid w:val="63F04A69"/>
    <w:rsid w:val="6583773F"/>
    <w:rsid w:val="659D2965"/>
    <w:rsid w:val="66A50B1E"/>
    <w:rsid w:val="6796278B"/>
    <w:rsid w:val="67B2063C"/>
    <w:rsid w:val="67C97AC3"/>
    <w:rsid w:val="67E30EC1"/>
    <w:rsid w:val="680F623F"/>
    <w:rsid w:val="6A4E3B2B"/>
    <w:rsid w:val="6AA30469"/>
    <w:rsid w:val="6B481C3B"/>
    <w:rsid w:val="6BC95DA3"/>
    <w:rsid w:val="6C1331A3"/>
    <w:rsid w:val="6C441652"/>
    <w:rsid w:val="6C7524DD"/>
    <w:rsid w:val="6CA84BC1"/>
    <w:rsid w:val="6D3E4756"/>
    <w:rsid w:val="6D5E0D67"/>
    <w:rsid w:val="6E3851B0"/>
    <w:rsid w:val="6E4B5505"/>
    <w:rsid w:val="6FA83C70"/>
    <w:rsid w:val="6FC523EB"/>
    <w:rsid w:val="70856F27"/>
    <w:rsid w:val="714E7876"/>
    <w:rsid w:val="71DC1DBA"/>
    <w:rsid w:val="71FE68E5"/>
    <w:rsid w:val="726843DC"/>
    <w:rsid w:val="72895F2E"/>
    <w:rsid w:val="72C02EBE"/>
    <w:rsid w:val="72C507AD"/>
    <w:rsid w:val="72D028D8"/>
    <w:rsid w:val="73050EBB"/>
    <w:rsid w:val="73FE7331"/>
    <w:rsid w:val="745D47C3"/>
    <w:rsid w:val="752A6815"/>
    <w:rsid w:val="7547340F"/>
    <w:rsid w:val="75F25497"/>
    <w:rsid w:val="760B6E95"/>
    <w:rsid w:val="76AC3757"/>
    <w:rsid w:val="77FE7170"/>
    <w:rsid w:val="784F3EEE"/>
    <w:rsid w:val="7A0B162F"/>
    <w:rsid w:val="7AF33E75"/>
    <w:rsid w:val="7B8F7E9D"/>
    <w:rsid w:val="7BF51800"/>
    <w:rsid w:val="7C446F20"/>
    <w:rsid w:val="7CB93F8E"/>
    <w:rsid w:val="7CF66B46"/>
    <w:rsid w:val="7D316996"/>
    <w:rsid w:val="7DBD28BA"/>
    <w:rsid w:val="7E09719C"/>
    <w:rsid w:val="7E4E3DE3"/>
    <w:rsid w:val="7E8D3E86"/>
    <w:rsid w:val="7EB468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0.png"/><Relationship Id="rId27" Type="http://schemas.openxmlformats.org/officeDocument/2006/relationships/image" Target="media/image9.png"/><Relationship Id="rId26" Type="http://schemas.openxmlformats.org/officeDocument/2006/relationships/image" Target="media/image8.png"/><Relationship Id="rId25" Type="http://schemas.openxmlformats.org/officeDocument/2006/relationships/image" Target="media/image7.png"/><Relationship Id="rId24" Type="http://schemas.openxmlformats.org/officeDocument/2006/relationships/image" Target="media/image6.pn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jpeg"/><Relationship Id="rId18" Type="http://schemas.openxmlformats.org/officeDocument/2006/relationships/theme" Target="theme/theme1.xml"/><Relationship Id="rId17" Type="http://schemas.openxmlformats.org/officeDocument/2006/relationships/footer" Target="footer10.xml"/><Relationship Id="rId16" Type="http://schemas.openxmlformats.org/officeDocument/2006/relationships/header" Target="header5.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15</Pages>
  <Words>4473</Words>
  <Characters>4759</Characters>
  <Lines>127</Lines>
  <Paragraphs>35</Paragraphs>
  <TotalTime>4</TotalTime>
  <ScaleCrop>false</ScaleCrop>
  <LinksUpToDate>false</LinksUpToDate>
  <CharactersWithSpaces>5981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2025-11-06T03:14:19Z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0E3871DFDD644BEBB444D15CE8EA17C1_13</vt:lpwstr>
  </property>
  <property fmtid="{D5CDD505-2E9C-101B-9397-08002B2CF9AE}" pid="4" name="KSOTemplateDocerSaveRecord">
    <vt:lpwstr>eyJoZGlkIjoiMWJmNDk2YTMyZTM3ZjA0M2I0Mjk2MzFhMmM3YmRjYzYiLCJ1c2VySWQiOiIxNzQ3MDQyODM0In0=</vt:lpwstr>
  </property>
</Properties>
</file>