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产品试验检测中心动力总成试验部（杭州）天然气系统安全评估工作</w:t>
      </w:r>
      <w:r>
        <w:rPr>
          <w:rFonts w:hint="eastAsia" w:ascii="宋体" w:hAnsi="宋体" w:eastAsia="宋体" w:cs="宋体"/>
          <w:b/>
          <w:bCs/>
          <w:color w:val="000000"/>
          <w:spacing w:val="-8"/>
          <w:sz w:val="48"/>
          <w:szCs w:val="44"/>
        </w:rPr>
        <w:t xml:space="preserve">项目 </w:t>
      </w:r>
    </w:p>
    <w:p>
      <w:pPr>
        <w:jc w:val="both"/>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动力总成试验部（杭州）天然气系统安全评估工作</w:t>
      </w:r>
      <w:r>
        <w:rPr>
          <w:rFonts w:hint="eastAsia" w:ascii="宋体" w:hAnsi="宋体" w:eastAsia="宋体" w:cs="宋体"/>
          <w:color w:val="000000"/>
          <w:sz w:val="24"/>
          <w:szCs w:val="24"/>
          <w:u w:val="single"/>
        </w:rPr>
        <w:t>项目</w:t>
      </w:r>
    </w:p>
    <w:p>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采购形式编号：CGZX2025040190</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动力总成试验部（杭州）</w:t>
      </w:r>
      <w:bookmarkStart w:id="1" w:name="OLE_LINK4"/>
      <w:r>
        <w:rPr>
          <w:rFonts w:hint="eastAsia" w:ascii="宋体" w:hAnsi="宋体" w:eastAsia="宋体" w:cs="宋体"/>
          <w:color w:val="000000"/>
          <w:sz w:val="24"/>
          <w:szCs w:val="24"/>
          <w:lang w:eastAsia="zh-CN"/>
        </w:rPr>
        <w:t>天然气系统安全评估工作</w:t>
      </w:r>
      <w:r>
        <w:rPr>
          <w:rFonts w:hint="eastAsia" w:ascii="宋体" w:hAnsi="宋体" w:eastAsia="宋体" w:cs="宋体"/>
          <w:color w:val="000000"/>
          <w:sz w:val="24"/>
          <w:szCs w:val="24"/>
        </w:rPr>
        <w:t>项目</w:t>
      </w:r>
      <w:bookmarkEnd w:id="1"/>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动力总成试验部（杭州）天然气系统安全评估工作</w:t>
      </w:r>
      <w:r>
        <w:rPr>
          <w:rFonts w:hint="eastAsia" w:ascii="宋体" w:hAnsi="宋体" w:eastAsia="宋体" w:cs="宋体"/>
          <w:color w:val="000000"/>
          <w:sz w:val="24"/>
          <w:szCs w:val="24"/>
        </w:rPr>
        <w:t>项目。</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eastAsia="zh-CN"/>
        </w:rPr>
        <w:t>杭州</w:t>
      </w:r>
      <w:r>
        <w:rPr>
          <w:rFonts w:hint="eastAsia" w:ascii="宋体" w:hAnsi="宋体" w:eastAsia="宋体" w:cs="宋体"/>
          <w:color w:val="000000"/>
          <w:sz w:val="24"/>
          <w:szCs w:val="24"/>
        </w:rPr>
        <w:t>市</w:t>
      </w:r>
      <w:r>
        <w:rPr>
          <w:rFonts w:hint="eastAsia" w:hAnsi="宋体" w:cs="宋体"/>
          <w:color w:val="000000"/>
          <w:sz w:val="24"/>
          <w:szCs w:val="24"/>
          <w:lang w:eastAsia="zh-CN"/>
        </w:rPr>
        <w:t>萧山区高新六</w:t>
      </w:r>
      <w:r>
        <w:rPr>
          <w:rFonts w:hint="eastAsia" w:ascii="宋体" w:hAnsi="宋体" w:eastAsia="宋体" w:cs="宋体"/>
          <w:color w:val="000000"/>
          <w:sz w:val="24"/>
          <w:szCs w:val="24"/>
        </w:rPr>
        <w:t>路</w:t>
      </w:r>
      <w:r>
        <w:rPr>
          <w:rFonts w:hint="eastAsia" w:hAnsi="宋体" w:cs="宋体"/>
          <w:color w:val="000000"/>
          <w:sz w:val="24"/>
          <w:szCs w:val="24"/>
          <w:lang w:val="en-US" w:eastAsia="zh-CN"/>
        </w:rPr>
        <w:t>186</w:t>
      </w:r>
      <w:r>
        <w:rPr>
          <w:rFonts w:hint="eastAsia" w:ascii="宋体" w:hAnsi="宋体" w:eastAsia="宋体" w:cs="宋体"/>
          <w:color w:val="000000"/>
          <w:sz w:val="24"/>
          <w:szCs w:val="24"/>
        </w:rPr>
        <w:t>号</w:t>
      </w:r>
      <w:r>
        <w:rPr>
          <w:rFonts w:hint="eastAsia" w:hAnsi="宋体" w:cs="宋体"/>
          <w:color w:val="000000"/>
          <w:sz w:val="24"/>
          <w:szCs w:val="24"/>
          <w:lang w:eastAsia="zh-CN"/>
        </w:rPr>
        <w:t>中国</w:t>
      </w:r>
      <w:r>
        <w:rPr>
          <w:rFonts w:hint="eastAsia" w:ascii="宋体" w:hAnsi="宋体" w:eastAsia="宋体" w:cs="宋体"/>
          <w:color w:val="000000"/>
          <w:sz w:val="24"/>
          <w:szCs w:val="24"/>
        </w:rPr>
        <w:t>重汽。</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9" w:type="dxa"/>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4644"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1773"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动力总成试验部（杭州）天然气系统安全评估工作</w:t>
            </w: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default" w:ascii="宋体" w:hAnsi="宋体" w:eastAsia="宋体" w:cs="宋体"/>
                <w:b w:val="0"/>
                <w:lang w:val="en-US" w:eastAsia="zh-CN"/>
              </w:rPr>
              <w:t>天然气系统安全评估工作</w:t>
            </w:r>
            <w:r>
              <w:rPr>
                <w:rFonts w:hint="eastAsia" w:ascii="宋体" w:hAnsi="宋体" w:eastAsia="宋体" w:cs="宋体"/>
                <w:b w:val="0"/>
                <w:lang w:val="en-US" w:eastAsia="zh-CN"/>
              </w:rPr>
              <w:t>完成后结算费用</w:t>
            </w:r>
          </w:p>
        </w:tc>
        <w:tc>
          <w:tcPr>
            <w:tcW w:w="1773"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6"/>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6"/>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6"/>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6"/>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6"/>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6"/>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单位名称：中国重汽集团济南动力有限公司</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开户行：兴业银行股份有限公司济南分行营业部</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账号：376010100101373547</w:t>
      </w:r>
    </w:p>
    <w:p>
      <w:pPr>
        <w:widowControl w:val="0"/>
        <w:spacing w:line="360" w:lineRule="auto"/>
        <w:ind w:firstLine="480" w:firstLineChars="200"/>
        <w:jc w:val="both"/>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行号：309451013018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2"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2"/>
    </w:p>
    <w:p>
      <w:pPr>
        <w:spacing w:line="360" w:lineRule="auto"/>
        <w:ind w:firstLine="480" w:firstLineChars="200"/>
        <w:rPr>
          <w:rFonts w:hint="eastAsia" w:ascii="宋体" w:hAnsi="宋体" w:eastAsia="宋体" w:cs="宋体"/>
          <w:color w:val="000000"/>
          <w:sz w:val="24"/>
          <w:szCs w:val="24"/>
        </w:rPr>
      </w:pPr>
      <w:bookmarkStart w:id="3"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3"/>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5</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24</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6</w:t>
      </w:r>
      <w:r>
        <w:rPr>
          <w:rFonts w:hint="eastAsia" w:ascii="宋体" w:hAnsi="宋体" w:eastAsia="宋体" w:cs="宋体"/>
          <w:bCs/>
        </w:rPr>
        <w:t>月</w:t>
      </w:r>
      <w:r>
        <w:rPr>
          <w:rFonts w:hint="default" w:eastAsia="宋体" w:cs="宋体"/>
          <w:bCs/>
          <w:woUserID w:val="1"/>
        </w:rPr>
        <w:t>7</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6</w:t>
      </w:r>
      <w:r>
        <w:rPr>
          <w:rFonts w:hint="eastAsia" w:ascii="宋体" w:hAnsi="宋体" w:eastAsia="宋体" w:cs="宋体"/>
          <w:bCs/>
          <w:woUserID w:val="1"/>
        </w:rPr>
        <w:t>月</w:t>
      </w:r>
      <w:r>
        <w:rPr>
          <w:rFonts w:hint="default" w:eastAsia="宋体" w:cs="宋体"/>
          <w:bCs/>
          <w:woUserID w:val="1"/>
        </w:rPr>
        <w:t>7</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eastAsia="zh-CN"/>
        </w:rPr>
        <w:t>王景辉</w:t>
      </w:r>
    </w:p>
    <w:p>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15558015799</w:t>
      </w:r>
    </w:p>
    <w:p>
      <w:pPr>
        <w:pStyle w:val="79"/>
        <w:ind w:firstLine="480"/>
        <w:rPr>
          <w:rFonts w:hint="eastAsia" w:ascii="宋体" w:hAnsi="宋体" w:eastAsia="宋体" w:cs="宋体"/>
        </w:rPr>
      </w:pPr>
      <w:r>
        <w:rPr>
          <w:rFonts w:hint="eastAsia" w:ascii="宋体" w:hAnsi="宋体" w:eastAsia="宋体" w:cs="宋体"/>
        </w:rPr>
        <w:t>邮    箱：</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6</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ascii="宋体" w:hAnsi="宋体" w:eastAsia="宋体" w:cs="宋体"/>
          <w:b w:val="0"/>
          <w:bCs w:val="0"/>
        </w:rPr>
      </w:pPr>
      <w:r>
        <w:rPr>
          <w:rFonts w:hint="eastAsia" w:ascii="宋体" w:hAnsi="宋体" w:eastAsia="宋体" w:cs="宋体"/>
        </w:rPr>
        <w:t>8、开标方式</w:t>
      </w:r>
      <w:bookmarkStart w:id="32" w:name="_GoBack"/>
      <w:bookmarkEnd w:id="32"/>
    </w:p>
    <w:p>
      <w:pPr>
        <w:pStyle w:val="16"/>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6"/>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4" w:name="OLE_LINK2"/>
      <w:bookmarkStart w:id="5"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4"/>
      <w:bookmarkEnd w:id="5"/>
    </w:p>
    <w:p>
      <w:pPr>
        <w:pStyle w:val="16"/>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6"/>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5"/>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6"/>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6"/>
        <w:spacing w:line="360" w:lineRule="auto"/>
        <w:ind w:firstLine="538" w:firstLineChars="224"/>
        <w:rPr>
          <w:rFonts w:hint="eastAsia" w:ascii="宋体" w:hAnsi="宋体" w:eastAsia="宋体" w:cs="宋体"/>
          <w:bCs/>
        </w:rPr>
      </w:pPr>
      <w:bookmarkStart w:id="6"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6"/>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7" w:name="_Toc25811"/>
      <w:bookmarkStart w:id="8" w:name="_Toc212369550"/>
      <w:bookmarkStart w:id="9" w:name="_Toc353881012"/>
      <w:bookmarkStart w:id="10" w:name="_Toc639004"/>
      <w:r>
        <w:rPr>
          <w:rFonts w:hint="eastAsia" w:ascii="宋体" w:hAnsi="宋体" w:eastAsia="宋体" w:cs="宋体"/>
        </w:rPr>
        <w:t xml:space="preserve"> 投标函</w:t>
      </w:r>
      <w:bookmarkEnd w:id="7"/>
      <w:bookmarkEnd w:id="8"/>
      <w:bookmarkEnd w:id="9"/>
      <w:bookmarkEnd w:id="10"/>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3"/>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vAlign w:val="center"/>
          </w:tcPr>
          <w:p>
            <w:pPr>
              <w:pStyle w:val="83"/>
              <w:rPr>
                <w:rFonts w:hint="eastAsia" w:ascii="宋体" w:hAnsi="宋体" w:eastAsia="宋体" w:cs="宋体"/>
              </w:rPr>
            </w:pPr>
            <w:r>
              <w:rPr>
                <w:rFonts w:hint="eastAsia" w:ascii="宋体" w:hAnsi="宋体" w:eastAsia="宋体" w:cs="宋体"/>
              </w:rPr>
              <w:t>序号</w:t>
            </w:r>
          </w:p>
        </w:tc>
        <w:tc>
          <w:tcPr>
            <w:tcW w:w="3534" w:type="dxa"/>
            <w:vAlign w:val="center"/>
          </w:tcPr>
          <w:p>
            <w:pPr>
              <w:pStyle w:val="83"/>
              <w:rPr>
                <w:rFonts w:hint="eastAsia" w:ascii="宋体" w:hAnsi="宋体" w:eastAsia="宋体" w:cs="宋体"/>
              </w:rPr>
            </w:pPr>
            <w:r>
              <w:rPr>
                <w:rFonts w:hint="eastAsia" w:ascii="宋体" w:hAnsi="宋体" w:eastAsia="宋体" w:cs="宋体"/>
              </w:rPr>
              <w:t>招标要求</w:t>
            </w:r>
          </w:p>
        </w:tc>
        <w:tc>
          <w:tcPr>
            <w:tcW w:w="2474" w:type="dxa"/>
            <w:vAlign w:val="center"/>
          </w:tcPr>
          <w:p>
            <w:pPr>
              <w:pStyle w:val="83"/>
              <w:rPr>
                <w:rFonts w:hint="eastAsia" w:ascii="宋体" w:hAnsi="宋体" w:eastAsia="宋体" w:cs="宋体"/>
              </w:rPr>
            </w:pPr>
            <w:r>
              <w:rPr>
                <w:rFonts w:hint="eastAsia" w:ascii="宋体" w:hAnsi="宋体" w:eastAsia="宋体" w:cs="宋体"/>
              </w:rPr>
              <w:t>响应规格</w:t>
            </w:r>
          </w:p>
        </w:tc>
        <w:tc>
          <w:tcPr>
            <w:tcW w:w="1649" w:type="dxa"/>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3534" w:type="dxa"/>
          </w:tcPr>
          <w:p>
            <w:pPr>
              <w:pStyle w:val="83"/>
              <w:rPr>
                <w:rFonts w:hint="eastAsia" w:ascii="宋体" w:hAnsi="宋体" w:eastAsia="宋体" w:cs="宋体"/>
              </w:rPr>
            </w:pPr>
            <w:r>
              <w:rPr>
                <w:rFonts w:hint="eastAsia" w:ascii="宋体" w:hAnsi="宋体" w:eastAsia="宋体" w:cs="宋体"/>
              </w:rPr>
              <w:t>天然气使用安全现状评价和防爆电气防静电检测</w:t>
            </w: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jc w:val="both"/>
              <w:rPr>
                <w:rFonts w:hint="eastAsia" w:ascii="宋体" w:hAnsi="宋体" w:eastAsia="宋体" w:cs="宋体"/>
                <w:sz w:val="24"/>
                <w:lang w:val="en-US" w:eastAsia="zh-CN"/>
              </w:rPr>
            </w:pPr>
          </w:p>
        </w:tc>
        <w:tc>
          <w:tcPr>
            <w:tcW w:w="3534" w:type="dxa"/>
          </w:tcPr>
          <w:p>
            <w:pPr>
              <w:pStyle w:val="83"/>
              <w:rPr>
                <w:rFonts w:hint="eastAsia" w:ascii="宋体" w:hAnsi="宋体" w:eastAsia="宋体" w:cs="宋体"/>
                <w:sz w:val="24"/>
                <w:lang w:val="en-US"/>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5" w:type="dxa"/>
          </w:tcPr>
          <w:p>
            <w:pPr>
              <w:pStyle w:val="83"/>
              <w:rPr>
                <w:rFonts w:hint="eastAsia" w:ascii="宋体" w:hAnsi="宋体" w:eastAsia="宋体" w:cs="宋体"/>
                <w:sz w:val="24"/>
              </w:rPr>
            </w:pPr>
          </w:p>
        </w:tc>
        <w:tc>
          <w:tcPr>
            <w:tcW w:w="3534" w:type="dxa"/>
          </w:tcPr>
          <w:p>
            <w:pPr>
              <w:pStyle w:val="83"/>
              <w:rPr>
                <w:rFonts w:hint="eastAsia" w:ascii="宋体" w:hAnsi="宋体" w:eastAsia="宋体" w:cs="宋体"/>
                <w:sz w:val="24"/>
              </w:rPr>
            </w:pPr>
          </w:p>
        </w:tc>
        <w:tc>
          <w:tcPr>
            <w:tcW w:w="2474" w:type="dxa"/>
          </w:tcPr>
          <w:p>
            <w:pPr>
              <w:pStyle w:val="83"/>
              <w:rPr>
                <w:rFonts w:hint="eastAsia" w:ascii="宋体" w:hAnsi="宋体" w:eastAsia="宋体" w:cs="宋体"/>
                <w:sz w:val="24"/>
              </w:rPr>
            </w:pPr>
          </w:p>
        </w:tc>
        <w:tc>
          <w:tcPr>
            <w:tcW w:w="1649" w:type="dxa"/>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序号</w:t>
            </w:r>
          </w:p>
        </w:tc>
        <w:tc>
          <w:tcPr>
            <w:tcW w:w="2348"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服务单位</w:t>
            </w:r>
          </w:p>
        </w:tc>
        <w:tc>
          <w:tcPr>
            <w:tcW w:w="2125"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项目名称</w:t>
            </w:r>
          </w:p>
        </w:tc>
        <w:tc>
          <w:tcPr>
            <w:tcW w:w="1278" w:type="dxa"/>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1135" w:type="dxa"/>
            <w:vAlign w:val="center"/>
          </w:tcPr>
          <w:p>
            <w:pPr>
              <w:pStyle w:val="25"/>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1521" w:type="dxa"/>
            <w:vAlign w:val="center"/>
          </w:tcPr>
          <w:p>
            <w:pPr>
              <w:pStyle w:val="25"/>
              <w:jc w:val="center"/>
              <w:rPr>
                <w:rFonts w:hint="eastAsia" w:ascii="宋体" w:hAnsi="宋体" w:eastAsia="宋体" w:cs="宋体"/>
                <w:b/>
                <w:szCs w:val="21"/>
              </w:rPr>
            </w:pPr>
            <w:r>
              <w:rPr>
                <w:rFonts w:hint="eastAsia" w:ascii="宋体" w:hAnsi="宋体" w:eastAsia="宋体" w:cs="宋体"/>
                <w:b/>
                <w:szCs w:val="21"/>
              </w:rPr>
              <w:t>联系人及</w:t>
            </w:r>
          </w:p>
          <w:p>
            <w:pPr>
              <w:pStyle w:val="25"/>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9" w:type="dxa"/>
          </w:tcPr>
          <w:p>
            <w:pPr>
              <w:pStyle w:val="25"/>
              <w:rPr>
                <w:rFonts w:hint="eastAsia" w:ascii="宋体" w:hAnsi="宋体" w:eastAsia="宋体" w:cs="宋体"/>
                <w:b/>
              </w:rPr>
            </w:pPr>
          </w:p>
        </w:tc>
        <w:tc>
          <w:tcPr>
            <w:tcW w:w="2348" w:type="dxa"/>
          </w:tcPr>
          <w:p>
            <w:pPr>
              <w:pStyle w:val="25"/>
              <w:rPr>
                <w:rFonts w:hint="eastAsia" w:ascii="宋体" w:hAnsi="宋体" w:eastAsia="宋体" w:cs="宋体"/>
                <w:b/>
              </w:rPr>
            </w:pPr>
          </w:p>
        </w:tc>
        <w:tc>
          <w:tcPr>
            <w:tcW w:w="2125" w:type="dxa"/>
          </w:tcPr>
          <w:p>
            <w:pPr>
              <w:pStyle w:val="25"/>
              <w:rPr>
                <w:rFonts w:hint="eastAsia" w:ascii="宋体" w:hAnsi="宋体" w:eastAsia="宋体" w:cs="宋体"/>
                <w:b/>
              </w:rPr>
            </w:pPr>
          </w:p>
        </w:tc>
        <w:tc>
          <w:tcPr>
            <w:tcW w:w="1278" w:type="dxa"/>
          </w:tcPr>
          <w:p>
            <w:pPr>
              <w:pStyle w:val="25"/>
              <w:rPr>
                <w:rFonts w:hint="eastAsia" w:ascii="宋体" w:hAnsi="宋体" w:eastAsia="宋体" w:cs="宋体"/>
                <w:b/>
              </w:rPr>
            </w:pPr>
          </w:p>
        </w:tc>
        <w:tc>
          <w:tcPr>
            <w:tcW w:w="1135" w:type="dxa"/>
          </w:tcPr>
          <w:p>
            <w:pPr>
              <w:pStyle w:val="25"/>
              <w:rPr>
                <w:rFonts w:hint="eastAsia" w:ascii="宋体" w:hAnsi="宋体" w:eastAsia="宋体" w:cs="宋体"/>
                <w:b/>
              </w:rPr>
            </w:pPr>
          </w:p>
        </w:tc>
        <w:tc>
          <w:tcPr>
            <w:tcW w:w="1521" w:type="dxa"/>
          </w:tcPr>
          <w:p>
            <w:pPr>
              <w:pStyle w:val="25"/>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286" w:type="dxa"/>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552" w:type="dxa"/>
            <w:vAlign w:val="center"/>
          </w:tcPr>
          <w:p>
            <w:pPr>
              <w:pStyle w:val="83"/>
              <w:rPr>
                <w:rFonts w:hint="eastAsia" w:ascii="宋体" w:hAnsi="宋体" w:eastAsia="宋体" w:cs="宋体"/>
              </w:rPr>
            </w:pPr>
            <w:r>
              <w:rPr>
                <w:rFonts w:hint="eastAsia" w:ascii="宋体" w:hAnsi="宋体" w:eastAsia="宋体" w:cs="宋体"/>
              </w:rPr>
              <w:t>序号</w:t>
            </w:r>
          </w:p>
        </w:tc>
        <w:tc>
          <w:tcPr>
            <w:tcW w:w="1395" w:type="dxa"/>
            <w:vAlign w:val="center"/>
          </w:tcPr>
          <w:p>
            <w:pPr>
              <w:pStyle w:val="83"/>
              <w:rPr>
                <w:rFonts w:hint="eastAsia" w:ascii="宋体" w:hAnsi="宋体" w:eastAsia="宋体" w:cs="宋体"/>
              </w:rPr>
            </w:pPr>
            <w:r>
              <w:rPr>
                <w:rFonts w:hint="eastAsia" w:ascii="宋体" w:hAnsi="宋体" w:eastAsia="宋体" w:cs="宋体"/>
              </w:rPr>
              <w:t>项目名称</w:t>
            </w:r>
          </w:p>
        </w:tc>
        <w:tc>
          <w:tcPr>
            <w:tcW w:w="1141" w:type="dxa"/>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709" w:type="dxa"/>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675" w:type="dxa"/>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1209" w:type="dxa"/>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1545" w:type="dxa"/>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2060" w:type="dxa"/>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trPr>
        <w:tc>
          <w:tcPr>
            <w:tcW w:w="552" w:type="dxa"/>
            <w:vAlign w:val="center"/>
          </w:tcPr>
          <w:p>
            <w:pPr>
              <w:pStyle w:val="83"/>
              <w:rPr>
                <w:rFonts w:hint="eastAsia" w:ascii="宋体" w:hAnsi="宋体" w:eastAsia="宋体" w:cs="宋体"/>
              </w:rPr>
            </w:pPr>
            <w:r>
              <w:rPr>
                <w:rFonts w:hint="eastAsia" w:ascii="宋体" w:hAnsi="宋体" w:eastAsia="宋体" w:cs="宋体"/>
              </w:rPr>
              <w:t>1</w:t>
            </w:r>
          </w:p>
        </w:tc>
        <w:tc>
          <w:tcPr>
            <w:tcW w:w="1395"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动力总成试验部（杭州）天然气系统安全评估工作项目</w:t>
            </w:r>
          </w:p>
        </w:tc>
        <w:tc>
          <w:tcPr>
            <w:tcW w:w="1141" w:type="dxa"/>
            <w:vAlign w:val="center"/>
          </w:tcPr>
          <w:p>
            <w:pPr>
              <w:pStyle w:val="83"/>
              <w:rPr>
                <w:rFonts w:hint="eastAsia" w:ascii="宋体" w:hAnsi="宋体" w:eastAsia="宋体" w:cs="宋体"/>
              </w:rPr>
            </w:pPr>
          </w:p>
        </w:tc>
        <w:tc>
          <w:tcPr>
            <w:tcW w:w="709" w:type="dxa"/>
            <w:vAlign w:val="center"/>
          </w:tcPr>
          <w:p>
            <w:pPr>
              <w:pStyle w:val="83"/>
              <w:rPr>
                <w:rFonts w:hint="eastAsia" w:ascii="宋体" w:hAnsi="宋体" w:eastAsia="宋体" w:cs="宋体"/>
              </w:rPr>
            </w:pPr>
          </w:p>
        </w:tc>
        <w:tc>
          <w:tcPr>
            <w:tcW w:w="675" w:type="dxa"/>
            <w:vAlign w:val="center"/>
          </w:tcPr>
          <w:p>
            <w:pPr>
              <w:pStyle w:val="83"/>
              <w:rPr>
                <w:rFonts w:hint="eastAsia" w:ascii="宋体" w:hAnsi="宋体" w:eastAsia="宋体" w:cs="宋体"/>
              </w:rPr>
            </w:pPr>
          </w:p>
        </w:tc>
        <w:tc>
          <w:tcPr>
            <w:tcW w:w="1209" w:type="dxa"/>
            <w:vAlign w:val="center"/>
          </w:tcPr>
          <w:p>
            <w:pPr>
              <w:pStyle w:val="83"/>
              <w:rPr>
                <w:rFonts w:hint="eastAsia" w:ascii="宋体" w:hAnsi="宋体" w:eastAsia="宋体" w:cs="宋体"/>
              </w:rPr>
            </w:pPr>
          </w:p>
        </w:tc>
        <w:tc>
          <w:tcPr>
            <w:tcW w:w="1545" w:type="dxa"/>
            <w:vAlign w:val="center"/>
          </w:tcPr>
          <w:p>
            <w:pPr>
              <w:pStyle w:val="83"/>
              <w:rPr>
                <w:rFonts w:hint="eastAsia" w:ascii="宋体" w:hAnsi="宋体" w:eastAsia="宋体" w:cs="宋体"/>
              </w:rPr>
            </w:pPr>
          </w:p>
        </w:tc>
        <w:tc>
          <w:tcPr>
            <w:tcW w:w="2060" w:type="dxa"/>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4、本项目报价上限为4.2万元（含税）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1" w:name="_Toc353881017"/>
      <w:bookmarkStart w:id="12" w:name="_Toc639008"/>
      <w:bookmarkStart w:id="13"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1"/>
      <w:bookmarkEnd w:id="12"/>
      <w:bookmarkEnd w:id="13"/>
    </w:p>
    <w:tbl>
      <w:tblPr>
        <w:tblStyle w:val="33"/>
        <w:tblpPr w:leftFromText="180" w:rightFromText="180" w:vertAnchor="text" w:horzAnchor="page" w:tblpX="1390" w:tblpY="387"/>
        <w:tblOverlap w:val="never"/>
        <w:tblW w:w="92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7"/>
        <w:gridCol w:w="1543"/>
        <w:gridCol w:w="2638"/>
        <w:gridCol w:w="819"/>
        <w:gridCol w:w="786"/>
        <w:gridCol w:w="1297"/>
        <w:gridCol w:w="859"/>
        <w:gridCol w:w="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6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5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26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项目描述</w:t>
            </w:r>
          </w:p>
        </w:tc>
        <w:tc>
          <w:tcPr>
            <w:tcW w:w="81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8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综合未税</w:t>
            </w:r>
            <w:r>
              <w:rPr>
                <w:rFonts w:hint="eastAsia" w:ascii="宋体" w:hAnsi="宋体" w:eastAsia="宋体" w:cs="宋体"/>
                <w:i w:val="0"/>
                <w:iCs w:val="0"/>
                <w:color w:val="000000"/>
                <w:kern w:val="0"/>
                <w:sz w:val="21"/>
                <w:szCs w:val="21"/>
                <w:u w:val="none"/>
                <w:lang w:val="en-US" w:eastAsia="zh-CN" w:bidi="ar"/>
              </w:rPr>
              <w:t>单价</w:t>
            </w:r>
            <w:r>
              <w:rPr>
                <w:rFonts w:hint="eastAsia" w:ascii="宋体" w:hAnsi="宋体" w:cs="宋体"/>
                <w:i w:val="0"/>
                <w:iCs w:val="0"/>
                <w:color w:val="000000"/>
                <w:kern w:val="0"/>
                <w:sz w:val="21"/>
                <w:szCs w:val="21"/>
                <w:u w:val="none"/>
                <w:lang w:val="en-US" w:eastAsia="zh-CN" w:bidi="ar"/>
              </w:rPr>
              <w:t>（元）</w:t>
            </w:r>
          </w:p>
        </w:tc>
        <w:tc>
          <w:tcPr>
            <w:tcW w:w="859" w:type="dxa"/>
            <w:tcBorders>
              <w:top w:val="single" w:color="000000" w:sz="4" w:space="0"/>
              <w:left w:val="single" w:color="000000" w:sz="4" w:space="0"/>
              <w:bottom w:val="single" w:color="000000"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696"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657"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43"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bookmarkStart w:id="14" w:name="OLE_LINK5"/>
            <w:r>
              <w:rPr>
                <w:rFonts w:hint="eastAsia" w:ascii="宋体" w:hAnsi="宋体" w:eastAsia="宋体" w:cs="宋体"/>
                <w:i w:val="0"/>
                <w:iCs w:val="0"/>
                <w:color w:val="000000"/>
                <w:kern w:val="0"/>
                <w:sz w:val="22"/>
                <w:szCs w:val="22"/>
                <w:u w:val="none"/>
                <w:lang w:val="en-US" w:eastAsia="zh-CN" w:bidi="ar"/>
              </w:rPr>
              <w:t>天然气使用安全现状评价和防爆电气防静电检测</w:t>
            </w:r>
            <w:bookmarkEnd w:id="14"/>
          </w:p>
        </w:tc>
        <w:tc>
          <w:tcPr>
            <w:tcW w:w="2638"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5" w:name="OLE_LINK6"/>
            <w:r>
              <w:rPr>
                <w:rFonts w:hint="eastAsia" w:ascii="宋体" w:hAnsi="宋体" w:eastAsia="宋体" w:cs="宋体"/>
                <w:i w:val="0"/>
                <w:iCs w:val="0"/>
                <w:color w:val="000000"/>
                <w:kern w:val="0"/>
                <w:sz w:val="22"/>
                <w:szCs w:val="22"/>
                <w:u w:val="none"/>
                <w:lang w:val="en-US" w:eastAsia="zh-CN" w:bidi="ar"/>
              </w:rPr>
              <w:t>出具安评证书</w:t>
            </w:r>
            <w:bookmarkEnd w:id="15"/>
          </w:p>
        </w:tc>
        <w:tc>
          <w:tcPr>
            <w:tcW w:w="819" w:type="dxa"/>
            <w:tcBorders>
              <w:top w:val="single" w:color="000000" w:sz="4" w:space="0"/>
              <w:left w:val="single" w:color="000000" w:sz="4" w:space="0"/>
              <w:right w:val="single" w:color="000000" w:sz="4" w:space="0"/>
            </w:tcBorders>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套</w:t>
            </w:r>
          </w:p>
        </w:tc>
        <w:tc>
          <w:tcPr>
            <w:tcW w:w="786"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1</w:t>
            </w:r>
          </w:p>
        </w:tc>
        <w:tc>
          <w:tcPr>
            <w:tcW w:w="1297" w:type="dxa"/>
            <w:tcBorders>
              <w:top w:val="single" w:color="000000" w:sz="4" w:space="0"/>
              <w:left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859" w:type="dxa"/>
            <w:tcBorders>
              <w:top w:val="single" w:color="000000" w:sz="4" w:space="0"/>
              <w:left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pStyle w:val="2"/>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项目合计（不含税，元）</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税额（元，税率：  %）</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443" w:type="dxa"/>
            <w:gridSpan w:val="5"/>
            <w:tcBorders>
              <w:top w:val="single" w:color="000000" w:sz="4" w:space="0"/>
              <w:left w:val="single" w:color="000000" w:sz="4" w:space="0"/>
              <w:bottom w:val="single" w:color="000000" w:sz="4" w:space="0"/>
              <w:right w:val="nil"/>
            </w:tcBorders>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总计（元）</w:t>
            </w:r>
          </w:p>
        </w:tc>
        <w:tc>
          <w:tcPr>
            <w:tcW w:w="129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pStyle w:val="79"/>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92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b w:val="0"/>
                <w:lang w:val="en-US" w:eastAsia="zh-CN"/>
              </w:rPr>
              <w:t>半年期商业汇票（包括银行承兑和商业承兑）按实际工程量据实结算。</w:t>
            </w:r>
          </w:p>
        </w:tc>
        <w:tc>
          <w:tcPr>
            <w:tcW w:w="2958" w:type="dxa"/>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jc w:val="both"/>
              <w:rPr>
                <w:rFonts w:hint="eastAsia" w:ascii="宋体" w:hAnsi="宋体" w:eastAsia="宋体" w:cs="宋体"/>
                <w:szCs w:val="21"/>
              </w:rPr>
            </w:pPr>
            <w:r>
              <w:rPr>
                <w:rFonts w:hint="eastAsia" w:ascii="宋体" w:hAnsi="宋体" w:eastAsia="宋体" w:cs="宋体"/>
                <w:i w:val="0"/>
                <w:iCs w:val="0"/>
                <w:color w:val="000000"/>
                <w:kern w:val="0"/>
                <w:sz w:val="22"/>
                <w:szCs w:val="22"/>
                <w:u w:val="none"/>
                <w:lang w:val="en-US" w:eastAsia="zh-CN" w:bidi="ar"/>
              </w:rPr>
              <w:t>天然气使用安全现状评价和防爆电气防静电检测,出具安评证书</w:t>
            </w: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lang w:eastAsia="zh-CN"/>
              </w:rPr>
              <w:t>项目材料</w:t>
            </w:r>
            <w:r>
              <w:rPr>
                <w:rFonts w:hint="eastAsia" w:ascii="宋体" w:hAnsi="宋体" w:eastAsia="宋体" w:cs="宋体"/>
              </w:rPr>
              <w:t>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2958"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6" w:name="_Toc639013"/>
      <w:bookmarkStart w:id="17" w:name="_Toc9193"/>
      <w:bookmarkStart w:id="18"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6"/>
    <w:bookmarkEnd w:id="17"/>
    <w:bookmarkEnd w:id="18"/>
    <w:p>
      <w:pPr>
        <w:pStyle w:val="85"/>
        <w:ind w:firstLine="480"/>
        <w:rPr>
          <w:rFonts w:hint="eastAsia" w:ascii="宋体" w:hAnsi="宋体" w:eastAsia="宋体" w:cs="宋体"/>
        </w:rPr>
      </w:pPr>
      <w:r>
        <w:rPr>
          <w:rFonts w:hint="eastAsia" w:ascii="宋体" w:hAnsi="宋体" w:eastAsia="宋体" w:cs="宋体"/>
        </w:rPr>
        <w:t>附件1</w:t>
      </w:r>
      <w:bookmarkStart w:id="19" w:name="_Toc92678174"/>
      <w:bookmarkStart w:id="20" w:name="_Toc15535"/>
      <w:bookmarkStart w:id="21" w:name="_Toc212369556"/>
      <w:bookmarkStart w:id="22" w:name="_Toc353881023"/>
      <w:bookmarkStart w:id="23"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9"/>
      <w:r>
        <w:rPr>
          <w:rFonts w:hint="eastAsia" w:ascii="宋体" w:hAnsi="宋体" w:eastAsia="宋体" w:cs="宋体"/>
        </w:rPr>
        <w:t>格式</w:t>
      </w:r>
      <w:bookmarkEnd w:id="20"/>
      <w:bookmarkEnd w:id="21"/>
      <w:bookmarkEnd w:id="22"/>
      <w:bookmarkEnd w:id="23"/>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4" w:name="_Toc465187638"/>
    </w:p>
    <w:p>
      <w:pPr>
        <w:pStyle w:val="16"/>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6"/>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6"/>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eastAsia="宋体" w:cs="宋体"/>
          <w:sz w:val="24"/>
          <w:szCs w:val="24"/>
        </w:rPr>
        <w:t>http</w:t>
      </w:r>
      <w:r>
        <w:rPr>
          <w:rStyle w:val="39"/>
          <w:rFonts w:hint="eastAsia" w:ascii="宋体" w:hAnsi="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bookmarkEnd w:id="24"/>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ind w:left="0" w:leftChars="0" w:firstLine="0" w:firstLineChars="0"/>
        <w:rPr>
          <w:rFonts w:hint="eastAsia" w:ascii="宋体" w:hAnsi="宋体" w:eastAsia="宋体" w:cs="宋体"/>
        </w:rPr>
      </w:pPr>
    </w:p>
    <w:p>
      <w:pPr>
        <w:pStyle w:val="59"/>
        <w:jc w:val="center"/>
        <w:rPr>
          <w:rFonts w:hint="eastAsia" w:ascii="宋体" w:hAnsi="宋体" w:eastAsia="宋体" w:cs="宋体"/>
        </w:rPr>
      </w:pPr>
      <w:bookmarkStart w:id="25" w:name="_Toc425801541"/>
      <w:r>
        <w:rPr>
          <w:rFonts w:hint="eastAsia" w:ascii="宋体" w:hAnsi="宋体" w:eastAsia="宋体" w:cs="宋体"/>
        </w:rPr>
        <w:t>第二章技术协议书</w:t>
      </w:r>
    </w:p>
    <w:bookmarkEnd w:id="25"/>
    <w:p>
      <w:pPr>
        <w:pStyle w:val="81"/>
        <w:rPr>
          <w:rFonts w:hint="eastAsia" w:ascii="宋体" w:hAnsi="宋体" w:eastAsia="宋体" w:cs="宋体"/>
        </w:rPr>
      </w:pPr>
      <w:r>
        <w:rPr>
          <w:rFonts w:hint="eastAsia" w:ascii="宋体" w:hAnsi="宋体" w:eastAsia="宋体" w:cs="宋体"/>
        </w:rPr>
        <w:t>一、项目说明</w:t>
      </w:r>
    </w:p>
    <w:p>
      <w:pPr>
        <w:pageBreakBefore w:val="0"/>
        <w:widowControl w:val="0"/>
        <w:kinsoku/>
        <w:wordWrap/>
        <w:overflowPunct/>
        <w:topLinePunct w:val="0"/>
        <w:autoSpaceDE/>
        <w:autoSpaceDN/>
        <w:bidi w:val="0"/>
        <w:adjustRightInd/>
        <w:spacing w:line="360" w:lineRule="auto"/>
        <w:ind w:right="2" w:firstLine="480" w:firstLineChars="200"/>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lang w:eastAsia="zh-CN"/>
        </w:rPr>
        <w:t>动力总成试验部（杭州）天然气系统安全评估工作</w:t>
      </w:r>
      <w:r>
        <w:rPr>
          <w:rFonts w:hint="eastAsia" w:ascii="宋体" w:hAnsi="宋体" w:eastAsia="宋体" w:cs="宋体"/>
          <w:color w:val="000000"/>
          <w:sz w:val="24"/>
          <w:szCs w:val="24"/>
        </w:rPr>
        <w:t>项目</w:t>
      </w:r>
    </w:p>
    <w:p>
      <w:pPr>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hAnsi="宋体" w:cs="宋体"/>
          <w:color w:val="000000"/>
          <w:sz w:val="24"/>
          <w:szCs w:val="24"/>
          <w:lang w:eastAsia="zh-CN"/>
        </w:rPr>
        <w:t>杭州</w:t>
      </w:r>
      <w:r>
        <w:rPr>
          <w:rFonts w:hint="eastAsia" w:ascii="宋体" w:hAnsi="宋体" w:eastAsia="宋体" w:cs="宋体"/>
          <w:color w:val="000000"/>
          <w:sz w:val="24"/>
          <w:szCs w:val="24"/>
        </w:rPr>
        <w:t>市</w:t>
      </w:r>
      <w:r>
        <w:rPr>
          <w:rFonts w:hint="eastAsia" w:hAnsi="宋体" w:cs="宋体"/>
          <w:color w:val="000000"/>
          <w:sz w:val="24"/>
          <w:szCs w:val="24"/>
          <w:lang w:eastAsia="zh-CN"/>
        </w:rPr>
        <w:t>萧山区高新六</w:t>
      </w:r>
      <w:r>
        <w:rPr>
          <w:rFonts w:hint="eastAsia" w:ascii="宋体" w:hAnsi="宋体" w:eastAsia="宋体" w:cs="宋体"/>
          <w:color w:val="000000"/>
          <w:sz w:val="24"/>
          <w:szCs w:val="24"/>
        </w:rPr>
        <w:t>路</w:t>
      </w:r>
      <w:r>
        <w:rPr>
          <w:rFonts w:hint="eastAsia" w:hAnsi="宋体" w:cs="宋体"/>
          <w:color w:val="000000"/>
          <w:sz w:val="24"/>
          <w:szCs w:val="24"/>
          <w:lang w:val="en-US" w:eastAsia="zh-CN"/>
        </w:rPr>
        <w:t>186</w:t>
      </w:r>
      <w:r>
        <w:rPr>
          <w:rFonts w:hint="eastAsia" w:ascii="宋体" w:hAnsi="宋体" w:eastAsia="宋体" w:cs="宋体"/>
          <w:color w:val="000000"/>
          <w:sz w:val="24"/>
          <w:szCs w:val="24"/>
        </w:rPr>
        <w:t>号</w:t>
      </w:r>
      <w:r>
        <w:rPr>
          <w:rFonts w:hint="eastAsia" w:hAnsi="宋体" w:cs="宋体"/>
          <w:color w:val="000000"/>
          <w:sz w:val="24"/>
          <w:szCs w:val="24"/>
          <w:lang w:eastAsia="zh-CN"/>
        </w:rPr>
        <w:t>中国</w:t>
      </w:r>
      <w:r>
        <w:rPr>
          <w:rFonts w:hint="eastAsia" w:ascii="宋体" w:hAnsi="宋体" w:eastAsia="宋体" w:cs="宋体"/>
          <w:color w:val="000000"/>
          <w:sz w:val="24"/>
          <w:szCs w:val="24"/>
        </w:rPr>
        <w:t>重汽</w:t>
      </w:r>
    </w:p>
    <w:p>
      <w:pPr>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项目概况：</w:t>
      </w:r>
      <w:r>
        <w:rPr>
          <w:rFonts w:ascii="宋体" w:hAnsi="宋体" w:eastAsia="宋体" w:cs="宋体"/>
          <w:sz w:val="24"/>
          <w:szCs w:val="24"/>
        </w:rPr>
        <w:t>本次安全现状评估主要针对产品试验检测中心</w:t>
      </w:r>
      <w:r>
        <w:rPr>
          <w:rFonts w:hint="eastAsia" w:ascii="宋体" w:hAnsi="宋体" w:eastAsia="宋体" w:cs="宋体"/>
          <w:sz w:val="24"/>
          <w:szCs w:val="24"/>
          <w:lang w:eastAsia="zh-CN"/>
        </w:rPr>
        <w:t>动力总成试验部杭州</w:t>
      </w:r>
      <w:r>
        <w:rPr>
          <w:rFonts w:ascii="宋体" w:hAnsi="宋体" w:eastAsia="宋体" w:cs="宋体"/>
          <w:sz w:val="24"/>
          <w:szCs w:val="24"/>
        </w:rPr>
        <w:t>园区试验室及</w:t>
      </w:r>
      <w:r>
        <w:rPr>
          <w:rFonts w:hint="eastAsia" w:ascii="宋体" w:hAnsi="宋体" w:eastAsia="宋体" w:cs="宋体"/>
          <w:sz w:val="24"/>
          <w:szCs w:val="24"/>
          <w:lang w:eastAsia="zh-CN"/>
        </w:rPr>
        <w:t>天然气</w:t>
      </w:r>
      <w:r>
        <w:rPr>
          <w:rFonts w:ascii="宋体" w:hAnsi="宋体" w:eastAsia="宋体" w:cs="宋体"/>
          <w:sz w:val="24"/>
          <w:szCs w:val="24"/>
        </w:rPr>
        <w:t>站房开展</w:t>
      </w:r>
      <w:r>
        <w:rPr>
          <w:rFonts w:hint="eastAsia" w:ascii="宋体" w:hAnsi="宋体" w:eastAsia="宋体" w:cs="宋体"/>
          <w:sz w:val="24"/>
          <w:szCs w:val="24"/>
          <w:lang w:eastAsia="zh-CN"/>
        </w:rPr>
        <w:t>天然气</w:t>
      </w:r>
      <w:r>
        <w:rPr>
          <w:rFonts w:ascii="宋体" w:hAnsi="宋体" w:eastAsia="宋体" w:cs="宋体"/>
          <w:sz w:val="24"/>
          <w:szCs w:val="24"/>
        </w:rPr>
        <w:t>安全风险点现状评估及隐患排查，并出具评估报告给出整改方案。</w:t>
      </w:r>
      <w:r>
        <w:rPr>
          <w:rFonts w:hint="eastAsia" w:hAnsi="宋体" w:cs="宋体"/>
          <w:color w:val="000000"/>
          <w:kern w:val="2"/>
          <w:sz w:val="24"/>
          <w:szCs w:val="24"/>
          <w:lang w:val="en-US" w:eastAsia="zh-CN" w:bidi="ar-SA"/>
        </w:rPr>
        <w:t>对现存</w:t>
      </w:r>
      <w:r>
        <w:rPr>
          <w:rFonts w:hint="eastAsia" w:ascii="宋体" w:hAnsi="宋体" w:eastAsia="宋体" w:cs="宋体"/>
          <w:color w:val="000000"/>
          <w:sz w:val="24"/>
          <w:szCs w:val="24"/>
          <w:lang w:eastAsia="zh-CN"/>
        </w:rPr>
        <w:t>天然气系统</w:t>
      </w:r>
      <w:r>
        <w:rPr>
          <w:rFonts w:hint="eastAsia" w:hAnsi="宋体" w:cs="宋体"/>
          <w:color w:val="000000"/>
          <w:sz w:val="24"/>
          <w:szCs w:val="24"/>
          <w:lang w:eastAsia="zh-CN"/>
        </w:rPr>
        <w:t>进行</w:t>
      </w:r>
      <w:r>
        <w:rPr>
          <w:rFonts w:hint="eastAsia" w:ascii="宋体" w:hAnsi="宋体" w:eastAsia="宋体" w:cs="宋体"/>
          <w:color w:val="000000"/>
          <w:sz w:val="24"/>
          <w:szCs w:val="24"/>
          <w:lang w:eastAsia="zh-CN"/>
        </w:rPr>
        <w:t>安全评估工作</w:t>
      </w:r>
      <w:r>
        <w:rPr>
          <w:rFonts w:hint="eastAsia" w:ascii="宋体" w:hAnsi="宋体" w:eastAsia="宋体" w:cs="宋体"/>
          <w:color w:val="000000"/>
          <w:kern w:val="2"/>
          <w:sz w:val="24"/>
          <w:szCs w:val="24"/>
          <w:lang w:val="en-US" w:eastAsia="zh-CN" w:bidi="ar-SA"/>
        </w:rPr>
        <w:t>。主要内容包括：</w:t>
      </w:r>
    </w:p>
    <w:p>
      <w:pPr>
        <w:pageBreakBefore w:val="0"/>
        <w:widowControl w:val="0"/>
        <w:kinsoku/>
        <w:wordWrap/>
        <w:overflowPunct/>
        <w:topLinePunct w:val="0"/>
        <w:autoSpaceDE/>
        <w:autoSpaceDN/>
        <w:bidi w:val="0"/>
        <w:adjustRightInd/>
        <w:spacing w:line="360" w:lineRule="auto"/>
        <w:ind w:right="2" w:firstLine="480" w:firstLineChars="200"/>
        <w:textAlignment w:val="auto"/>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天然气使用安全现状评价</w:t>
      </w:r>
    </w:p>
    <w:p>
      <w:pPr>
        <w:pageBreakBefore w:val="0"/>
        <w:widowControl w:val="0"/>
        <w:kinsoku/>
        <w:wordWrap/>
        <w:overflowPunct/>
        <w:topLinePunct w:val="0"/>
        <w:autoSpaceDE/>
        <w:autoSpaceDN/>
        <w:bidi w:val="0"/>
        <w:adjustRightInd/>
        <w:spacing w:line="360" w:lineRule="auto"/>
        <w:ind w:right="2" w:firstLine="480" w:firstLineChars="200"/>
        <w:textAlignment w:val="auto"/>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防爆电气防静电检测</w:t>
      </w:r>
    </w:p>
    <w:p>
      <w:pPr>
        <w:pStyle w:val="81"/>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rPr>
      </w:pPr>
      <w:r>
        <w:rPr>
          <w:rFonts w:hint="eastAsia" w:ascii="宋体" w:hAnsi="宋体" w:eastAsia="宋体" w:cs="宋体"/>
        </w:rPr>
        <w:t>二、服务要求</w:t>
      </w:r>
    </w:p>
    <w:p>
      <w:pPr>
        <w:pStyle w:val="5"/>
        <w:keepNext/>
        <w:keepLines/>
        <w:pageBreakBefore w:val="0"/>
        <w:widowControl w:val="0"/>
        <w:kinsoku/>
        <w:wordWrap/>
        <w:overflowPunct/>
        <w:topLinePunct w:val="0"/>
        <w:autoSpaceDE/>
        <w:autoSpaceDN/>
        <w:bidi w:val="0"/>
        <w:adjustRightInd/>
        <w:snapToGrid w:val="0"/>
        <w:spacing w:before="0" w:after="0" w:line="360" w:lineRule="auto"/>
        <w:ind w:firstLine="480" w:firstLineChars="200"/>
        <w:textAlignment w:val="auto"/>
        <w:rPr>
          <w:rFonts w:hint="eastAsia" w:ascii="宋体" w:hAnsi="宋体" w:eastAsia="宋体" w:cs="宋体"/>
          <w:b w:val="0"/>
          <w:bCs w:val="0"/>
          <w:color w:val="auto"/>
          <w:kern w:val="2"/>
          <w:sz w:val="24"/>
          <w:szCs w:val="24"/>
          <w:lang w:val="en-US" w:eastAsia="zh-CN" w:bidi="ar-SA"/>
        </w:rPr>
      </w:pPr>
      <w:bookmarkStart w:id="26" w:name="_Toc10152"/>
      <w:bookmarkStart w:id="27" w:name="_Toc24049"/>
      <w:bookmarkStart w:id="28" w:name="_Toc26699"/>
      <w:bookmarkStart w:id="29" w:name="_Toc31558"/>
      <w:bookmarkStart w:id="30" w:name="_Toc385411768"/>
      <w:bookmarkStart w:id="31" w:name="_Toc490750820"/>
      <w:r>
        <w:rPr>
          <w:rFonts w:hint="eastAsia" w:ascii="宋体" w:hAnsi="宋体" w:eastAsia="宋体" w:cs="宋体"/>
          <w:b w:val="0"/>
          <w:bCs w:val="0"/>
          <w:color w:val="000000"/>
          <w:kern w:val="2"/>
          <w:sz w:val="24"/>
          <w:szCs w:val="24"/>
          <w:lang w:val="en-US" w:eastAsia="zh-CN" w:bidi="ar-SA"/>
        </w:rPr>
        <w:t>本项目涉及杭研园区验收工作，承包方应完全按照国家、行业标准和企业规范，文明施工、安全施工，并随时接受招标方的检查。施工过程中务必做好安全管理工作，涉及特种作业（动火、登高）的必须办理审批手续，施工结束后及时清理物料并恢复现场</w:t>
      </w:r>
      <w:r>
        <w:rPr>
          <w:rFonts w:hint="eastAsia" w:ascii="宋体" w:hAnsi="宋体" w:eastAsia="宋体" w:cs="宋体"/>
          <w:b w:val="0"/>
          <w:bCs w:val="0"/>
          <w:color w:val="auto"/>
          <w:kern w:val="2"/>
          <w:sz w:val="24"/>
          <w:szCs w:val="24"/>
          <w:lang w:val="en-US" w:eastAsia="zh-CN" w:bidi="ar-SA"/>
        </w:rPr>
        <w:t>整洁。</w:t>
      </w:r>
    </w:p>
    <w:p>
      <w:pPr>
        <w:pageBreakBefore w:val="0"/>
        <w:widowControl w:val="0"/>
        <w:kinsoku/>
        <w:wordWrap/>
        <w:overflowPunct/>
        <w:topLinePunct w:val="0"/>
        <w:autoSpaceDE/>
        <w:autoSpaceDN/>
        <w:bidi w:val="0"/>
        <w:adjustRightInd/>
        <w:spacing w:line="360" w:lineRule="auto"/>
        <w:textAlignment w:val="auto"/>
        <w:rPr>
          <w:rFonts w:hint="eastAsia" w:ascii="宋体" w:hAnsi="宋体" w:eastAsia="宋体" w:cs="宋体"/>
          <w:lang w:val="en-US" w:eastAsia="zh-CN"/>
        </w:rPr>
      </w:pPr>
      <w:r>
        <w:rPr>
          <w:rFonts w:hint="eastAsia" w:ascii="宋体" w:hAnsi="宋体" w:cs="宋体"/>
          <w:b w:val="0"/>
          <w:bCs w:val="0"/>
          <w:color w:val="auto"/>
          <w:kern w:val="2"/>
          <w:sz w:val="24"/>
          <w:szCs w:val="24"/>
          <w:lang w:val="en-US" w:eastAsia="zh-CN" w:bidi="ar-SA"/>
        </w:rPr>
        <w:t xml:space="preserve">   </w:t>
      </w:r>
      <w:r>
        <w:rPr>
          <w:rFonts w:hint="eastAsia" w:ascii="宋体" w:hAnsi="宋体" w:eastAsia="宋体" w:cs="宋体"/>
          <w:b w:val="0"/>
          <w:bCs w:val="0"/>
          <w:color w:val="000000"/>
          <w:kern w:val="2"/>
          <w:sz w:val="24"/>
          <w:szCs w:val="24"/>
          <w:lang w:val="en-US" w:eastAsia="zh-CN" w:bidi="ar-SA"/>
        </w:rPr>
        <w:t xml:space="preserve"> 本项目主要针对产品试验检测中心动力总成试验部杭州园区试验室及天然气站房开展天然气安全风险点现状评估及隐患排查，乙方依据国家有关法律法规、文件、标准和安全评价细则，开展安全等风险点现状评估及隐患排查，并出具评估报告给出整改方案。</w:t>
      </w:r>
    </w:p>
    <w:p>
      <w:pPr>
        <w:pStyle w:val="81"/>
        <w:pageBreakBefore w:val="0"/>
        <w:widowControl w:val="0"/>
        <w:numPr>
          <w:ilvl w:val="0"/>
          <w:numId w:val="7"/>
        </w:numPr>
        <w:kinsoku/>
        <w:wordWrap/>
        <w:overflowPunct/>
        <w:topLinePunct w:val="0"/>
        <w:autoSpaceDE/>
        <w:autoSpaceDN/>
        <w:bidi w:val="0"/>
        <w:adjustRightInd/>
        <w:spacing w:line="360" w:lineRule="auto"/>
        <w:textAlignment w:val="auto"/>
        <w:rPr>
          <w:rFonts w:hint="eastAsia" w:ascii="宋体" w:hAnsi="宋体" w:eastAsia="宋体" w:cs="宋体"/>
        </w:rPr>
      </w:pPr>
      <w:r>
        <w:rPr>
          <w:rFonts w:hint="eastAsia" w:ascii="宋体" w:hAnsi="宋体" w:eastAsia="宋体" w:cs="宋体"/>
        </w:rPr>
        <w:t>技术要求</w:t>
      </w:r>
      <w:bookmarkEnd w:id="26"/>
      <w:bookmarkEnd w:id="27"/>
      <w:bookmarkEnd w:id="28"/>
      <w:bookmarkEnd w:id="29"/>
      <w:bookmarkEnd w:id="30"/>
      <w:bookmarkEnd w:id="31"/>
    </w:p>
    <w:p>
      <w:pPr>
        <w:pStyle w:val="81"/>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宋体" w:hAnsi="宋体" w:eastAsia="宋体" w:cs="宋体"/>
          <w:color w:val="000000"/>
          <w:kern w:val="2"/>
          <w:sz w:val="24"/>
          <w:szCs w:val="24"/>
          <w:lang w:val="en-US" w:eastAsia="zh-CN" w:bidi="ar-SA"/>
        </w:rPr>
      </w:pPr>
      <w:r>
        <w:rPr>
          <w:rFonts w:hint="eastAsia" w:eastAsia="宋体" w:cs="宋体"/>
          <w:color w:val="000000"/>
          <w:kern w:val="2"/>
          <w:sz w:val="24"/>
          <w:szCs w:val="24"/>
          <w:lang w:val="en-US" w:eastAsia="zh-CN" w:bidi="ar-SA"/>
        </w:rPr>
        <w:t xml:space="preserve">    </w:t>
      </w:r>
      <w:r>
        <w:rPr>
          <w:rFonts w:hint="eastAsia" w:ascii="宋体" w:hAnsi="宋体" w:eastAsia="宋体" w:cs="宋体"/>
          <w:color w:val="000000"/>
          <w:kern w:val="2"/>
          <w:sz w:val="24"/>
          <w:szCs w:val="24"/>
          <w:lang w:val="en-US" w:eastAsia="zh-CN" w:bidi="ar-SA"/>
        </w:rPr>
        <w:t>天然气使用安全现状评价</w:t>
      </w:r>
      <w:r>
        <w:rPr>
          <w:rFonts w:hint="eastAsia" w:eastAsia="宋体" w:cs="宋体"/>
          <w:color w:val="000000"/>
          <w:kern w:val="2"/>
          <w:sz w:val="24"/>
          <w:szCs w:val="24"/>
          <w:lang w:val="en-US" w:eastAsia="zh-CN" w:bidi="ar-SA"/>
        </w:rPr>
        <w:t>及</w:t>
      </w:r>
      <w:r>
        <w:rPr>
          <w:rFonts w:hint="eastAsia" w:ascii="宋体" w:hAnsi="宋体" w:eastAsia="宋体" w:cs="宋体"/>
          <w:color w:val="000000"/>
          <w:kern w:val="2"/>
          <w:sz w:val="24"/>
          <w:szCs w:val="24"/>
          <w:lang w:val="en-US" w:eastAsia="zh-CN" w:bidi="ar-SA"/>
        </w:rPr>
        <w:t>防爆电气防静电检测</w:t>
      </w:r>
      <w:r>
        <w:rPr>
          <w:rFonts w:hint="eastAsia" w:eastAsia="宋体" w:cs="宋体"/>
          <w:color w:val="000000"/>
          <w:kern w:val="2"/>
          <w:sz w:val="24"/>
          <w:szCs w:val="24"/>
          <w:lang w:val="en-US" w:eastAsia="zh-CN" w:bidi="ar-SA"/>
        </w:rPr>
        <w:t>。</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000000"/>
          <w:kern w:val="2"/>
          <w:sz w:val="24"/>
          <w:szCs w:val="24"/>
          <w:lang w:val="en-US" w:eastAsia="zh-CN" w:bidi="ar-SA"/>
        </w:rPr>
      </w:pPr>
      <w:r>
        <w:rPr>
          <w:rFonts w:ascii="宋体" w:hAnsi="宋体" w:eastAsia="宋体" w:cs="宋体"/>
          <w:sz w:val="24"/>
          <w:szCs w:val="24"/>
        </w:rPr>
        <w:t>乙方应安排具有安全评价资质的专业人员对甲方所辖区域现场及相关的管理制度、</w:t>
      </w:r>
      <w:r>
        <w:rPr>
          <w:rFonts w:ascii="宋体" w:hAnsi="宋体" w:eastAsia="宋体" w:cs="宋体"/>
          <w:sz w:val="24"/>
          <w:szCs w:val="24"/>
        </w:rPr>
        <w:br w:type="textWrapping"/>
      </w:r>
      <w:r>
        <w:rPr>
          <w:rFonts w:ascii="宋体" w:hAnsi="宋体" w:eastAsia="宋体" w:cs="宋体"/>
          <w:sz w:val="24"/>
          <w:szCs w:val="24"/>
        </w:rPr>
        <w:t>文件、表格及体系运行情况开展现状评估和隐患排查，并出具评估报告给出整改方案。</w:t>
      </w:r>
      <w:r>
        <w:rPr>
          <w:rFonts w:ascii="宋体" w:hAnsi="宋体" w:eastAsia="宋体" w:cs="宋体"/>
          <w:sz w:val="24"/>
          <w:szCs w:val="24"/>
        </w:rPr>
        <w:br w:type="textWrapping"/>
      </w:r>
      <w:r>
        <w:rPr>
          <w:rFonts w:ascii="宋体" w:hAnsi="宋体" w:eastAsia="宋体" w:cs="宋体"/>
          <w:sz w:val="24"/>
          <w:szCs w:val="24"/>
        </w:rPr>
        <w:t>其中注册安全工程师、注册消防工程师、安全评价师均不少于一人，且从事安全评价工</w:t>
      </w:r>
      <w:r>
        <w:rPr>
          <w:rFonts w:ascii="宋体" w:hAnsi="宋体" w:eastAsia="宋体" w:cs="宋体"/>
          <w:sz w:val="24"/>
          <w:szCs w:val="24"/>
        </w:rPr>
        <w:br w:type="textWrapping"/>
      </w:r>
      <w:r>
        <w:rPr>
          <w:rFonts w:ascii="宋体" w:hAnsi="宋体" w:eastAsia="宋体" w:cs="宋体"/>
          <w:sz w:val="24"/>
          <w:szCs w:val="24"/>
        </w:rPr>
        <w:t>作年限不少于3年。</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2 -</w:t>
    </w:r>
    <w:r>
      <w:fldChar w:fldCharType="end"/>
    </w:r>
  </w:p>
  <w:p>
    <w:pPr>
      <w:pStyle w:val="21"/>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1 -</w:t>
    </w:r>
    <w:r>
      <w:fldChar w:fldCharType="end"/>
    </w:r>
  </w:p>
  <w:p>
    <w:pPr>
      <w:pStyle w:val="21"/>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68214A1A"/>
    <w:multiLevelType w:val="singleLevel"/>
    <w:tmpl w:val="68214A1A"/>
    <w:lvl w:ilvl="0" w:tentative="0">
      <w:start w:val="3"/>
      <w:numFmt w:val="chineseCounting"/>
      <w:suff w:val="nothing"/>
      <w:lvlText w:val="%1、"/>
      <w:lvlJc w:val="left"/>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6D3837"/>
    <w:rsid w:val="007505DC"/>
    <w:rsid w:val="007B4CA4"/>
    <w:rsid w:val="00812C4A"/>
    <w:rsid w:val="00854791"/>
    <w:rsid w:val="008D7FC2"/>
    <w:rsid w:val="00902196"/>
    <w:rsid w:val="00905A82"/>
    <w:rsid w:val="00985073"/>
    <w:rsid w:val="00A45767"/>
    <w:rsid w:val="00A62F3D"/>
    <w:rsid w:val="00AA5F2D"/>
    <w:rsid w:val="00AE7AA6"/>
    <w:rsid w:val="00B25EF2"/>
    <w:rsid w:val="00B941C5"/>
    <w:rsid w:val="00BA7190"/>
    <w:rsid w:val="00C86522"/>
    <w:rsid w:val="00CC1EFC"/>
    <w:rsid w:val="00E5434E"/>
    <w:rsid w:val="00E86C65"/>
    <w:rsid w:val="00EA37A5"/>
    <w:rsid w:val="00F204CA"/>
    <w:rsid w:val="00F47F06"/>
    <w:rsid w:val="00F702D9"/>
    <w:rsid w:val="00F71910"/>
    <w:rsid w:val="00F94AA9"/>
    <w:rsid w:val="00FF51D3"/>
    <w:rsid w:val="01043710"/>
    <w:rsid w:val="011507DD"/>
    <w:rsid w:val="01387AC5"/>
    <w:rsid w:val="01D75097"/>
    <w:rsid w:val="03493BFF"/>
    <w:rsid w:val="034D0622"/>
    <w:rsid w:val="038C4D5A"/>
    <w:rsid w:val="038E7F70"/>
    <w:rsid w:val="04585849"/>
    <w:rsid w:val="047E2524"/>
    <w:rsid w:val="049622BD"/>
    <w:rsid w:val="052778F6"/>
    <w:rsid w:val="05AE4FD9"/>
    <w:rsid w:val="05D9271A"/>
    <w:rsid w:val="06905111"/>
    <w:rsid w:val="06CF064D"/>
    <w:rsid w:val="06DD1CC5"/>
    <w:rsid w:val="06E4736A"/>
    <w:rsid w:val="06E55E89"/>
    <w:rsid w:val="070B65D7"/>
    <w:rsid w:val="07103FDF"/>
    <w:rsid w:val="078075E1"/>
    <w:rsid w:val="0781535B"/>
    <w:rsid w:val="078360D5"/>
    <w:rsid w:val="08244F7B"/>
    <w:rsid w:val="095B1AD9"/>
    <w:rsid w:val="09AA7979"/>
    <w:rsid w:val="09F17531"/>
    <w:rsid w:val="0A12155E"/>
    <w:rsid w:val="0A384B1A"/>
    <w:rsid w:val="0A954625"/>
    <w:rsid w:val="0ABB6BA0"/>
    <w:rsid w:val="0B205A40"/>
    <w:rsid w:val="0B241343"/>
    <w:rsid w:val="0B2F0E96"/>
    <w:rsid w:val="0B5D0450"/>
    <w:rsid w:val="0B840328"/>
    <w:rsid w:val="0BF4177E"/>
    <w:rsid w:val="0C184DC8"/>
    <w:rsid w:val="0CBC6A25"/>
    <w:rsid w:val="0CDA596A"/>
    <w:rsid w:val="0D4F2B42"/>
    <w:rsid w:val="0DCB3427"/>
    <w:rsid w:val="0E0E62D0"/>
    <w:rsid w:val="0E26697B"/>
    <w:rsid w:val="0E444206"/>
    <w:rsid w:val="0E9E0110"/>
    <w:rsid w:val="0EB70CFE"/>
    <w:rsid w:val="0F123AF6"/>
    <w:rsid w:val="0F2E2A6C"/>
    <w:rsid w:val="0FA136A0"/>
    <w:rsid w:val="104079D5"/>
    <w:rsid w:val="1048779A"/>
    <w:rsid w:val="10982C6B"/>
    <w:rsid w:val="10A56518"/>
    <w:rsid w:val="1103518C"/>
    <w:rsid w:val="115415F7"/>
    <w:rsid w:val="117C486B"/>
    <w:rsid w:val="12134D47"/>
    <w:rsid w:val="12136712"/>
    <w:rsid w:val="14750D59"/>
    <w:rsid w:val="14A15C19"/>
    <w:rsid w:val="14AF58B8"/>
    <w:rsid w:val="14CF2817"/>
    <w:rsid w:val="14F26FE7"/>
    <w:rsid w:val="15D677FE"/>
    <w:rsid w:val="15D76F88"/>
    <w:rsid w:val="15E256D4"/>
    <w:rsid w:val="16D66613"/>
    <w:rsid w:val="16DE1CE7"/>
    <w:rsid w:val="16E12C29"/>
    <w:rsid w:val="16EB5D8A"/>
    <w:rsid w:val="17821F60"/>
    <w:rsid w:val="17EB3444"/>
    <w:rsid w:val="17EC378B"/>
    <w:rsid w:val="18076BC0"/>
    <w:rsid w:val="182B539A"/>
    <w:rsid w:val="18435505"/>
    <w:rsid w:val="18466B36"/>
    <w:rsid w:val="18482C65"/>
    <w:rsid w:val="19612B43"/>
    <w:rsid w:val="19680364"/>
    <w:rsid w:val="19855E2F"/>
    <w:rsid w:val="199D37E1"/>
    <w:rsid w:val="19A034B1"/>
    <w:rsid w:val="19A57E23"/>
    <w:rsid w:val="19C87067"/>
    <w:rsid w:val="1AA732E0"/>
    <w:rsid w:val="1B287E91"/>
    <w:rsid w:val="1B44505F"/>
    <w:rsid w:val="1B4C48F8"/>
    <w:rsid w:val="1BA753DE"/>
    <w:rsid w:val="1C58368E"/>
    <w:rsid w:val="1D416CE3"/>
    <w:rsid w:val="1D801BB0"/>
    <w:rsid w:val="1E221444"/>
    <w:rsid w:val="1E8E2687"/>
    <w:rsid w:val="1ECF4B9E"/>
    <w:rsid w:val="1EFC0C41"/>
    <w:rsid w:val="1F6B0A06"/>
    <w:rsid w:val="1F6E2EAA"/>
    <w:rsid w:val="1FBF5CE3"/>
    <w:rsid w:val="1FCD5AF6"/>
    <w:rsid w:val="201506B2"/>
    <w:rsid w:val="20D025A7"/>
    <w:rsid w:val="20D2210B"/>
    <w:rsid w:val="21545E1F"/>
    <w:rsid w:val="217C7D01"/>
    <w:rsid w:val="220B3420"/>
    <w:rsid w:val="221B044B"/>
    <w:rsid w:val="227E4674"/>
    <w:rsid w:val="23B90C3A"/>
    <w:rsid w:val="24532D1A"/>
    <w:rsid w:val="24DD3964"/>
    <w:rsid w:val="25B0674D"/>
    <w:rsid w:val="25F06535"/>
    <w:rsid w:val="2666604D"/>
    <w:rsid w:val="267B67AB"/>
    <w:rsid w:val="26A953B6"/>
    <w:rsid w:val="270E2105"/>
    <w:rsid w:val="274C3BCE"/>
    <w:rsid w:val="27714350"/>
    <w:rsid w:val="27770C40"/>
    <w:rsid w:val="27C819DF"/>
    <w:rsid w:val="27D806B8"/>
    <w:rsid w:val="27D9009E"/>
    <w:rsid w:val="28320246"/>
    <w:rsid w:val="28E43A61"/>
    <w:rsid w:val="28FF5C0B"/>
    <w:rsid w:val="2967491A"/>
    <w:rsid w:val="296F0655"/>
    <w:rsid w:val="29B06E18"/>
    <w:rsid w:val="29F91C46"/>
    <w:rsid w:val="2A4D249B"/>
    <w:rsid w:val="2A6011A0"/>
    <w:rsid w:val="2A711C9D"/>
    <w:rsid w:val="2BBB0FC8"/>
    <w:rsid w:val="2C131AA0"/>
    <w:rsid w:val="2C1F1BC0"/>
    <w:rsid w:val="2C286359"/>
    <w:rsid w:val="2C2A3AB5"/>
    <w:rsid w:val="2CA57371"/>
    <w:rsid w:val="2CA6678F"/>
    <w:rsid w:val="2CD8040C"/>
    <w:rsid w:val="2D042661"/>
    <w:rsid w:val="2D0671E6"/>
    <w:rsid w:val="2D4D5DEC"/>
    <w:rsid w:val="2D7703D4"/>
    <w:rsid w:val="2E353CED"/>
    <w:rsid w:val="2E422C86"/>
    <w:rsid w:val="2E9136B9"/>
    <w:rsid w:val="2E99083D"/>
    <w:rsid w:val="2EAD4EE3"/>
    <w:rsid w:val="2EB771D0"/>
    <w:rsid w:val="2F171128"/>
    <w:rsid w:val="2F174860"/>
    <w:rsid w:val="2F494C27"/>
    <w:rsid w:val="2F8F0777"/>
    <w:rsid w:val="2F9B0E28"/>
    <w:rsid w:val="30437425"/>
    <w:rsid w:val="309975A8"/>
    <w:rsid w:val="30A626A4"/>
    <w:rsid w:val="30B707AF"/>
    <w:rsid w:val="30D378D6"/>
    <w:rsid w:val="30DA2A38"/>
    <w:rsid w:val="30FD4989"/>
    <w:rsid w:val="31502F1F"/>
    <w:rsid w:val="316A0AB7"/>
    <w:rsid w:val="31AF1380"/>
    <w:rsid w:val="31CA3AF9"/>
    <w:rsid w:val="323F2F4C"/>
    <w:rsid w:val="32562C88"/>
    <w:rsid w:val="32C26585"/>
    <w:rsid w:val="331B3834"/>
    <w:rsid w:val="3383183D"/>
    <w:rsid w:val="33C05A2C"/>
    <w:rsid w:val="33E15948"/>
    <w:rsid w:val="347178CC"/>
    <w:rsid w:val="34756419"/>
    <w:rsid w:val="34841722"/>
    <w:rsid w:val="34D57CA2"/>
    <w:rsid w:val="34F7633C"/>
    <w:rsid w:val="352E4DC2"/>
    <w:rsid w:val="35547F26"/>
    <w:rsid w:val="356637DD"/>
    <w:rsid w:val="35A76E58"/>
    <w:rsid w:val="364C0773"/>
    <w:rsid w:val="365057DC"/>
    <w:rsid w:val="36624880"/>
    <w:rsid w:val="371C6FD7"/>
    <w:rsid w:val="37681527"/>
    <w:rsid w:val="38345694"/>
    <w:rsid w:val="38816703"/>
    <w:rsid w:val="38DA5FA0"/>
    <w:rsid w:val="39190B35"/>
    <w:rsid w:val="39250F6D"/>
    <w:rsid w:val="39783396"/>
    <w:rsid w:val="398D39CB"/>
    <w:rsid w:val="399B6139"/>
    <w:rsid w:val="3A453DA2"/>
    <w:rsid w:val="3A75086F"/>
    <w:rsid w:val="3A93560C"/>
    <w:rsid w:val="3AA37BF1"/>
    <w:rsid w:val="3AB62A9C"/>
    <w:rsid w:val="3B077BA0"/>
    <w:rsid w:val="3B1151DF"/>
    <w:rsid w:val="3B593DDF"/>
    <w:rsid w:val="3B9D1CAA"/>
    <w:rsid w:val="3BC0361A"/>
    <w:rsid w:val="3BEB0786"/>
    <w:rsid w:val="3BF67C58"/>
    <w:rsid w:val="3D4C687D"/>
    <w:rsid w:val="3D894843"/>
    <w:rsid w:val="3E5F1699"/>
    <w:rsid w:val="3EAA6966"/>
    <w:rsid w:val="3F1E7148"/>
    <w:rsid w:val="3F2156A3"/>
    <w:rsid w:val="3F3E0588"/>
    <w:rsid w:val="3FE270DB"/>
    <w:rsid w:val="40014B4F"/>
    <w:rsid w:val="405678FB"/>
    <w:rsid w:val="40EC514E"/>
    <w:rsid w:val="41612ADE"/>
    <w:rsid w:val="42093879"/>
    <w:rsid w:val="423679EB"/>
    <w:rsid w:val="423C0C4F"/>
    <w:rsid w:val="42405D05"/>
    <w:rsid w:val="425609F4"/>
    <w:rsid w:val="42A433D7"/>
    <w:rsid w:val="431B1B1B"/>
    <w:rsid w:val="43E106D4"/>
    <w:rsid w:val="443A4539"/>
    <w:rsid w:val="44AC70B8"/>
    <w:rsid w:val="44D66627"/>
    <w:rsid w:val="44DC1DE5"/>
    <w:rsid w:val="451F649F"/>
    <w:rsid w:val="45241FE6"/>
    <w:rsid w:val="45754816"/>
    <w:rsid w:val="45917073"/>
    <w:rsid w:val="45E52C24"/>
    <w:rsid w:val="461C259E"/>
    <w:rsid w:val="461D4AEC"/>
    <w:rsid w:val="46D96D67"/>
    <w:rsid w:val="46E54B01"/>
    <w:rsid w:val="481239D1"/>
    <w:rsid w:val="4848241A"/>
    <w:rsid w:val="4929227B"/>
    <w:rsid w:val="49E06ACA"/>
    <w:rsid w:val="49E55B97"/>
    <w:rsid w:val="4A547AF7"/>
    <w:rsid w:val="4ABF41AB"/>
    <w:rsid w:val="4AE3459A"/>
    <w:rsid w:val="4B5C1CA5"/>
    <w:rsid w:val="4B7D0690"/>
    <w:rsid w:val="4B822C73"/>
    <w:rsid w:val="4B88469C"/>
    <w:rsid w:val="4BB54B6A"/>
    <w:rsid w:val="4C0A21E1"/>
    <w:rsid w:val="4C1740C2"/>
    <w:rsid w:val="4C3A530E"/>
    <w:rsid w:val="4C653E36"/>
    <w:rsid w:val="4C900393"/>
    <w:rsid w:val="4D244895"/>
    <w:rsid w:val="4D791B45"/>
    <w:rsid w:val="4DD32461"/>
    <w:rsid w:val="4E4F2AE7"/>
    <w:rsid w:val="4EE63E1E"/>
    <w:rsid w:val="4F1C659F"/>
    <w:rsid w:val="4F3231BE"/>
    <w:rsid w:val="4F3E3FFF"/>
    <w:rsid w:val="4F944E75"/>
    <w:rsid w:val="4FF857B2"/>
    <w:rsid w:val="50834AB8"/>
    <w:rsid w:val="50C4704B"/>
    <w:rsid w:val="50E82CED"/>
    <w:rsid w:val="5113527C"/>
    <w:rsid w:val="51265A2B"/>
    <w:rsid w:val="51270F70"/>
    <w:rsid w:val="51857987"/>
    <w:rsid w:val="51BE4ACC"/>
    <w:rsid w:val="51D2577C"/>
    <w:rsid w:val="520A0199"/>
    <w:rsid w:val="5258782F"/>
    <w:rsid w:val="526A3BB8"/>
    <w:rsid w:val="527E5AF3"/>
    <w:rsid w:val="52F80A27"/>
    <w:rsid w:val="5333163C"/>
    <w:rsid w:val="534760A2"/>
    <w:rsid w:val="534910CB"/>
    <w:rsid w:val="53B27A93"/>
    <w:rsid w:val="53B777C6"/>
    <w:rsid w:val="53D34DE4"/>
    <w:rsid w:val="54415E92"/>
    <w:rsid w:val="549C1CC5"/>
    <w:rsid w:val="54B51D2B"/>
    <w:rsid w:val="54C61F3C"/>
    <w:rsid w:val="55392180"/>
    <w:rsid w:val="55503174"/>
    <w:rsid w:val="5576297B"/>
    <w:rsid w:val="558307A0"/>
    <w:rsid w:val="55D17605"/>
    <w:rsid w:val="55F5485B"/>
    <w:rsid w:val="560D2BDD"/>
    <w:rsid w:val="573C52D9"/>
    <w:rsid w:val="574D51FD"/>
    <w:rsid w:val="575803C5"/>
    <w:rsid w:val="57747F9D"/>
    <w:rsid w:val="57A836B3"/>
    <w:rsid w:val="57CC1BA4"/>
    <w:rsid w:val="57F03D56"/>
    <w:rsid w:val="58736C02"/>
    <w:rsid w:val="58BC5236"/>
    <w:rsid w:val="590B0426"/>
    <w:rsid w:val="5A9B2375"/>
    <w:rsid w:val="5AFA200D"/>
    <w:rsid w:val="5B1D44DF"/>
    <w:rsid w:val="5B1E1614"/>
    <w:rsid w:val="5B4D2F29"/>
    <w:rsid w:val="5B82177C"/>
    <w:rsid w:val="5B8812AC"/>
    <w:rsid w:val="5BC547EA"/>
    <w:rsid w:val="5BF30A37"/>
    <w:rsid w:val="5BFD3D7B"/>
    <w:rsid w:val="5C0D3F73"/>
    <w:rsid w:val="5C255BF0"/>
    <w:rsid w:val="5C440146"/>
    <w:rsid w:val="5C6E4F42"/>
    <w:rsid w:val="5CDD600A"/>
    <w:rsid w:val="5D004C58"/>
    <w:rsid w:val="5D962D18"/>
    <w:rsid w:val="5DAF51D7"/>
    <w:rsid w:val="5F2E6F78"/>
    <w:rsid w:val="5F64059B"/>
    <w:rsid w:val="5FD32DA7"/>
    <w:rsid w:val="5FF65C6E"/>
    <w:rsid w:val="60AE53F2"/>
    <w:rsid w:val="60C46327"/>
    <w:rsid w:val="61523364"/>
    <w:rsid w:val="621E253E"/>
    <w:rsid w:val="62D37FB1"/>
    <w:rsid w:val="635B1C8A"/>
    <w:rsid w:val="63610800"/>
    <w:rsid w:val="63632117"/>
    <w:rsid w:val="636E7C64"/>
    <w:rsid w:val="636F4F70"/>
    <w:rsid w:val="64184D4D"/>
    <w:rsid w:val="65492047"/>
    <w:rsid w:val="65933F33"/>
    <w:rsid w:val="659E20E7"/>
    <w:rsid w:val="65AD6236"/>
    <w:rsid w:val="65C01C15"/>
    <w:rsid w:val="65E85411"/>
    <w:rsid w:val="65FE33E9"/>
    <w:rsid w:val="662750C6"/>
    <w:rsid w:val="66587C72"/>
    <w:rsid w:val="66FA2051"/>
    <w:rsid w:val="670C41AF"/>
    <w:rsid w:val="671B5C5B"/>
    <w:rsid w:val="676750B9"/>
    <w:rsid w:val="685D61E2"/>
    <w:rsid w:val="688D618F"/>
    <w:rsid w:val="68A72459"/>
    <w:rsid w:val="68A94B4C"/>
    <w:rsid w:val="68DF1628"/>
    <w:rsid w:val="690031C6"/>
    <w:rsid w:val="69006FA7"/>
    <w:rsid w:val="694D1FDB"/>
    <w:rsid w:val="69C33AD2"/>
    <w:rsid w:val="69DE55BB"/>
    <w:rsid w:val="6A310C79"/>
    <w:rsid w:val="6A3D1B24"/>
    <w:rsid w:val="6AFE77B3"/>
    <w:rsid w:val="6B4A1ABB"/>
    <w:rsid w:val="6BAB44E6"/>
    <w:rsid w:val="6BB95700"/>
    <w:rsid w:val="6BC11F77"/>
    <w:rsid w:val="6C394F0D"/>
    <w:rsid w:val="6DA2642D"/>
    <w:rsid w:val="6DDE0CA8"/>
    <w:rsid w:val="6E0876D2"/>
    <w:rsid w:val="6E5755F6"/>
    <w:rsid w:val="6EB47F63"/>
    <w:rsid w:val="6EB85DD2"/>
    <w:rsid w:val="6EC0647C"/>
    <w:rsid w:val="6EE41607"/>
    <w:rsid w:val="6F2B7291"/>
    <w:rsid w:val="6FE9103A"/>
    <w:rsid w:val="701D01BA"/>
    <w:rsid w:val="705215E6"/>
    <w:rsid w:val="70637FAA"/>
    <w:rsid w:val="70EC03FF"/>
    <w:rsid w:val="71406B7B"/>
    <w:rsid w:val="715A76B9"/>
    <w:rsid w:val="71763C20"/>
    <w:rsid w:val="720E4873"/>
    <w:rsid w:val="723540C1"/>
    <w:rsid w:val="726668AD"/>
    <w:rsid w:val="7276784C"/>
    <w:rsid w:val="72FD76C4"/>
    <w:rsid w:val="73EA033A"/>
    <w:rsid w:val="74203E13"/>
    <w:rsid w:val="7481264E"/>
    <w:rsid w:val="74DE7E76"/>
    <w:rsid w:val="750940E9"/>
    <w:rsid w:val="751D5143"/>
    <w:rsid w:val="752947A6"/>
    <w:rsid w:val="75884A54"/>
    <w:rsid w:val="75D60914"/>
    <w:rsid w:val="75E92BF7"/>
    <w:rsid w:val="76B9339F"/>
    <w:rsid w:val="76C354C0"/>
    <w:rsid w:val="771E2539"/>
    <w:rsid w:val="77BE0360"/>
    <w:rsid w:val="77EF6C01"/>
    <w:rsid w:val="785F36EC"/>
    <w:rsid w:val="78642144"/>
    <w:rsid w:val="78B33F61"/>
    <w:rsid w:val="78C52D07"/>
    <w:rsid w:val="790D5483"/>
    <w:rsid w:val="792C69EA"/>
    <w:rsid w:val="79802DF8"/>
    <w:rsid w:val="79A74503"/>
    <w:rsid w:val="79DE1BF3"/>
    <w:rsid w:val="7A225718"/>
    <w:rsid w:val="7AAA733E"/>
    <w:rsid w:val="7AC345BA"/>
    <w:rsid w:val="7ACC12FA"/>
    <w:rsid w:val="7B233B36"/>
    <w:rsid w:val="7B3E6807"/>
    <w:rsid w:val="7B9C5DBE"/>
    <w:rsid w:val="7BAE16EF"/>
    <w:rsid w:val="7BEF2645"/>
    <w:rsid w:val="7BF90A7D"/>
    <w:rsid w:val="7C8C6717"/>
    <w:rsid w:val="7CDD65F9"/>
    <w:rsid w:val="7D066C42"/>
    <w:rsid w:val="7D3654C6"/>
    <w:rsid w:val="7D38786A"/>
    <w:rsid w:val="7D4635F6"/>
    <w:rsid w:val="7D84664C"/>
    <w:rsid w:val="7DE1572C"/>
    <w:rsid w:val="7E6B7DA6"/>
    <w:rsid w:val="7F547849"/>
    <w:rsid w:val="7F871B36"/>
    <w:rsid w:val="7FDD43F1"/>
    <w:rsid w:val="C77F2227"/>
  </w:rsids>
  <m:mathPr>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5">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6">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45"/>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tabs>
        <w:tab w:val="left" w:pos="219"/>
        <w:tab w:val="left" w:pos="420"/>
        <w:tab w:val="left" w:pos="482"/>
        <w:tab w:val="left" w:pos="2183"/>
        <w:tab w:val="left" w:pos="3884"/>
        <w:tab w:val="left" w:pos="5585"/>
      </w:tabs>
      <w:ind w:firstLine="420" w:firstLineChars="100"/>
    </w:pPr>
  </w:style>
  <w:style w:type="paragraph" w:styleId="3">
    <w:name w:val="Body Text"/>
    <w:basedOn w:val="1"/>
    <w:link w:val="99"/>
    <w:qFormat/>
    <w:uiPriority w:val="0"/>
    <w:rPr>
      <w:rFonts w:ascii="仿宋_GB2312" w:eastAsia="仿宋_GB2312"/>
      <w:sz w:val="32"/>
      <w:lang w:val="zh-CN" w:eastAsia="zh-CN"/>
    </w:rPr>
  </w:style>
  <w:style w:type="paragraph" w:styleId="8">
    <w:name w:val="toc 7"/>
    <w:basedOn w:val="1"/>
    <w:next w:val="1"/>
    <w:qFormat/>
    <w:uiPriority w:val="0"/>
    <w:pPr>
      <w:ind w:left="1440"/>
      <w:jc w:val="left"/>
    </w:pPr>
    <w:rPr>
      <w:sz w:val="18"/>
      <w:szCs w:val="18"/>
    </w:rPr>
  </w:style>
  <w:style w:type="paragraph" w:styleId="9">
    <w:name w:val="caption"/>
    <w:basedOn w:val="1"/>
    <w:next w:val="1"/>
    <w:qFormat/>
    <w:uiPriority w:val="0"/>
    <w:pPr>
      <w:spacing w:before="152" w:after="160"/>
    </w:pPr>
    <w:rPr>
      <w:rFonts w:ascii="Arial" w:hAnsi="Arial" w:eastAsia="黑体" w:cs="Arial"/>
      <w:sz w:val="20"/>
    </w:rPr>
  </w:style>
  <w:style w:type="paragraph" w:styleId="10">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1">
    <w:name w:val="toa heading"/>
    <w:basedOn w:val="1"/>
    <w:next w:val="1"/>
    <w:qFormat/>
    <w:uiPriority w:val="0"/>
    <w:pPr>
      <w:spacing w:before="120"/>
    </w:pPr>
    <w:rPr>
      <w:rFonts w:ascii="Arial" w:hAnsi="Arial" w:cs="Arial"/>
      <w:sz w:val="24"/>
      <w:szCs w:val="24"/>
    </w:rPr>
  </w:style>
  <w:style w:type="paragraph" w:styleId="12">
    <w:name w:val="annotation text"/>
    <w:basedOn w:val="1"/>
    <w:link w:val="48"/>
    <w:unhideWhenUsed/>
    <w:qFormat/>
    <w:uiPriority w:val="0"/>
    <w:pPr>
      <w:jc w:val="left"/>
    </w:p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2"/>
    <w:next w:val="12"/>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4"/>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5"/>
    <w:qFormat/>
    <w:uiPriority w:val="0"/>
    <w:rPr>
      <w:rFonts w:ascii="Arial" w:hAnsi="Arial" w:eastAsia="黑体" w:cs="Times New Roman"/>
      <w:b/>
      <w:bCs/>
      <w:sz w:val="32"/>
      <w:szCs w:val="32"/>
      <w:lang w:val="zh-CN" w:eastAsia="zh-CN"/>
    </w:rPr>
  </w:style>
  <w:style w:type="character" w:customStyle="1" w:styleId="43">
    <w:name w:val="标题 3 字符"/>
    <w:basedOn w:val="35"/>
    <w:link w:val="6"/>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7"/>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2"/>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4"/>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10"/>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5"/>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6"/>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customStyle="1"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3"/>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7"/>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9137</Words>
  <Characters>9452</Characters>
  <Lines>247</Lines>
  <Paragraphs>69</Paragraphs>
  <TotalTime>0</TotalTime>
  <ScaleCrop>false</ScaleCrop>
  <LinksUpToDate>false</LinksUpToDate>
  <CharactersWithSpaces>13688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2025-05-28T15:00:06Z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