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68F33">
      <w:pPr>
        <w:pStyle w:val="3"/>
        <w:widowControl/>
        <w:jc w:val="center"/>
        <w:rPr>
          <w:rFonts w:hint="eastAsia" w:cs="宋体"/>
          <w:i w:val="0"/>
          <w:iCs/>
          <w:sz w:val="32"/>
          <w:szCs w:val="32"/>
          <w:lang w:val="en-US" w:eastAsia="zh-CN"/>
        </w:rPr>
      </w:pPr>
      <w:bookmarkStart w:id="0" w:name="_Toc12866"/>
      <w:r>
        <w:rPr>
          <w:rFonts w:hint="eastAsia" w:cs="宋体"/>
          <w:i w:val="0"/>
          <w:iCs/>
          <w:sz w:val="32"/>
          <w:szCs w:val="32"/>
          <w:lang w:val="en-US" w:eastAsia="zh-CN"/>
        </w:rPr>
        <w:t>中国重汽集团2026年团干部综合能力提升暨</w:t>
      </w:r>
    </w:p>
    <w:p w14:paraId="70EB68A1">
      <w:pPr>
        <w:pStyle w:val="3"/>
        <w:widowControl/>
        <w:jc w:val="center"/>
        <w:rPr>
          <w:i w:val="0"/>
          <w:iCs/>
          <w:sz w:val="32"/>
          <w:szCs w:val="32"/>
          <w:lang w:val="en-US"/>
        </w:rPr>
      </w:pPr>
      <w:r>
        <w:rPr>
          <w:rFonts w:hint="eastAsia" w:cs="宋体"/>
          <w:i w:val="0"/>
          <w:iCs/>
          <w:sz w:val="32"/>
          <w:szCs w:val="32"/>
          <w:lang w:val="en-US" w:eastAsia="zh-CN"/>
        </w:rPr>
        <w:t>第五期“青年马克思主义者培养工程”培训班招标公告</w:t>
      </w:r>
      <w:bookmarkEnd w:id="0"/>
    </w:p>
    <w:p w14:paraId="1EBE2D1A">
      <w:pPr>
        <w:pStyle w:val="3"/>
        <w:widowControl/>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w:t>
      </w:r>
      <w:r>
        <w:rPr>
          <w:rFonts w:hint="eastAsia" w:cs="宋体"/>
          <w:b/>
          <w:bCs/>
          <w:i w:val="0"/>
          <w:iCs/>
          <w:sz w:val="22"/>
          <w:szCs w:val="22"/>
          <w:highlight w:val="yellow"/>
          <w:lang w:val="en-US" w:eastAsia="zh-CN"/>
        </w:rPr>
        <w:t>ZBGL2026080263</w:t>
      </w:r>
      <w:r>
        <w:rPr>
          <w:rFonts w:hint="eastAsia" w:ascii="Cambria" w:hAnsi="Cambria" w:eastAsia="宋体" w:cs="宋体"/>
          <w:b/>
          <w:bCs/>
          <w:i w:val="0"/>
          <w:iCs/>
          <w:sz w:val="22"/>
          <w:szCs w:val="22"/>
          <w:highlight w:val="none"/>
          <w:lang w:eastAsia="zh-CN"/>
        </w:rPr>
        <w:t>）</w:t>
      </w:r>
      <w:bookmarkEnd w:id="1"/>
    </w:p>
    <w:p w14:paraId="20BDA0D9">
      <w:pPr>
        <w:rPr>
          <w:rFonts w:hint="eastAsia" w:asciiTheme="majorEastAsia" w:hAnsiTheme="majorEastAsia" w:eastAsiaTheme="majorEastAsia" w:cstheme="majorEastAsia"/>
          <w:b/>
          <w:bCs/>
          <w:sz w:val="24"/>
          <w:szCs w:val="24"/>
        </w:rPr>
      </w:pPr>
    </w:p>
    <w:p w14:paraId="474C137B">
      <w:pPr>
        <w:rPr>
          <w:rFonts w:hint="eastAsia" w:asciiTheme="majorEastAsia" w:hAnsiTheme="majorEastAsia" w:eastAsiaTheme="majorEastAsia" w:cstheme="majorEastAsia"/>
          <w:b/>
          <w:bCs/>
          <w:sz w:val="24"/>
          <w:szCs w:val="24"/>
        </w:rPr>
      </w:pPr>
    </w:p>
    <w:tbl>
      <w:tblPr>
        <w:tblStyle w:val="12"/>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677DE7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6FB91D9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06EEAF26">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2026-10-09 </w:t>
            </w:r>
          </w:p>
        </w:tc>
        <w:tc>
          <w:tcPr>
            <w:tcW w:w="2200" w:type="dxa"/>
            <w:shd w:val="clear" w:color="auto" w:fill="DEDEDE"/>
            <w:vAlign w:val="center"/>
          </w:tcPr>
          <w:p w14:paraId="09883BE4">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66EF447B">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2026-10-20 </w:t>
            </w:r>
          </w:p>
        </w:tc>
      </w:tr>
    </w:tbl>
    <w:p w14:paraId="3891D99F">
      <w:pPr>
        <w:rPr>
          <w:rFonts w:hint="eastAsia" w:asciiTheme="majorEastAsia" w:hAnsiTheme="majorEastAsia" w:eastAsiaTheme="majorEastAsia" w:cstheme="majorEastAsia"/>
          <w:b/>
          <w:bCs/>
          <w:sz w:val="24"/>
          <w:szCs w:val="24"/>
        </w:rPr>
      </w:pPr>
    </w:p>
    <w:p w14:paraId="22A1DC92">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34DE45B1">
      <w:pPr>
        <w:ind w:firstLine="48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根据本公司本年度培训计划及工作实际，将面向本公司团干部及先进青年代表开办中国重汽集团2026年团干部综合能力提升暨第五期“青年马克思主义者培养工程”培训班。（详情请应标后见招标文件技术标书）</w:t>
      </w:r>
    </w:p>
    <w:p w14:paraId="36BF1B5C">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755D5F2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ajorEastAsia" w:hAnsiTheme="majorEastAsia" w:eastAsiaTheme="majorEastAsia" w:cstheme="majorEastAsia"/>
          <w:sz w:val="24"/>
          <w:szCs w:val="24"/>
          <w:lang w:val="en-US" w:eastAsia="zh-CN"/>
        </w:rPr>
        <w:t>中国重汽集团2026年团干部综合能力提升暨第五期“青年马克思主义者培养工程”培训班</w:t>
      </w:r>
    </w:p>
    <w:p w14:paraId="4610D852">
      <w:pPr>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eastAsia="zh-CN"/>
        </w:rPr>
        <w:t>非生产培训教学服务</w:t>
      </w:r>
    </w:p>
    <w:p w14:paraId="3BA3571B">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26BCDC17">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442D956C">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1.</w:t>
      </w:r>
      <w:r>
        <w:rPr>
          <w:rFonts w:hint="eastAsia" w:asciiTheme="majorEastAsia" w:hAnsiTheme="majorEastAsia" w:eastAsiaTheme="majorEastAsia" w:cstheme="majorEastAsia"/>
          <w:sz w:val="24"/>
          <w:szCs w:val="24"/>
        </w:rPr>
        <w:t xml:space="preserve">投标人必须是在中华人民共和国境内注册的独立法人机构，具有独立承担民事责任能力，注册资金不少于 100 万人民币；公司成立三年以上（以营业执照成立日期到开标当日满三年为准）；并在人员、设备、资金等方面具有承担本项目的能力；经营范围含 </w:t>
      </w:r>
      <w:r>
        <w:rPr>
          <w:rFonts w:hint="eastAsia" w:asciiTheme="majorEastAsia" w:hAnsiTheme="majorEastAsia" w:eastAsiaTheme="majorEastAsia" w:cstheme="majorEastAsia"/>
          <w:sz w:val="24"/>
          <w:szCs w:val="24"/>
          <w:lang w:val="en-US" w:eastAsia="zh-CN"/>
        </w:rPr>
        <w:t>培训教学或会议接待</w:t>
      </w:r>
      <w:r>
        <w:rPr>
          <w:rFonts w:hint="eastAsia" w:asciiTheme="majorEastAsia" w:hAnsiTheme="majorEastAsia" w:eastAsiaTheme="majorEastAsia" w:cstheme="majorEastAsia"/>
          <w:sz w:val="24"/>
          <w:szCs w:val="24"/>
        </w:rPr>
        <w:t xml:space="preserve"> 等相关服务内容。</w:t>
      </w:r>
    </w:p>
    <w:p w14:paraId="01A0BD6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投标人及拟派项目负责人资质要求：</w:t>
      </w:r>
    </w:p>
    <w:p w14:paraId="27A1EA9A">
      <w:pPr>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教学方面：</w:t>
      </w:r>
      <w:r>
        <w:rPr>
          <w:rFonts w:hint="eastAsia" w:asciiTheme="majorEastAsia" w:hAnsiTheme="majorEastAsia" w:eastAsiaTheme="majorEastAsia" w:cstheme="majorEastAsia"/>
          <w:sz w:val="24"/>
          <w:szCs w:val="24"/>
        </w:rPr>
        <w:t>投标人应具备3名及以上</w:t>
      </w:r>
      <w:r>
        <w:rPr>
          <w:rFonts w:hint="eastAsia" w:asciiTheme="majorEastAsia" w:hAnsiTheme="majorEastAsia" w:eastAsiaTheme="majorEastAsia" w:cstheme="majorEastAsia"/>
          <w:sz w:val="24"/>
          <w:szCs w:val="24"/>
          <w:lang w:val="en-US" w:eastAsia="zh-CN"/>
        </w:rPr>
        <w:t>群工团相关课程培训师资源</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报名时</w:t>
      </w:r>
      <w:r>
        <w:rPr>
          <w:rFonts w:hint="eastAsia" w:asciiTheme="majorEastAsia" w:hAnsiTheme="majorEastAsia" w:eastAsiaTheme="majorEastAsia" w:cstheme="majorEastAsia"/>
          <w:sz w:val="24"/>
          <w:szCs w:val="24"/>
          <w:lang w:val="en-US" w:eastAsia="zh-CN"/>
        </w:rPr>
        <w:t>拟派项目负责人</w:t>
      </w:r>
      <w:r>
        <w:rPr>
          <w:rFonts w:hint="eastAsia" w:asciiTheme="majorEastAsia" w:hAnsiTheme="majorEastAsia" w:eastAsiaTheme="majorEastAsia" w:cstheme="majorEastAsia"/>
          <w:sz w:val="24"/>
          <w:szCs w:val="24"/>
        </w:rPr>
        <w:t>须提交投标截至时间前一年内在</w:t>
      </w:r>
      <w:r>
        <w:rPr>
          <w:rFonts w:hint="eastAsia" w:asciiTheme="majorEastAsia" w:hAnsiTheme="majorEastAsia" w:eastAsiaTheme="majorEastAsia" w:cstheme="majorEastAsia"/>
          <w:sz w:val="24"/>
          <w:szCs w:val="24"/>
          <w:lang w:val="en-US" w:eastAsia="zh-CN"/>
        </w:rPr>
        <w:t>投标</w:t>
      </w:r>
      <w:r>
        <w:rPr>
          <w:rFonts w:hint="eastAsia" w:asciiTheme="majorEastAsia" w:hAnsiTheme="majorEastAsia" w:eastAsiaTheme="majorEastAsia" w:cstheme="majorEastAsia"/>
          <w:sz w:val="24"/>
          <w:szCs w:val="24"/>
        </w:rPr>
        <w:t>单位缴纳的</w:t>
      </w:r>
      <w:r>
        <w:rPr>
          <w:rFonts w:hint="eastAsia" w:asciiTheme="majorEastAsia" w:hAnsiTheme="majorEastAsia" w:eastAsiaTheme="majorEastAsia" w:cstheme="majorEastAsia"/>
          <w:sz w:val="24"/>
          <w:szCs w:val="24"/>
          <w:lang w:val="en-US" w:eastAsia="zh-CN"/>
        </w:rPr>
        <w:t>至少</w:t>
      </w:r>
      <w:r>
        <w:rPr>
          <w:rFonts w:hint="eastAsia" w:asciiTheme="majorEastAsia" w:hAnsiTheme="majorEastAsia" w:eastAsiaTheme="majorEastAsia" w:cstheme="majorEastAsia"/>
          <w:sz w:val="24"/>
          <w:szCs w:val="24"/>
        </w:rPr>
        <w:t>连续六个月的社保证明。</w:t>
      </w:r>
    </w:p>
    <w:p w14:paraId="61675A62">
      <w:pPr>
        <w:ind w:firstLine="480" w:firstLineChars="20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场地方面：投标人应具备可同时接纳不少于50人同步进行培训、活动、会议、住宿、用餐的场地规模，且应当具备足够的水电暖条件；</w:t>
      </w:r>
      <w:r>
        <w:rPr>
          <w:rFonts w:hint="eastAsia" w:asciiTheme="majorEastAsia" w:hAnsiTheme="majorEastAsia" w:eastAsiaTheme="majorEastAsia" w:cstheme="majorEastAsia"/>
          <w:sz w:val="24"/>
          <w:szCs w:val="24"/>
        </w:rPr>
        <w:t>报名时</w:t>
      </w:r>
      <w:r>
        <w:rPr>
          <w:rFonts w:hint="eastAsia" w:asciiTheme="majorEastAsia" w:hAnsiTheme="majorEastAsia" w:eastAsiaTheme="majorEastAsia" w:cstheme="majorEastAsia"/>
          <w:sz w:val="24"/>
          <w:szCs w:val="24"/>
          <w:lang w:val="en-US" w:eastAsia="zh-CN"/>
        </w:rPr>
        <w:t>拟派项目负责人</w:t>
      </w:r>
      <w:r>
        <w:rPr>
          <w:rFonts w:hint="eastAsia" w:asciiTheme="majorEastAsia" w:hAnsiTheme="majorEastAsia" w:eastAsiaTheme="majorEastAsia" w:cstheme="majorEastAsia"/>
          <w:sz w:val="24"/>
          <w:szCs w:val="24"/>
        </w:rPr>
        <w:t>须提交投标截至时间前一年内在</w:t>
      </w:r>
      <w:r>
        <w:rPr>
          <w:rFonts w:hint="eastAsia" w:asciiTheme="majorEastAsia" w:hAnsiTheme="majorEastAsia" w:eastAsiaTheme="majorEastAsia" w:cstheme="majorEastAsia"/>
          <w:sz w:val="24"/>
          <w:szCs w:val="24"/>
          <w:lang w:val="en-US" w:eastAsia="zh-CN"/>
        </w:rPr>
        <w:t>投标</w:t>
      </w:r>
      <w:r>
        <w:rPr>
          <w:rFonts w:hint="eastAsia" w:asciiTheme="majorEastAsia" w:hAnsiTheme="majorEastAsia" w:eastAsiaTheme="majorEastAsia" w:cstheme="majorEastAsia"/>
          <w:sz w:val="24"/>
          <w:szCs w:val="24"/>
        </w:rPr>
        <w:t>单位缴纳的</w:t>
      </w:r>
      <w:r>
        <w:rPr>
          <w:rFonts w:hint="eastAsia" w:asciiTheme="majorEastAsia" w:hAnsiTheme="majorEastAsia" w:eastAsiaTheme="majorEastAsia" w:cstheme="majorEastAsia"/>
          <w:sz w:val="24"/>
          <w:szCs w:val="24"/>
          <w:lang w:val="en-US" w:eastAsia="zh-CN"/>
        </w:rPr>
        <w:t>至少</w:t>
      </w:r>
      <w:r>
        <w:rPr>
          <w:rFonts w:hint="eastAsia" w:asciiTheme="majorEastAsia" w:hAnsiTheme="majorEastAsia" w:eastAsiaTheme="majorEastAsia" w:cstheme="majorEastAsia"/>
          <w:sz w:val="24"/>
          <w:szCs w:val="24"/>
        </w:rPr>
        <w:t>连续六个月的社保证明。</w:t>
      </w:r>
    </w:p>
    <w:p w14:paraId="6DC02C5B">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业绩要求：</w:t>
      </w:r>
      <w:r>
        <w:rPr>
          <w:rFonts w:hint="eastAsia" w:asciiTheme="majorEastAsia" w:hAnsiTheme="majorEastAsia" w:eastAsiaTheme="majorEastAsia" w:cstheme="majorEastAsia"/>
          <w:sz w:val="24"/>
          <w:szCs w:val="24"/>
        </w:rPr>
        <w:t>近</w:t>
      </w:r>
      <w:r>
        <w:rPr>
          <w:rFonts w:hint="eastAsia" w:asciiTheme="majorEastAsia" w:hAnsiTheme="majorEastAsia" w:eastAsiaTheme="majorEastAsia" w:cstheme="majorEastAsia"/>
          <w:sz w:val="24"/>
          <w:szCs w:val="24"/>
          <w:lang w:val="en-US" w:eastAsia="zh-CN"/>
        </w:rPr>
        <w:t>三年（2023年9月至今）</w:t>
      </w:r>
      <w:r>
        <w:rPr>
          <w:rFonts w:hint="eastAsia" w:asciiTheme="majorEastAsia" w:hAnsiTheme="majorEastAsia" w:eastAsiaTheme="majorEastAsia" w:cstheme="majorEastAsia"/>
          <w:sz w:val="24"/>
          <w:szCs w:val="24"/>
        </w:rPr>
        <w:t>至少承揽过一项</w:t>
      </w:r>
      <w:r>
        <w:rPr>
          <w:rFonts w:hint="eastAsia" w:asciiTheme="majorEastAsia" w:hAnsiTheme="majorEastAsia" w:eastAsiaTheme="majorEastAsia" w:cstheme="majorEastAsia"/>
          <w:sz w:val="24"/>
          <w:szCs w:val="24"/>
          <w:lang w:val="en-US" w:eastAsia="zh-CN"/>
        </w:rPr>
        <w:t>大型企事业单位的50人以上群工团相关主题会议或培训经历</w:t>
      </w:r>
      <w:r>
        <w:rPr>
          <w:rFonts w:hint="eastAsia" w:asciiTheme="majorEastAsia" w:hAnsiTheme="majorEastAsia" w:eastAsiaTheme="majorEastAsia" w:cstheme="majorEastAsia"/>
          <w:sz w:val="24"/>
          <w:szCs w:val="24"/>
        </w:rPr>
        <w:t>。报名时需提供合同原件的扫描件。</w:t>
      </w:r>
    </w:p>
    <w:p w14:paraId="2B4546B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4</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财务要求：</w:t>
      </w:r>
      <w:r>
        <w:rPr>
          <w:rFonts w:hint="eastAsia" w:asciiTheme="majorEastAsia" w:hAnsiTheme="majorEastAsia" w:eastAsiaTheme="majorEastAsia" w:cstheme="majorEastAsia"/>
          <w:sz w:val="24"/>
          <w:szCs w:val="24"/>
        </w:rPr>
        <w:t>近三年财务状况良好（近三年指202</w:t>
      </w:r>
      <w:r>
        <w:rPr>
          <w:rFonts w:hint="eastAsia" w:asciiTheme="majorEastAsia" w:hAnsiTheme="majorEastAsia" w:eastAsiaTheme="majorEastAsia" w:cstheme="majorEastAsia"/>
          <w:sz w:val="24"/>
          <w:szCs w:val="24"/>
          <w:lang w:val="en-US" w:eastAsia="zh-CN"/>
        </w:rPr>
        <w:t>3</w:t>
      </w:r>
      <w:r>
        <w:rPr>
          <w:rFonts w:hint="eastAsia" w:asciiTheme="majorEastAsia" w:hAnsiTheme="majorEastAsia" w:eastAsiaTheme="majorEastAsia" w:cstheme="majorEastAsia"/>
          <w:sz w:val="24"/>
          <w:szCs w:val="24"/>
        </w:rPr>
        <w:t>、202</w:t>
      </w:r>
      <w:r>
        <w:rPr>
          <w:rFonts w:hint="eastAsia" w:asciiTheme="majorEastAsia" w:hAnsiTheme="majorEastAsia" w:eastAsiaTheme="majorEastAsia" w:cstheme="majorEastAsia"/>
          <w:sz w:val="24"/>
          <w:szCs w:val="24"/>
          <w:lang w:val="en-US" w:eastAsia="zh-CN"/>
        </w:rPr>
        <w:t>4</w:t>
      </w:r>
      <w:r>
        <w:rPr>
          <w:rFonts w:hint="eastAsia" w:asciiTheme="majorEastAsia" w:hAnsiTheme="majorEastAsia" w:eastAsiaTheme="majorEastAsia" w:cstheme="majorEastAsia"/>
          <w:sz w:val="24"/>
          <w:szCs w:val="24"/>
        </w:rPr>
        <w:t>、202</w:t>
      </w:r>
      <w:r>
        <w:rPr>
          <w:rFonts w:hint="eastAsia" w:asciiTheme="majorEastAsia" w:hAnsiTheme="majorEastAsia" w:eastAsiaTheme="majorEastAsia" w:cstheme="majorEastAsia"/>
          <w:sz w:val="24"/>
          <w:szCs w:val="24"/>
          <w:lang w:val="en-US" w:eastAsia="zh-CN"/>
        </w:rPr>
        <w:t>5</w:t>
      </w:r>
      <w:r>
        <w:rPr>
          <w:rFonts w:hint="eastAsia" w:asciiTheme="majorEastAsia" w:hAnsiTheme="majorEastAsia" w:eastAsiaTheme="majorEastAsia" w:cstheme="majorEastAsia"/>
          <w:sz w:val="24"/>
          <w:szCs w:val="24"/>
        </w:rPr>
        <w:t>年），要求包含企业最近半年完税证明、信用证明材料（中国人民银行征信报告）、年度纳税信用评价信息、企业对外担保说明。</w:t>
      </w:r>
    </w:p>
    <w:p w14:paraId="34B5DE0D">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5</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信誉要求：</w:t>
      </w:r>
      <w:r>
        <w:rPr>
          <w:rFonts w:hint="eastAsia" w:asciiTheme="majorEastAsia" w:hAnsiTheme="majorEastAsia" w:eastAsiaTheme="majorEastAsia" w:cstheme="majorEastAsia"/>
          <w:sz w:val="24"/>
          <w:szCs w:val="24"/>
        </w:rPr>
        <w:t>公司信誉良好，无行政处罚及失信记录等信息，无与本项目有关的违法违规等不良行为，无招标违规、谎报年度报告信息、提供虚假资质资料等行为或其他行政处罚记录。</w:t>
      </w:r>
    </w:p>
    <w:p w14:paraId="10980DB0">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6</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 xml:space="preserve">本项目不接受联合体投标。 </w:t>
      </w:r>
    </w:p>
    <w:p w14:paraId="04B6C3F7">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7</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没有被我公司列入黑名单。</w:t>
      </w:r>
    </w:p>
    <w:p w14:paraId="018F7880">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8</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供方的直接或间接股东、法定代表人、董事、监事、高管非重汽员工及其亲属。</w:t>
      </w:r>
    </w:p>
    <w:p w14:paraId="799282AE">
      <w:pPr>
        <w:ind w:firstLine="48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9</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 xml:space="preserve">法律法规对合格投标人的其他要求、规定。 </w:t>
      </w:r>
    </w:p>
    <w:p w14:paraId="07CEA4BB">
      <w:pPr>
        <w:rPr>
          <w:rFonts w:hint="eastAsia" w:asciiTheme="majorEastAsia" w:hAnsiTheme="majorEastAsia" w:eastAsiaTheme="majorEastAsia" w:cstheme="majorEastAsia"/>
          <w:b/>
          <w:bCs/>
          <w:sz w:val="24"/>
          <w:szCs w:val="24"/>
        </w:rPr>
      </w:pPr>
    </w:p>
    <w:p w14:paraId="44D74540">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color w:val="FF0000"/>
          <w:sz w:val="24"/>
          <w:szCs w:val="24"/>
          <w:highlight w:val="yellow"/>
          <w:lang w:eastAsia="zh-CN"/>
        </w:rPr>
        <w:t>“应标”</w:t>
      </w:r>
      <w:r>
        <w:rPr>
          <w:rFonts w:hint="eastAsia" w:asciiTheme="majorEastAsia" w:hAnsiTheme="majorEastAsia" w:eastAsiaTheme="majorEastAsia" w:cstheme="majorEastAsia"/>
          <w:b/>
          <w:bCs/>
          <w:color w:val="FF0000"/>
          <w:sz w:val="24"/>
          <w:szCs w:val="24"/>
          <w:highlight w:val="yellow"/>
          <w:lang w:val="en-US" w:eastAsia="zh-CN"/>
        </w:rPr>
        <w:t>报名</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lang w:val="en-US" w:eastAsia="zh-CN"/>
        </w:rPr>
        <w:t>应标截止时间（同下采购文件领取截止时间）内</w:t>
      </w:r>
      <w:r>
        <w:rPr>
          <w:rFonts w:hint="eastAsia" w:asciiTheme="majorEastAsia" w:hAnsiTheme="majorEastAsia" w:eastAsiaTheme="majorEastAsia" w:cstheme="majorEastAsia"/>
          <w:b/>
          <w:bCs/>
          <w:sz w:val="24"/>
          <w:szCs w:val="24"/>
          <w:lang w:eastAsia="zh-CN"/>
        </w:rPr>
        <w:t>，在重汽e采通网站内，找到本项目进行“应标”操作，规定时间未进行“应标”操作将无法参标。</w:t>
      </w:r>
    </w:p>
    <w:p w14:paraId="72F050B4">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color w:val="FF0000"/>
          <w:sz w:val="24"/>
          <w:szCs w:val="24"/>
          <w:highlight w:val="yellow"/>
          <w:lang w:eastAsia="zh-CN"/>
        </w:rPr>
        <w:t>“应标”所上传资料</w:t>
      </w:r>
      <w:r>
        <w:rPr>
          <w:rFonts w:hint="eastAsia" w:asciiTheme="majorEastAsia" w:hAnsiTheme="majorEastAsia" w:eastAsiaTheme="majorEastAsia" w:cstheme="majorEastAsia"/>
          <w:b/>
          <w:bCs/>
          <w:sz w:val="24"/>
          <w:szCs w:val="24"/>
          <w:lang w:eastAsia="zh-CN"/>
        </w:rPr>
        <w:t>：</w:t>
      </w:r>
    </w:p>
    <w:p w14:paraId="6204F0FA">
      <w:pPr>
        <w:pStyle w:val="2"/>
        <w:numPr>
          <w:ilvl w:val="0"/>
          <w:numId w:val="1"/>
        </w:numPr>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相关营业执照/营业资格证/法人证书/注册证书等能够证明投标单位性质及经营业务范围的国家法定相关材料，有1-2项即可；</w:t>
      </w:r>
    </w:p>
    <w:p w14:paraId="742A9FB0">
      <w:pPr>
        <w:pStyle w:val="2"/>
        <w:numPr>
          <w:ilvl w:val="0"/>
          <w:numId w:val="1"/>
        </w:numPr>
        <w:rPr>
          <w:rFonts w:hint="default"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近三年内财务报表、完税证明等财税相关证明；</w:t>
      </w:r>
    </w:p>
    <w:p w14:paraId="39DA3D9D">
      <w:pPr>
        <w:pStyle w:val="2"/>
        <w:rPr>
          <w:rFonts w:hint="default"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3.企业信息简介；</w:t>
      </w:r>
    </w:p>
    <w:p w14:paraId="3E3DC195">
      <w:pPr>
        <w:pStyle w:val="2"/>
        <w:rPr>
          <w:rFonts w:hint="default"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4.近年相关相似相同项目开展情况示例（合同/协议/已公开推送等能够证明投标单位近年承接过符合相应要求和数量项目的材料，2-3项即可）</w:t>
      </w:r>
    </w:p>
    <w:p w14:paraId="2C236B70">
      <w:pPr>
        <w:pStyle w:val="2"/>
        <w:rPr>
          <w:rFonts w:hint="default"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5.附件 投标报名表（见此文件最下方）</w:t>
      </w:r>
    </w:p>
    <w:p w14:paraId="7286623A">
      <w:pPr>
        <w:pStyle w:val="2"/>
        <w:rPr>
          <w:rFonts w:hint="eastAsia" w:asciiTheme="majorEastAsia" w:hAnsiTheme="majorEastAsia" w:eastAsiaTheme="majorEastAsia" w:cstheme="majorEastAsia"/>
          <w:b/>
          <w:bCs/>
          <w:sz w:val="24"/>
          <w:szCs w:val="24"/>
          <w:lang w:eastAsia="zh-CN"/>
        </w:rPr>
      </w:pPr>
    </w:p>
    <w:p w14:paraId="43697913">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eastAsia="zh-CN"/>
        </w:rPr>
        <w:t>备注：</w:t>
      </w:r>
      <w:r>
        <w:rPr>
          <w:rFonts w:hint="eastAsia" w:asciiTheme="majorEastAsia" w:hAnsiTheme="majorEastAsia" w:eastAsiaTheme="majorEastAsia" w:cstheme="majorEastAsia"/>
          <w:b/>
          <w:bCs/>
          <w:sz w:val="24"/>
          <w:szCs w:val="24"/>
          <w:lang w:val="en-US" w:eastAsia="zh-CN"/>
        </w:rPr>
        <w:t>以上相关资料必须齐全，作为应标成功的必要条件。</w:t>
      </w:r>
      <w:r>
        <w:rPr>
          <w:rFonts w:hint="eastAsia" w:asciiTheme="majorEastAsia" w:hAnsiTheme="majorEastAsia" w:eastAsiaTheme="majorEastAsia" w:cstheme="majorEastAsia"/>
          <w:b/>
          <w:bCs/>
          <w:sz w:val="24"/>
          <w:szCs w:val="24"/>
          <w:lang w:eastAsia="zh-CN"/>
        </w:rPr>
        <w:t>提供上述资料均须加盖单位公章，以PDF的形式在规定时间内上传至重汽e采通内。</w:t>
      </w:r>
    </w:p>
    <w:p w14:paraId="254815AE">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eastAsia="zh-CN"/>
        </w:rPr>
        <w:t>“应标”后，招标方进行资料审核，如“应标”资质不符合要求，“淘汰”；如“应标”资料不完整，“驳回”，补充资料，被“驳回”的单位，应在“应标”时间截止前补充完资料上传，否则视为“淘汰”；如资料无问题，视为“应标”成功，开放“投标”环节。</w:t>
      </w:r>
    </w:p>
    <w:p w14:paraId="3774A66F">
      <w:pPr>
        <w:rPr>
          <w:rFonts w:hint="eastAsia" w:asciiTheme="majorEastAsia" w:hAnsiTheme="majorEastAsia" w:eastAsiaTheme="majorEastAsia" w:cstheme="majorEastAsia"/>
          <w:b/>
          <w:bCs/>
          <w:color w:val="FF0000"/>
          <w:sz w:val="24"/>
          <w:szCs w:val="24"/>
          <w:highlight w:val="none"/>
          <w:lang w:eastAsia="zh-CN"/>
        </w:rPr>
      </w:pPr>
      <w:r>
        <w:rPr>
          <w:rFonts w:hint="eastAsia" w:asciiTheme="majorEastAsia" w:hAnsiTheme="majorEastAsia" w:eastAsiaTheme="majorEastAsia" w:cstheme="majorEastAsia"/>
          <w:b/>
          <w:bCs/>
          <w:color w:val="FF0000"/>
          <w:sz w:val="24"/>
          <w:szCs w:val="24"/>
          <w:highlight w:val="none"/>
          <w:lang w:eastAsia="zh-CN"/>
        </w:rPr>
        <w:t>备注：“淘汰”“驳回”不予做任何解释。</w:t>
      </w:r>
    </w:p>
    <w:p w14:paraId="0ABBEA8B">
      <w:pPr>
        <w:rPr>
          <w:rFonts w:hint="default" w:asciiTheme="majorEastAsia" w:hAnsiTheme="majorEastAsia" w:eastAsiaTheme="majorEastAsia" w:cstheme="majorEastAsia"/>
          <w:b/>
          <w:bCs/>
          <w:sz w:val="24"/>
          <w:szCs w:val="24"/>
          <w:lang w:val="en-US" w:eastAsia="zh-CN"/>
        </w:rPr>
      </w:pPr>
      <w:r>
        <w:rPr>
          <w:rFonts w:ascii="宋体" w:hAnsi="宋体" w:eastAsia="宋体" w:cs="宋体"/>
          <w:b/>
          <w:bCs/>
          <w:sz w:val="24"/>
          <w:szCs w:val="24"/>
        </w:rPr>
        <w:t>首次注册供应商</w:t>
      </w:r>
      <w:r>
        <w:rPr>
          <w:rFonts w:ascii="宋体" w:hAnsi="宋体" w:eastAsia="宋体" w:cs="宋体"/>
          <w:sz w:val="24"/>
          <w:szCs w:val="24"/>
        </w:rPr>
        <w:t>：请根据《SRM非生产供应商注册手册》（附件</w:t>
      </w:r>
      <w:r>
        <w:rPr>
          <w:rFonts w:hint="eastAsia" w:ascii="宋体" w:hAnsi="宋体" w:eastAsia="宋体" w:cs="宋体"/>
          <w:sz w:val="24"/>
          <w:szCs w:val="24"/>
          <w:lang w:val="en-US" w:eastAsia="zh-CN"/>
        </w:rPr>
        <w:t>一</w:t>
      </w:r>
      <w:r>
        <w:rPr>
          <w:rFonts w:ascii="宋体" w:hAnsi="宋体" w:eastAsia="宋体" w:cs="宋体"/>
          <w:sz w:val="24"/>
          <w:szCs w:val="24"/>
        </w:rPr>
        <w:t>）完成平台账号注册。</w:t>
      </w:r>
      <w:r>
        <w:rPr>
          <w:rFonts w:ascii="宋体" w:hAnsi="宋体" w:eastAsia="宋体" w:cs="宋体"/>
          <w:sz w:val="24"/>
          <w:szCs w:val="24"/>
        </w:rPr>
        <w:br w:type="textWrapping"/>
      </w:r>
      <w:r>
        <w:rPr>
          <w:rFonts w:ascii="宋体" w:hAnsi="宋体" w:eastAsia="宋体" w:cs="宋体"/>
          <w:b/>
          <w:bCs/>
          <w:sz w:val="24"/>
          <w:szCs w:val="24"/>
        </w:rPr>
        <w:t>已注册供应商</w:t>
      </w:r>
      <w:r>
        <w:rPr>
          <w:rFonts w:ascii="宋体" w:hAnsi="宋体" w:eastAsia="宋体" w:cs="宋体"/>
          <w:sz w:val="24"/>
          <w:szCs w:val="24"/>
        </w:rPr>
        <w:t>：</w:t>
      </w:r>
      <w:r>
        <w:rPr>
          <w:rFonts w:hint="eastAsia" w:ascii="宋体" w:hAnsi="宋体" w:eastAsia="宋体" w:cs="宋体"/>
          <w:sz w:val="24"/>
          <w:szCs w:val="24"/>
          <w:highlight w:val="yellow"/>
          <w:lang w:val="en-US" w:eastAsia="zh-CN"/>
        </w:rPr>
        <w:t>已注册的投标人注意去重汽e采通平台检查更新近三年的经营概况，财务信息更新到近三年，</w:t>
      </w:r>
      <w:r>
        <w:rPr>
          <w:rFonts w:ascii="宋体" w:hAnsi="宋体" w:eastAsia="宋体" w:cs="宋体"/>
          <w:sz w:val="24"/>
          <w:szCs w:val="24"/>
          <w:highlight w:val="yellow"/>
        </w:rPr>
        <w:t>确保信息真实、完整</w:t>
      </w:r>
      <w:r>
        <w:rPr>
          <w:rFonts w:hint="eastAsia" w:ascii="宋体" w:hAnsi="宋体" w:eastAsia="宋体" w:cs="宋体"/>
          <w:sz w:val="24"/>
          <w:szCs w:val="24"/>
          <w:highlight w:val="yellow"/>
          <w:lang w:val="en-US" w:eastAsia="zh-CN"/>
        </w:rPr>
        <w:t>且不许有空余，若因此造成应标不成功，后果由投标人自行承担。（更新路径：重汽e采通-供应商中心-供应商变更-供应商财务数据变更管理-右上角：发起变更；详见SRM系统供应商用户近三年财务数据更新附件3）</w:t>
      </w:r>
    </w:p>
    <w:p w14:paraId="05FEE92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四、采购文件领取 </w:t>
      </w:r>
      <w:r>
        <w:rPr>
          <w:rFonts w:hint="eastAsia" w:asciiTheme="majorEastAsia" w:hAnsiTheme="majorEastAsia" w:eastAsiaTheme="majorEastAsia" w:cstheme="majorEastAsia"/>
          <w:sz w:val="24"/>
          <w:szCs w:val="24"/>
        </w:rPr>
        <w:t xml:space="preserve"> </w:t>
      </w:r>
    </w:p>
    <w:p w14:paraId="52EB194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r>
        <w:rPr>
          <w:rFonts w:hint="eastAsia" w:asciiTheme="majorEastAsia" w:hAnsiTheme="majorEastAsia" w:eastAsiaTheme="majorEastAsia" w:cstheme="majorEastAsia"/>
          <w:sz w:val="24"/>
          <w:szCs w:val="24"/>
        </w:rPr>
        <w:t xml:space="preserve"> </w:t>
      </w:r>
    </w:p>
    <w:p w14:paraId="1F6DACB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采购文件领取截止时间：</w:t>
      </w:r>
      <w:r>
        <w:rPr>
          <w:rFonts w:hint="eastAsia" w:asciiTheme="majorEastAsia" w:hAnsiTheme="majorEastAsia" w:eastAsiaTheme="majorEastAsia" w:cstheme="majorEastAsia"/>
          <w:sz w:val="24"/>
          <w:szCs w:val="24"/>
        </w:rPr>
        <w:t>202</w:t>
      </w:r>
      <w:r>
        <w:rPr>
          <w:rFonts w:hint="eastAsia" w:asciiTheme="majorEastAsia" w:hAnsiTheme="majorEastAsia" w:eastAsiaTheme="majorEastAsia" w:cstheme="majorEastAsia"/>
          <w:sz w:val="24"/>
          <w:szCs w:val="24"/>
          <w:lang w:val="en-US" w:eastAsia="zh-CN"/>
        </w:rPr>
        <w:t>6</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14</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23</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59</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59</w:t>
      </w:r>
      <w:r>
        <w:rPr>
          <w:rFonts w:hint="eastAsia" w:asciiTheme="majorEastAsia" w:hAnsiTheme="majorEastAsia" w:eastAsiaTheme="majorEastAsia" w:cstheme="majorEastAsia"/>
          <w:sz w:val="24"/>
          <w:szCs w:val="24"/>
        </w:rPr>
        <w:t xml:space="preserve"> </w:t>
      </w:r>
    </w:p>
    <w:p w14:paraId="4759D9F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采购文件领取地点：</w:t>
      </w:r>
      <w:r>
        <w:rPr>
          <w:rFonts w:hint="eastAsia" w:asciiTheme="majorEastAsia" w:hAnsiTheme="majorEastAsia" w:eastAsiaTheme="majorEastAsia" w:cstheme="majorEastAsia"/>
          <w:sz w:val="24"/>
          <w:szCs w:val="24"/>
          <w:lang w:val="en-US" w:eastAsia="zh-CN"/>
        </w:rPr>
        <w:t>重汽e采通</w:t>
      </w:r>
      <w:r>
        <w:rPr>
          <w:rFonts w:hint="eastAsia" w:asciiTheme="majorEastAsia" w:hAnsiTheme="majorEastAsia" w:eastAsiaTheme="majorEastAsia" w:cstheme="majorEastAsia"/>
          <w:sz w:val="24"/>
          <w:szCs w:val="24"/>
        </w:rPr>
        <w:t xml:space="preserve"> </w:t>
      </w:r>
    </w:p>
    <w:p w14:paraId="3A64C75D">
      <w:pPr>
        <w:jc w:val="left"/>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五、响应文件提交 </w:t>
      </w:r>
    </w:p>
    <w:p w14:paraId="77BB3C9A">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p>
    <w:p w14:paraId="7FA536CF">
      <w:pPr>
        <w:ind w:firstLine="482"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sz w:val="24"/>
          <w:szCs w:val="24"/>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19</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23</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59</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59</w:t>
      </w:r>
      <w:r>
        <w:rPr>
          <w:rFonts w:hint="eastAsia" w:asciiTheme="majorEastAsia" w:hAnsiTheme="majorEastAsia" w:eastAsiaTheme="majorEastAsia" w:cstheme="majorEastAsia"/>
          <w:sz w:val="24"/>
          <w:szCs w:val="24"/>
        </w:rPr>
        <w:t xml:space="preserve">  </w:t>
      </w:r>
    </w:p>
    <w:p w14:paraId="756D49F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hint="eastAsia" w:asciiTheme="majorEastAsia" w:hAnsiTheme="majorEastAsia" w:eastAsiaTheme="majorEastAsia" w:cstheme="majorEastAsia"/>
          <w:sz w:val="24"/>
          <w:szCs w:val="24"/>
          <w:lang w:val="en-US" w:eastAsia="zh-CN"/>
        </w:rPr>
        <w:t>重汽e采通</w:t>
      </w:r>
      <w:r>
        <w:rPr>
          <w:rFonts w:hint="eastAsia" w:asciiTheme="majorEastAsia" w:hAnsiTheme="majorEastAsia" w:eastAsiaTheme="majorEastAsia" w:cstheme="majorEastAsia"/>
          <w:sz w:val="24"/>
          <w:szCs w:val="24"/>
        </w:rPr>
        <w:t xml:space="preserve"> </w:t>
      </w:r>
    </w:p>
    <w:p w14:paraId="18836169">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六、开标时间和地点 </w:t>
      </w:r>
    </w:p>
    <w:p w14:paraId="47B3B62D">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20</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 xml:space="preserve">:00:00 </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暂定，以实际通知为准</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 xml:space="preserve"> </w:t>
      </w:r>
    </w:p>
    <w:p w14:paraId="4EB316E7">
      <w:pPr>
        <w:ind w:firstLine="481"/>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w:t>
      </w:r>
      <w:r>
        <w:rPr>
          <w:rFonts w:hint="eastAsia" w:asciiTheme="majorEastAsia" w:hAnsiTheme="majorEastAsia" w:eastAsiaTheme="majorEastAsia" w:cstheme="majorEastAsia"/>
          <w:b/>
          <w:bCs/>
          <w:sz w:val="24"/>
          <w:szCs w:val="24"/>
          <w:lang w:val="en-US" w:eastAsia="zh-CN"/>
        </w:rPr>
        <w:t>线上开标</w:t>
      </w:r>
    </w:p>
    <w:p w14:paraId="1FAC7C52">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七、发布公告的媒介  </w:t>
      </w:r>
    </w:p>
    <w:p w14:paraId="0F0EE9FD">
      <w:pPr>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w:t>
      </w:r>
    </w:p>
    <w:p w14:paraId="7FBD0B0E">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八、联系方式 </w:t>
      </w:r>
    </w:p>
    <w:p w14:paraId="533DA6B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CCCDBA5">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w:t>
      </w:r>
      <w:r>
        <w:rPr>
          <w:rFonts w:hint="eastAsia" w:asciiTheme="majorEastAsia" w:hAnsiTheme="majorEastAsia" w:eastAsiaTheme="majorEastAsia" w:cstheme="majorEastAsia"/>
          <w:sz w:val="24"/>
          <w:szCs w:val="24"/>
          <w:lang w:val="en-US" w:eastAsia="zh-CN"/>
        </w:rPr>
        <w:t>中国重汽集团济南动力有限公司</w:t>
      </w:r>
      <w:r>
        <w:rPr>
          <w:rFonts w:hint="eastAsia" w:asciiTheme="majorEastAsia" w:hAnsiTheme="majorEastAsia" w:eastAsiaTheme="majorEastAsia" w:cstheme="majorEastAsia"/>
          <w:sz w:val="24"/>
          <w:szCs w:val="24"/>
        </w:rPr>
        <w:t xml:space="preserve"> </w:t>
      </w:r>
    </w:p>
    <w:p w14:paraId="25BF107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地址：山东省济南市历城区华奥路777号中国重型汽车集团有限公司 </w:t>
      </w:r>
    </w:p>
    <w:p w14:paraId="0B4B17B3">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联系人：</w:t>
      </w:r>
      <w:r>
        <w:rPr>
          <w:rFonts w:hint="eastAsia" w:asciiTheme="majorEastAsia" w:hAnsiTheme="majorEastAsia" w:eastAsiaTheme="majorEastAsia" w:cstheme="majorEastAsia"/>
          <w:sz w:val="24"/>
          <w:szCs w:val="24"/>
          <w:lang w:val="en-US" w:eastAsia="zh-CN"/>
        </w:rPr>
        <w:t>欧阳啟瑞</w:t>
      </w:r>
    </w:p>
    <w:p w14:paraId="5BB75B62">
      <w:pPr>
        <w:ind w:firstLine="48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19588970920</w:t>
      </w:r>
    </w:p>
    <w:p w14:paraId="3B00F455">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九、其他说明  </w:t>
      </w:r>
    </w:p>
    <w:p w14:paraId="317ABA5C">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供应商需在重汽官网搜索本项目招标公告，根据要求准备报名资料。</w:t>
      </w:r>
    </w:p>
    <w:p w14:paraId="12B5F7B5">
      <w:pPr>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注：</w:t>
      </w:r>
      <w:r>
        <w:rPr>
          <w:rFonts w:hint="eastAsia" w:eastAsia="宋体" w:cs="宋体"/>
          <w:sz w:val="24"/>
          <w:szCs w:val="24"/>
          <w:highlight w:val="none"/>
        </w:rPr>
        <w:t>拟投标人根据招标人在中国重汽官网</w:t>
      </w:r>
      <w:r>
        <w:rPr>
          <w:rFonts w:hint="eastAsia" w:eastAsia="宋体" w:cs="宋体"/>
          <w:sz w:val="24"/>
          <w:szCs w:val="24"/>
          <w:highlight w:val="none"/>
          <w:lang w:val="en-US" w:eastAsia="zh-CN"/>
        </w:rPr>
        <w:t>公开媒体</w:t>
      </w:r>
      <w:r>
        <w:rPr>
          <w:rFonts w:hint="eastAsia" w:eastAsia="宋体" w:cs="宋体"/>
          <w:sz w:val="24"/>
          <w:szCs w:val="24"/>
          <w:highlight w:val="none"/>
        </w:rPr>
        <w:t>上发布的招标信息，</w:t>
      </w:r>
      <w:r>
        <w:rPr>
          <w:rFonts w:hint="eastAsia" w:ascii="宋体" w:hAnsi="Courier New" w:eastAsia="宋体" w:cs="Times New Roman"/>
          <w:color w:val="000000"/>
          <w:sz w:val="24"/>
          <w:szCs w:val="24"/>
          <w:highlight w:val="none"/>
          <w:lang w:val="en-US" w:eastAsia="zh-CN"/>
        </w:rPr>
        <w:t>在“中国重汽e采通”平台</w:t>
      </w:r>
      <w:r>
        <w:rPr>
          <w:rFonts w:hint="eastAsia" w:ascii="宋体" w:hAnsi="Courier New" w:eastAsia="宋体" w:cs="Times New Roman"/>
          <w:color w:val="000000"/>
          <w:sz w:val="24"/>
          <w:szCs w:val="24"/>
          <w:highlight w:val="none"/>
        </w:rPr>
        <w:t>报名</w:t>
      </w:r>
      <w:r>
        <w:rPr>
          <w:rFonts w:hint="eastAsia" w:cs="Times New Roman"/>
          <w:color w:val="000000"/>
          <w:sz w:val="24"/>
          <w:szCs w:val="24"/>
          <w:highlight w:val="none"/>
          <w:lang w:eastAsia="zh-CN"/>
        </w:rPr>
        <w:t>，</w:t>
      </w:r>
      <w:r>
        <w:rPr>
          <w:rFonts w:hint="eastAsia" w:cs="Times New Roman"/>
          <w:color w:val="000000"/>
          <w:sz w:val="24"/>
          <w:szCs w:val="24"/>
          <w:highlight w:val="none"/>
          <w:lang w:val="en-US" w:eastAsia="zh-CN"/>
        </w:rPr>
        <w:t>具体流程如下：</w:t>
      </w:r>
      <w:r>
        <w:rPr>
          <w:rFonts w:ascii="宋体" w:hAnsi="宋体" w:eastAsia="宋体" w:cs="宋体"/>
          <w:sz w:val="24"/>
          <w:szCs w:val="24"/>
        </w:rPr>
        <w:br w:type="textWrapping"/>
      </w:r>
      <w:r>
        <w:rPr>
          <w:rFonts w:ascii="宋体" w:hAnsi="宋体" w:eastAsia="宋体" w:cs="宋体"/>
          <w:b/>
          <w:bCs/>
          <w:sz w:val="24"/>
          <w:szCs w:val="24"/>
        </w:rPr>
        <w:t>①系统注册与信息维护</w:t>
      </w:r>
      <w:r>
        <w:rPr>
          <w:rFonts w:ascii="宋体" w:hAnsi="宋体" w:eastAsia="宋体" w:cs="宋体"/>
          <w:sz w:val="24"/>
          <w:szCs w:val="24"/>
        </w:rPr>
        <w:br w:type="textWrapping"/>
      </w:r>
      <w:r>
        <w:rPr>
          <w:rFonts w:ascii="宋体" w:hAnsi="宋体" w:eastAsia="宋体" w:cs="宋体"/>
          <w:sz w:val="24"/>
          <w:szCs w:val="24"/>
        </w:rPr>
        <w:t></w:t>
      </w:r>
      <w:r>
        <w:rPr>
          <w:rFonts w:ascii="宋体" w:hAnsi="宋体" w:eastAsia="宋体" w:cs="宋体"/>
          <w:b/>
          <w:bCs/>
          <w:sz w:val="24"/>
          <w:szCs w:val="24"/>
        </w:rPr>
        <w:t>首次注册供应商</w:t>
      </w:r>
      <w:r>
        <w:rPr>
          <w:rFonts w:ascii="宋体" w:hAnsi="宋体" w:eastAsia="宋体" w:cs="宋体"/>
          <w:sz w:val="24"/>
          <w:szCs w:val="24"/>
        </w:rPr>
        <w:t>：请根据《SRM非生产供应商注册手册》（附件</w:t>
      </w:r>
      <w:r>
        <w:rPr>
          <w:rFonts w:hint="eastAsia" w:ascii="宋体" w:hAnsi="宋体" w:eastAsia="宋体" w:cs="宋体"/>
          <w:sz w:val="24"/>
          <w:szCs w:val="24"/>
          <w:lang w:val="en-US" w:eastAsia="zh-CN"/>
        </w:rPr>
        <w:t>一</w:t>
      </w:r>
      <w:r>
        <w:rPr>
          <w:rFonts w:ascii="宋体" w:hAnsi="宋体" w:eastAsia="宋体" w:cs="宋体"/>
          <w:sz w:val="24"/>
          <w:szCs w:val="24"/>
        </w:rPr>
        <w:t>）完成平台账号注册。</w:t>
      </w:r>
      <w:r>
        <w:rPr>
          <w:rFonts w:ascii="宋体" w:hAnsi="宋体" w:eastAsia="宋体" w:cs="宋体"/>
          <w:sz w:val="24"/>
          <w:szCs w:val="24"/>
        </w:rPr>
        <w:br w:type="textWrapping"/>
      </w:r>
      <w:r>
        <w:rPr>
          <w:rFonts w:ascii="宋体" w:hAnsi="宋体" w:eastAsia="宋体" w:cs="宋体"/>
          <w:sz w:val="24"/>
          <w:szCs w:val="24"/>
        </w:rPr>
        <w:t></w:t>
      </w:r>
      <w:r>
        <w:rPr>
          <w:rFonts w:ascii="宋体" w:hAnsi="宋体" w:eastAsia="宋体" w:cs="宋体"/>
          <w:b/>
          <w:bCs/>
          <w:sz w:val="24"/>
          <w:szCs w:val="24"/>
        </w:rPr>
        <w:t>已注册供应商</w:t>
      </w:r>
      <w:r>
        <w:rPr>
          <w:rFonts w:ascii="宋体" w:hAnsi="宋体" w:eastAsia="宋体" w:cs="宋体"/>
          <w:sz w:val="24"/>
          <w:szCs w:val="24"/>
        </w:rPr>
        <w:t>：</w:t>
      </w:r>
      <w:r>
        <w:rPr>
          <w:rFonts w:hint="eastAsia" w:ascii="宋体" w:hAnsi="宋体" w:eastAsia="宋体" w:cs="宋体"/>
          <w:sz w:val="24"/>
          <w:szCs w:val="24"/>
          <w:highlight w:val="yellow"/>
          <w:lang w:val="en-US" w:eastAsia="zh-CN"/>
        </w:rPr>
        <w:t>已注册的投标人注意去重汽e采通平台检查更新近三年的经营概况，财务信息更新到近三年，</w:t>
      </w:r>
      <w:r>
        <w:rPr>
          <w:rFonts w:ascii="宋体" w:hAnsi="宋体" w:eastAsia="宋体" w:cs="宋体"/>
          <w:sz w:val="24"/>
          <w:szCs w:val="24"/>
          <w:highlight w:val="yellow"/>
        </w:rPr>
        <w:t>确保信息真实、完整</w:t>
      </w:r>
      <w:r>
        <w:rPr>
          <w:rFonts w:hint="eastAsia" w:ascii="宋体" w:hAnsi="宋体" w:eastAsia="宋体" w:cs="宋体"/>
          <w:sz w:val="24"/>
          <w:szCs w:val="24"/>
          <w:highlight w:val="yellow"/>
          <w:lang w:val="en-US" w:eastAsia="zh-CN"/>
        </w:rPr>
        <w:t>且不许有空余，若因此造成应标不成功，后果由投标人自行承担。（更新路径：重汽e采通-供应商中心-供应商变更-供应商财务数据变更管理-右上角：发起变更；详见SRM系统供应商用户近三年财务数据更新附件3）</w:t>
      </w:r>
    </w:p>
    <w:p w14:paraId="07650A6C">
      <w:pPr>
        <w:ind w:left="479" w:leftChars="228" w:firstLine="0" w:firstLineChars="0"/>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②开标过程概述：</w:t>
      </w:r>
    </w:p>
    <w:p w14:paraId="7711A2F2">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唱标流程：技术标唱标→技术标澄清→技术标评分→商务标唱标→价格澄清→商务标评审；</w:t>
      </w:r>
    </w:p>
    <w:p w14:paraId="7AAF900C">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开标过程A级项目进行三轮开标会，B级项目进行两轮开标会</w:t>
      </w:r>
      <w:r>
        <w:rPr>
          <w:rFonts w:hint="eastAsia" w:hAnsi="宋体" w:eastAsia="宋体" w:cs="宋体"/>
          <w:kern w:val="2"/>
          <w:sz w:val="24"/>
          <w:szCs w:val="24"/>
          <w:lang w:val="en-US" w:eastAsia="zh-CN" w:bidi="ar-SA"/>
        </w:rPr>
        <w:t>，每轮均可能淘汰投标方</w:t>
      </w:r>
      <w:r>
        <w:rPr>
          <w:rFonts w:hint="eastAsia" w:ascii="宋体" w:hAnsi="宋体" w:eastAsia="宋体" w:cs="宋体"/>
          <w:kern w:val="2"/>
          <w:sz w:val="24"/>
          <w:szCs w:val="24"/>
          <w:lang w:val="en-US" w:eastAsia="zh-CN" w:bidi="ar-SA"/>
        </w:rPr>
        <w:t>。</w:t>
      </w:r>
    </w:p>
    <w:p w14:paraId="737B5701">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第一轮包括技术标答辩和商务标报价环节</w:t>
      </w:r>
      <w:r>
        <w:rPr>
          <w:rFonts w:hint="eastAsia" w:hAnsi="宋体" w:eastAsia="宋体" w:cs="宋体"/>
          <w:kern w:val="2"/>
          <w:sz w:val="24"/>
          <w:szCs w:val="24"/>
          <w:lang w:val="en-US" w:eastAsia="zh-CN" w:bidi="ar-SA"/>
        </w:rPr>
        <w:t>（报价次数没有具体限制，由专家组依据报价情况现场决定）</w:t>
      </w:r>
      <w:r>
        <w:rPr>
          <w:rFonts w:hint="eastAsia" w:ascii="宋体" w:hAnsi="宋体" w:eastAsia="宋体" w:cs="宋体"/>
          <w:kern w:val="2"/>
          <w:sz w:val="24"/>
          <w:szCs w:val="24"/>
          <w:lang w:val="en-US" w:eastAsia="zh-CN" w:bidi="ar-SA"/>
        </w:rPr>
        <w:t>。</w:t>
      </w:r>
    </w:p>
    <w:p w14:paraId="67EDCC87">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第二轮由专家组审查第一轮的技术和商务情况，并决定是否继续进行商务报价</w:t>
      </w:r>
      <w:r>
        <w:rPr>
          <w:rFonts w:hint="eastAsia" w:hAnsi="宋体" w:eastAsia="宋体" w:cs="宋体"/>
          <w:kern w:val="2"/>
          <w:sz w:val="24"/>
          <w:szCs w:val="24"/>
          <w:lang w:val="en-US" w:eastAsia="zh-CN" w:bidi="ar-SA"/>
        </w:rPr>
        <w:t>（报价次数没有具体限制，由专家组依据报价情况现场决定）</w:t>
      </w:r>
      <w:r>
        <w:rPr>
          <w:rFonts w:hint="eastAsia" w:ascii="宋体" w:hAnsi="宋体" w:eastAsia="宋体" w:cs="宋体"/>
          <w:kern w:val="2"/>
          <w:sz w:val="24"/>
          <w:szCs w:val="24"/>
          <w:lang w:val="en-US" w:eastAsia="zh-CN" w:bidi="ar-SA"/>
        </w:rPr>
        <w:t>。</w:t>
      </w:r>
    </w:p>
    <w:p w14:paraId="163DB8D7">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A级项目第三轮由专家组审查前两轮的技术和商务报价情况。</w:t>
      </w:r>
    </w:p>
    <w:p w14:paraId="41AA7F72">
      <w:pPr>
        <w:rPr>
          <w:rFonts w:hint="eastAsia" w:asciiTheme="majorEastAsia" w:hAnsiTheme="majorEastAsia" w:eastAsiaTheme="majorEastAsia" w:cstheme="majorEastAsia"/>
          <w:sz w:val="22"/>
          <w:szCs w:val="22"/>
          <w:highlight w:val="yellow"/>
          <w:lang w:val="en-US" w:eastAsia="zh-CN"/>
        </w:rPr>
      </w:pPr>
      <w:r>
        <w:rPr>
          <w:rFonts w:hint="eastAsia" w:asciiTheme="majorEastAsia" w:hAnsiTheme="majorEastAsia" w:eastAsiaTheme="majorEastAsia" w:cstheme="majorEastAsia"/>
          <w:sz w:val="22"/>
          <w:szCs w:val="22"/>
          <w:highlight w:val="yellow"/>
          <w:lang w:val="en-US" w:eastAsia="zh-CN"/>
        </w:rPr>
        <w:t>以上招标过程概述为项目联系人对中国重汽招标流程概述，投标人若投标即认可该招标流程。</w:t>
      </w:r>
    </w:p>
    <w:p w14:paraId="7C6170A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评审期间产生的技术</w:t>
      </w:r>
      <w:r>
        <w:rPr>
          <w:rFonts w:hint="eastAsia" w:ascii="宋体" w:hAnsi="宋体" w:eastAsia="宋体" w:cs="宋体"/>
          <w:color w:val="auto"/>
          <w:sz w:val="24"/>
          <w:szCs w:val="24"/>
          <w:highlight w:val="none"/>
          <w:lang w:val="en-US" w:eastAsia="zh-CN"/>
        </w:rPr>
        <w:t>和商务价格</w:t>
      </w:r>
      <w:r>
        <w:rPr>
          <w:rFonts w:hint="eastAsia" w:ascii="宋体" w:hAnsi="宋体" w:eastAsia="宋体" w:cs="宋体"/>
          <w:color w:val="auto"/>
          <w:sz w:val="24"/>
          <w:szCs w:val="24"/>
          <w:highlight w:val="none"/>
        </w:rPr>
        <w:t xml:space="preserve">澄清均由投标人在重汽e采通平台内完成提交；投标人均需自带笔记本电脑在重汽e采通平台自主进行投标和提交澄清函；投标和提交澄清函均有时间限制，超时未提交的按无效处理。  </w:t>
      </w:r>
    </w:p>
    <w:p w14:paraId="70331FFE">
      <w:pPr>
        <w:rPr>
          <w:rFonts w:hint="eastAsia" w:ascii="宋体" w:hAnsi="宋体" w:eastAsia="宋体" w:cs="宋体"/>
          <w:color w:val="auto"/>
          <w:sz w:val="24"/>
          <w:szCs w:val="24"/>
          <w:highlight w:val="none"/>
        </w:rPr>
      </w:pPr>
    </w:p>
    <w:p w14:paraId="41E4ABAF">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w:t>
      </w:r>
    </w:p>
    <w:p w14:paraId="52D4E852">
      <w:pPr>
        <w:rPr>
          <w:rFonts w:hint="default" w:asciiTheme="majorEastAsia" w:hAnsiTheme="majorEastAsia" w:eastAsiaTheme="majorEastAsia" w:cstheme="majorEastAsia"/>
          <w:sz w:val="22"/>
          <w:szCs w:val="22"/>
          <w:highlight w:val="yellow"/>
          <w:lang w:val="en-US" w:eastAsia="zh-CN"/>
        </w:rPr>
      </w:pPr>
    </w:p>
    <w:p w14:paraId="1EBA84D7">
      <w:pPr>
        <w:pStyle w:val="2"/>
        <w:outlineLvl w:val="2"/>
        <w:rPr>
          <w:rFonts w:hint="eastAsia" w:hAnsi="宋体" w:eastAsia="宋体" w:cs="宋体"/>
          <w:b/>
          <w:bCs/>
          <w:color w:val="000000"/>
          <w:sz w:val="24"/>
          <w:szCs w:val="24"/>
        </w:rPr>
      </w:pPr>
      <w:r>
        <w:rPr>
          <w:rFonts w:hint="eastAsia" w:hAnsi="宋体" w:eastAsia="宋体" w:cs="宋体"/>
          <w:b/>
          <w:bCs/>
          <w:color w:val="000000"/>
          <w:sz w:val="24"/>
          <w:szCs w:val="24"/>
          <w:lang w:val="en-US" w:eastAsia="zh-CN"/>
        </w:rPr>
        <w:t>附件1：</w:t>
      </w:r>
      <w:r>
        <w:rPr>
          <w:rFonts w:hint="eastAsia" w:hAnsi="宋体" w:eastAsia="宋体" w:cs="宋体"/>
          <w:b/>
          <w:bCs/>
          <w:color w:val="000000"/>
          <w:sz w:val="24"/>
          <w:szCs w:val="24"/>
        </w:rPr>
        <w:t>SRM非生产供应商注册操作手册</w:t>
      </w:r>
    </w:p>
    <w:p w14:paraId="7ED3B1FD">
      <w:pPr>
        <w:pStyle w:val="2"/>
        <w:rPr>
          <w:rFonts w:eastAsia="宋体"/>
        </w:rPr>
      </w:pPr>
    </w:p>
    <w:p w14:paraId="3EE9D9E5">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43B51465">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7643BCE8">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12B13E29">
      <w:pPr>
        <w:snapToGrid w:val="0"/>
        <w:spacing w:line="312" w:lineRule="auto"/>
        <w:rPr>
          <w:rFonts w:hint="eastAsia"/>
        </w:rPr>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
                    <a:stretch>
                      <a:fillRect/>
                    </a:stretch>
                  </pic:blipFill>
                  <pic:spPr>
                    <a:xfrm>
                      <a:off x="0" y="0"/>
                      <a:ext cx="5760085" cy="2933377"/>
                    </a:xfrm>
                    <a:prstGeom prst="rect">
                      <a:avLst/>
                    </a:prstGeom>
                  </pic:spPr>
                </pic:pic>
              </a:graphicData>
            </a:graphic>
          </wp:inline>
        </w:drawing>
      </w:r>
    </w:p>
    <w:p w14:paraId="6EBB5DA4">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7E0A0978">
      <w:pPr>
        <w:snapToGrid w:val="0"/>
        <w:spacing w:line="312" w:lineRule="auto"/>
        <w:rPr>
          <w:rFonts w:hint="eastAsia"/>
        </w:rPr>
      </w:pPr>
      <w:r>
        <w:drawing>
          <wp:inline distT="0" distB="0" distL="0" distR="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5"/>
                    <a:stretch>
                      <a:fillRect/>
                    </a:stretch>
                  </pic:blipFill>
                  <pic:spPr>
                    <a:xfrm>
                      <a:off x="0" y="0"/>
                      <a:ext cx="5760085" cy="2766707"/>
                    </a:xfrm>
                    <a:prstGeom prst="rect">
                      <a:avLst/>
                    </a:prstGeom>
                  </pic:spPr>
                </pic:pic>
              </a:graphicData>
            </a:graphic>
          </wp:inline>
        </w:drawing>
      </w:r>
    </w:p>
    <w:p w14:paraId="6BB10C6E">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E5F5181">
      <w:pPr>
        <w:snapToGrid w:val="0"/>
        <w:spacing w:line="312" w:lineRule="auto"/>
        <w:rPr>
          <w:rFonts w:hint="eastAsia"/>
        </w:rPr>
      </w:pPr>
      <w:r>
        <w:drawing>
          <wp:inline distT="0" distB="0" distL="0" distR="0">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6"/>
                    <a:stretch>
                      <a:fillRect/>
                    </a:stretch>
                  </pic:blipFill>
                  <pic:spPr>
                    <a:xfrm>
                      <a:off x="0" y="0"/>
                      <a:ext cx="5760085" cy="2870054"/>
                    </a:xfrm>
                    <a:prstGeom prst="rect">
                      <a:avLst/>
                    </a:prstGeom>
                  </pic:spPr>
                </pic:pic>
              </a:graphicData>
            </a:graphic>
          </wp:inline>
        </w:drawing>
      </w:r>
    </w:p>
    <w:p w14:paraId="09CE7AC5">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A9BADEA">
      <w:pPr>
        <w:snapToGrid w:val="0"/>
        <w:spacing w:line="312" w:lineRule="auto"/>
        <w:rPr>
          <w:rFonts w:hint="eastAsia"/>
        </w:rPr>
      </w:pPr>
      <w:r>
        <w:drawing>
          <wp:inline distT="0" distB="0" distL="0" distR="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7"/>
                    <a:stretch>
                      <a:fillRect/>
                    </a:stretch>
                  </pic:blipFill>
                  <pic:spPr>
                    <a:xfrm>
                      <a:off x="0" y="0"/>
                      <a:ext cx="5760085" cy="2853375"/>
                    </a:xfrm>
                    <a:prstGeom prst="rect">
                      <a:avLst/>
                    </a:prstGeom>
                  </pic:spPr>
                </pic:pic>
              </a:graphicData>
            </a:graphic>
          </wp:inline>
        </w:drawing>
      </w:r>
    </w:p>
    <w:p w14:paraId="40227B41">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3268A431">
      <w:pPr>
        <w:pStyle w:val="2"/>
      </w:pPr>
    </w:p>
    <w:p w14:paraId="20547785">
      <w:pPr>
        <w:rPr>
          <w:rFonts w:hint="eastAsia"/>
        </w:rPr>
      </w:pPr>
      <w:r>
        <w:drawing>
          <wp:inline distT="0" distB="0" distL="0" distR="0">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8"/>
                    <a:stretch>
                      <a:fillRect/>
                    </a:stretch>
                  </pic:blipFill>
                  <pic:spPr>
                    <a:xfrm>
                      <a:off x="0" y="0"/>
                      <a:ext cx="5760085" cy="2810122"/>
                    </a:xfrm>
                    <a:prstGeom prst="rect">
                      <a:avLst/>
                    </a:prstGeom>
                  </pic:spPr>
                </pic:pic>
              </a:graphicData>
            </a:graphic>
          </wp:inline>
        </w:drawing>
      </w:r>
    </w:p>
    <w:p w14:paraId="2564D118">
      <w:pPr>
        <w:pStyle w:val="2"/>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9"/>
                    <a:stretch>
                      <a:fillRect/>
                    </a:stretch>
                  </pic:blipFill>
                  <pic:spPr>
                    <a:xfrm>
                      <a:off x="0" y="0"/>
                      <a:ext cx="5760085" cy="2820042"/>
                    </a:xfrm>
                    <a:prstGeom prst="rect">
                      <a:avLst/>
                    </a:prstGeom>
                  </pic:spPr>
                </pic:pic>
              </a:graphicData>
            </a:graphic>
          </wp:inline>
        </w:drawing>
      </w:r>
    </w:p>
    <w:p w14:paraId="1E18A332">
      <w:pPr>
        <w:pStyle w:val="2"/>
      </w:pPr>
    </w:p>
    <w:p w14:paraId="1339601F">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4BE53A73">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649D3CC7">
      <w:pPr>
        <w:pStyle w:val="2"/>
      </w:pPr>
      <w:r>
        <w:rPr>
          <w:rFonts w:hint="eastAsia" w:hAnsi="宋体" w:eastAsia="宋体" w:cs="宋体"/>
          <w:b/>
          <w:bCs/>
          <w:color w:val="000000"/>
          <w:sz w:val="24"/>
          <w:szCs w:val="28"/>
          <w:highlight w:val="yellow"/>
        </w:rPr>
        <w:t>2.配套能力“供货类别”填“”，业务主管部门选择“”。</w:t>
      </w:r>
    </w:p>
    <w:p w14:paraId="39BF1441">
      <w:pPr>
        <w:pStyle w:val="2"/>
        <w:sectPr>
          <w:pgSz w:w="11906" w:h="16838"/>
          <w:pgMar w:top="1588" w:right="1418" w:bottom="1134" w:left="1418" w:header="851" w:footer="992" w:gutter="0"/>
          <w:cols w:space="720" w:num="1"/>
          <w:titlePg/>
          <w:docGrid w:type="lines" w:linePitch="312" w:charSpace="0"/>
        </w:sectPr>
      </w:pPr>
    </w:p>
    <w:p w14:paraId="345FF8CE">
      <w:pPr>
        <w:pStyle w:val="2"/>
        <w:outlineLvl w:val="2"/>
        <w:rPr>
          <w:rFonts w:hint="eastAsia" w:hAnsi="宋体" w:eastAsia="宋体" w:cs="Times New Roman"/>
          <w:b/>
          <w:color w:val="000000"/>
          <w:sz w:val="24"/>
          <w:szCs w:val="24"/>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2</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SRM系统供应商用户手册</w:t>
      </w:r>
    </w:p>
    <w:p w14:paraId="44591C9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20"/>
          <w:rFonts w:hint="eastAsia" w:ascii="宋体" w:hAnsi="宋体" w:eastAsia="宋体" w:cs="宋体"/>
          <w:sz w:val="24"/>
          <w:szCs w:val="24"/>
        </w:rPr>
        <w:t>https://ecaitong.sinotruk.com:8012/</w:t>
      </w:r>
      <w:r>
        <w:rPr>
          <w:rStyle w:val="20"/>
          <w:rFonts w:hint="eastAsia" w:ascii="宋体" w:hAnsi="宋体" w:eastAsia="宋体" w:cs="宋体"/>
          <w:sz w:val="24"/>
          <w:szCs w:val="24"/>
        </w:rPr>
        <w:fldChar w:fldCharType="end"/>
      </w:r>
    </w:p>
    <w:p w14:paraId="5499A196">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1871E9F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w:t>
      </w:r>
    </w:p>
    <w:p w14:paraId="5F23FBC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2AEACE63">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C74775F">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07A0C2C5">
      <w:pPr>
        <w:rPr>
          <w:rFonts w:hint="eastAsia"/>
        </w:rPr>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0"/>
                    <a:stretch>
                      <a:fillRect/>
                    </a:stretch>
                  </pic:blipFill>
                  <pic:spPr>
                    <a:xfrm>
                      <a:off x="0" y="0"/>
                      <a:ext cx="5760085" cy="2269864"/>
                    </a:xfrm>
                    <a:prstGeom prst="rect">
                      <a:avLst/>
                    </a:prstGeom>
                  </pic:spPr>
                </pic:pic>
              </a:graphicData>
            </a:graphic>
          </wp:inline>
        </w:drawing>
      </w:r>
    </w:p>
    <w:p w14:paraId="0675A7EB">
      <w:pPr>
        <w:rPr>
          <w:rFonts w:hint="eastAsia"/>
        </w:rPr>
      </w:pPr>
    </w:p>
    <w:p w14:paraId="38006DB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30CAF80C">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469F0585">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1"/>
                    <a:stretch>
                      <a:fillRect/>
                    </a:stretch>
                  </pic:blipFill>
                  <pic:spPr>
                    <a:xfrm>
                      <a:off x="0" y="0"/>
                      <a:ext cx="5760085" cy="2125673"/>
                    </a:xfrm>
                    <a:prstGeom prst="rect">
                      <a:avLst/>
                    </a:prstGeom>
                  </pic:spPr>
                </pic:pic>
              </a:graphicData>
            </a:graphic>
          </wp:inline>
        </w:drawing>
      </w:r>
    </w:p>
    <w:p w14:paraId="33C3CC47">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9EAECCE">
      <w:pPr>
        <w:pStyle w:val="2"/>
      </w:pPr>
      <w:r>
        <w:rPr>
          <w:rFonts w:hint="eastAsia" w:hAnsi="宋体" w:eastAsia="宋体" w:cs="宋体"/>
          <w:color w:val="000000"/>
          <w:sz w:val="24"/>
          <w:szCs w:val="28"/>
          <w:highlight w:val="yellow"/>
        </w:rPr>
        <w:t>注意：系统内的投标报价单位为“万元”，如开标现场发现填错报价，即直接淘汰。</w:t>
      </w:r>
    </w:p>
    <w:p w14:paraId="0B3A8A8A">
      <w:pPr>
        <w:pStyle w:val="2"/>
        <w:bidi w:val="0"/>
      </w:pPr>
      <w:bookmarkStart w:id="2" w:name="_GoBack"/>
      <w: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2"/>
                    <a:stretch>
                      <a:fillRect/>
                    </a:stretch>
                  </pic:blipFill>
                  <pic:spPr>
                    <a:xfrm>
                      <a:off x="0" y="0"/>
                      <a:ext cx="5490210" cy="2669498"/>
                    </a:xfrm>
                    <a:prstGeom prst="rect">
                      <a:avLst/>
                    </a:prstGeom>
                  </pic:spPr>
                </pic:pic>
              </a:graphicData>
            </a:graphic>
          </wp:inline>
        </w:drawing>
      </w:r>
    </w:p>
    <w:bookmarkEnd w:id="2"/>
    <w:p w14:paraId="5BED6A6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0342F586">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049B1061">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486A74D3">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3"/>
                    <a:stretch>
                      <a:fillRect/>
                    </a:stretch>
                  </pic:blipFill>
                  <pic:spPr>
                    <a:xfrm>
                      <a:off x="0" y="0"/>
                      <a:ext cx="5490210" cy="1992743"/>
                    </a:xfrm>
                    <a:prstGeom prst="rect">
                      <a:avLst/>
                    </a:prstGeom>
                  </pic:spPr>
                </pic:pic>
              </a:graphicData>
            </a:graphic>
          </wp:inline>
        </w:drawing>
      </w:r>
    </w:p>
    <w:p w14:paraId="7B92FAE1">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BEFE239">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2E99AAB9">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7457F59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1FB4CC8">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3D0BF3B6">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59A65D0E">
      <w:pPr>
        <w:pStyle w:val="2"/>
        <w:bidi w:val="0"/>
      </w:pPr>
      <w: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4"/>
                    <a:stretch>
                      <a:fillRect/>
                    </a:stretch>
                  </pic:blipFill>
                  <pic:spPr>
                    <a:xfrm>
                      <a:off x="0" y="0"/>
                      <a:ext cx="5490210" cy="2544669"/>
                    </a:xfrm>
                    <a:prstGeom prst="rect">
                      <a:avLst/>
                    </a:prstGeom>
                  </pic:spPr>
                </pic:pic>
              </a:graphicData>
            </a:graphic>
          </wp:inline>
        </w:drawing>
      </w:r>
    </w:p>
    <w:p w14:paraId="6741222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A00133F">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11D38316">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0089D4D5">
      <w:pPr>
        <w:rPr>
          <w:rFonts w:hint="eastAsia"/>
        </w:rPr>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5"/>
                    <a:stretch>
                      <a:fillRect/>
                    </a:stretch>
                  </pic:blipFill>
                  <pic:spPr>
                    <a:xfrm>
                      <a:off x="0" y="0"/>
                      <a:ext cx="5760085" cy="1956600"/>
                    </a:xfrm>
                    <a:prstGeom prst="rect">
                      <a:avLst/>
                    </a:prstGeom>
                  </pic:spPr>
                </pic:pic>
              </a:graphicData>
            </a:graphic>
          </wp:inline>
        </w:drawing>
      </w:r>
    </w:p>
    <w:p w14:paraId="67797A16">
      <w:pPr>
        <w:pStyle w:val="2"/>
        <w:rPr>
          <w:rFonts w:hint="eastAsia" w:hAnsi="宋体" w:eastAsia="宋体" w:cs="Times New Roman"/>
          <w:b/>
          <w:color w:val="000000"/>
          <w:sz w:val="24"/>
          <w:szCs w:val="24"/>
        </w:rPr>
      </w:pPr>
    </w:p>
    <w:p w14:paraId="5129D0CC">
      <w:pPr>
        <w:pStyle w:val="2"/>
        <w:rPr>
          <w:rFonts w:hint="eastAsia" w:hAnsi="宋体" w:eastAsia="宋体" w:cs="Times New Roman"/>
          <w:b/>
          <w:color w:val="000000"/>
          <w:sz w:val="24"/>
          <w:szCs w:val="24"/>
        </w:rPr>
      </w:pPr>
    </w:p>
    <w:p w14:paraId="09D63BEF">
      <w:pPr>
        <w:pStyle w:val="2"/>
        <w:bidi w:val="0"/>
        <w:rPr>
          <w:rFonts w:hint="eastAsia"/>
        </w:rPr>
      </w:pPr>
    </w:p>
    <w:p w14:paraId="6AE5B976">
      <w:pPr>
        <w:pStyle w:val="2"/>
        <w:outlineLvl w:val="2"/>
        <w:rPr>
          <w:rFonts w:hint="eastAsia" w:hAnsi="宋体" w:eastAsia="宋体" w:cs="Times New Roman"/>
          <w:b/>
          <w:color w:val="000000"/>
          <w:sz w:val="24"/>
          <w:szCs w:val="24"/>
          <w:lang w:val="en-US" w:eastAsia="zh-CN"/>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3</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w:t>
      </w:r>
      <w:r>
        <w:rPr>
          <w:rFonts w:hint="eastAsia" w:hAnsi="宋体" w:eastAsia="宋体" w:cs="Times New Roman"/>
          <w:b/>
          <w:color w:val="000000"/>
          <w:sz w:val="24"/>
          <w:szCs w:val="24"/>
          <w:lang w:val="en-US" w:eastAsia="zh-CN"/>
        </w:rPr>
        <w:t>近三年数据更新</w:t>
      </w:r>
    </w:p>
    <w:p w14:paraId="341BC1C8">
      <w:pPr>
        <w:bidi w:val="0"/>
      </w:pPr>
      <w:r>
        <w:drawing>
          <wp:inline distT="0" distB="0" distL="114300" distR="114300">
            <wp:extent cx="5749290" cy="2501265"/>
            <wp:effectExtent l="0" t="0" r="38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5749290" cy="2501265"/>
                    </a:xfrm>
                    <a:prstGeom prst="rect">
                      <a:avLst/>
                    </a:prstGeom>
                    <a:noFill/>
                    <a:ln>
                      <a:noFill/>
                    </a:ln>
                  </pic:spPr>
                </pic:pic>
              </a:graphicData>
            </a:graphic>
          </wp:inline>
        </w:drawing>
      </w:r>
    </w:p>
    <w:p w14:paraId="747E0D4C">
      <w:pPr>
        <w:bidi w:val="0"/>
      </w:pPr>
      <w:r>
        <w:drawing>
          <wp:inline distT="0" distB="0" distL="114300" distR="114300">
            <wp:extent cx="5746750" cy="3303270"/>
            <wp:effectExtent l="0" t="0" r="6350"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7"/>
                    <a:stretch>
                      <a:fillRect/>
                    </a:stretch>
                  </pic:blipFill>
                  <pic:spPr>
                    <a:xfrm>
                      <a:off x="0" y="0"/>
                      <a:ext cx="5746750" cy="3303270"/>
                    </a:xfrm>
                    <a:prstGeom prst="rect">
                      <a:avLst/>
                    </a:prstGeom>
                    <a:noFill/>
                    <a:ln>
                      <a:noFill/>
                    </a:ln>
                  </pic:spPr>
                </pic:pic>
              </a:graphicData>
            </a:graphic>
          </wp:inline>
        </w:drawing>
      </w:r>
    </w:p>
    <w:p w14:paraId="6AEF790E">
      <w:pPr>
        <w:bidi w:val="0"/>
        <w:rPr>
          <w:rFonts w:hint="default"/>
          <w:lang w:val="en-US" w:eastAsia="zh-CN"/>
        </w:rPr>
      </w:pPr>
      <w:r>
        <w:drawing>
          <wp:inline distT="0" distB="0" distL="114300" distR="114300">
            <wp:extent cx="5742940" cy="2099310"/>
            <wp:effectExtent l="0" t="0" r="10160"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8"/>
                    <a:stretch>
                      <a:fillRect/>
                    </a:stretch>
                  </pic:blipFill>
                  <pic:spPr>
                    <a:xfrm>
                      <a:off x="0" y="0"/>
                      <a:ext cx="5742940" cy="2099310"/>
                    </a:xfrm>
                    <a:prstGeom prst="rect">
                      <a:avLst/>
                    </a:prstGeom>
                    <a:noFill/>
                    <a:ln>
                      <a:noFill/>
                    </a:ln>
                  </pic:spPr>
                </pic:pic>
              </a:graphicData>
            </a:graphic>
          </wp:inline>
        </w:drawing>
      </w:r>
      <w:r>
        <w:drawing>
          <wp:inline distT="0" distB="0" distL="114300" distR="114300">
            <wp:extent cx="5742940" cy="2925445"/>
            <wp:effectExtent l="0" t="0" r="10160" b="825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9"/>
                    <a:stretch>
                      <a:fillRect/>
                    </a:stretch>
                  </pic:blipFill>
                  <pic:spPr>
                    <a:xfrm>
                      <a:off x="0" y="0"/>
                      <a:ext cx="5742940" cy="2925445"/>
                    </a:xfrm>
                    <a:prstGeom prst="rect">
                      <a:avLst/>
                    </a:prstGeom>
                    <a:noFill/>
                    <a:ln>
                      <a:noFill/>
                    </a:ln>
                  </pic:spPr>
                </pic:pic>
              </a:graphicData>
            </a:graphic>
          </wp:inline>
        </w:drawing>
      </w:r>
    </w:p>
    <w:p w14:paraId="1CB716DF"/>
    <w:p w14:paraId="033474C6">
      <w:pPr>
        <w:pStyle w:val="4"/>
        <w:bidi w:val="0"/>
        <w:rPr>
          <w:rFonts w:hint="default"/>
          <w:lang w:val="en-US" w:eastAsia="zh-CN"/>
        </w:rPr>
      </w:pPr>
      <w:r>
        <w:rPr>
          <w:rFonts w:hint="eastAsia"/>
          <w:lang w:val="en-US" w:eastAsia="zh-CN"/>
        </w:rPr>
        <w:t>附件 投标报名表</w:t>
      </w:r>
    </w:p>
    <w:p w14:paraId="708E040B">
      <w:pPr>
        <w:pageBreakBefore w:val="0"/>
        <w:kinsoku/>
        <w:wordWrap/>
        <w:overflowPunct/>
        <w:topLinePunct w:val="0"/>
        <w:bidi w:val="0"/>
        <w:ind w:left="0" w:leftChars="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投标报名表</w:t>
      </w:r>
    </w:p>
    <w:p w14:paraId="0CD7F7F7">
      <w:pPr>
        <w:pageBreakBefore w:val="0"/>
        <w:kinsoku/>
        <w:wordWrap/>
        <w:overflowPunct/>
        <w:topLinePunct w:val="0"/>
        <w:bidi w:val="0"/>
        <w:ind w:left="0" w:leftChars="0" w:right="0"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公章：</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2526"/>
        <w:gridCol w:w="2272"/>
        <w:gridCol w:w="2325"/>
      </w:tblGrid>
      <w:tr w14:paraId="2556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1801" w:type="dxa"/>
            <w:vAlign w:val="center"/>
          </w:tcPr>
          <w:p w14:paraId="6230687B">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7123" w:type="dxa"/>
            <w:gridSpan w:val="3"/>
            <w:vAlign w:val="center"/>
          </w:tcPr>
          <w:p w14:paraId="446D5C7D">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739B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801" w:type="dxa"/>
            <w:vAlign w:val="center"/>
          </w:tcPr>
          <w:p w14:paraId="714D27E7">
            <w:pPr>
              <w:pageBreakBefore w:val="0"/>
              <w:kinsoku/>
              <w:wordWrap/>
              <w:overflowPunct/>
              <w:topLinePunct w:val="0"/>
              <w:bidi w:val="0"/>
              <w:ind w:left="0" w:leftChars="0" w:right="0"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投标单位</w:t>
            </w:r>
          </w:p>
          <w:p w14:paraId="46A610BB">
            <w:pPr>
              <w:pageBreakBefore w:val="0"/>
              <w:kinsoku/>
              <w:wordWrap/>
              <w:overflowPunct/>
              <w:topLinePunct w:val="0"/>
              <w:bidi w:val="0"/>
              <w:ind w:left="0" w:leftChars="0" w:right="0"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（全称）</w:t>
            </w:r>
          </w:p>
        </w:tc>
        <w:tc>
          <w:tcPr>
            <w:tcW w:w="7123" w:type="dxa"/>
            <w:gridSpan w:val="3"/>
            <w:vAlign w:val="center"/>
          </w:tcPr>
          <w:p w14:paraId="0C0DAEEE">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4492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801" w:type="dxa"/>
            <w:vAlign w:val="center"/>
          </w:tcPr>
          <w:p w14:paraId="5870DC90">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w:t>
            </w:r>
          </w:p>
        </w:tc>
        <w:tc>
          <w:tcPr>
            <w:tcW w:w="2526" w:type="dxa"/>
            <w:vAlign w:val="center"/>
          </w:tcPr>
          <w:p w14:paraId="5B4DF69C">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c>
          <w:tcPr>
            <w:tcW w:w="2272" w:type="dxa"/>
            <w:vAlign w:val="center"/>
          </w:tcPr>
          <w:p w14:paraId="0035ED2C">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325" w:type="dxa"/>
            <w:vAlign w:val="center"/>
          </w:tcPr>
          <w:p w14:paraId="7A558EA6">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095E6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jc w:val="center"/>
        </w:trPr>
        <w:tc>
          <w:tcPr>
            <w:tcW w:w="1801" w:type="dxa"/>
            <w:vAlign w:val="center"/>
          </w:tcPr>
          <w:p w14:paraId="43B29E00">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公司电话</w:t>
            </w:r>
          </w:p>
        </w:tc>
        <w:tc>
          <w:tcPr>
            <w:tcW w:w="2526" w:type="dxa"/>
            <w:vAlign w:val="center"/>
          </w:tcPr>
          <w:p w14:paraId="5E4CBFD6">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c>
          <w:tcPr>
            <w:tcW w:w="2272" w:type="dxa"/>
            <w:vAlign w:val="center"/>
          </w:tcPr>
          <w:p w14:paraId="3A1AA162">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传真</w:t>
            </w:r>
          </w:p>
        </w:tc>
        <w:tc>
          <w:tcPr>
            <w:tcW w:w="2325" w:type="dxa"/>
            <w:vAlign w:val="center"/>
          </w:tcPr>
          <w:p w14:paraId="4282831B">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3E15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1801" w:type="dxa"/>
            <w:vAlign w:val="center"/>
          </w:tcPr>
          <w:p w14:paraId="257C47A6">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E-mail</w:t>
            </w:r>
          </w:p>
        </w:tc>
        <w:tc>
          <w:tcPr>
            <w:tcW w:w="7123" w:type="dxa"/>
            <w:gridSpan w:val="3"/>
            <w:vAlign w:val="center"/>
          </w:tcPr>
          <w:p w14:paraId="2D2F095F">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15EA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801" w:type="dxa"/>
            <w:vAlign w:val="center"/>
          </w:tcPr>
          <w:p w14:paraId="127530C3">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报名时间</w:t>
            </w:r>
          </w:p>
        </w:tc>
        <w:tc>
          <w:tcPr>
            <w:tcW w:w="7123" w:type="dxa"/>
            <w:gridSpan w:val="3"/>
            <w:vAlign w:val="center"/>
          </w:tcPr>
          <w:p w14:paraId="1A6E7DCC">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tc>
      </w:tr>
    </w:tbl>
    <w:p w14:paraId="274EEDF1">
      <w:pPr>
        <w:rPr>
          <w:rFonts w:hint="eastAsia"/>
        </w:rPr>
      </w:pPr>
    </w:p>
    <w:p w14:paraId="69A49889">
      <w:pPr>
        <w:rPr>
          <w:rFonts w:hint="eastAsia" w:ascii="仿宋_GB2312" w:hAnsi="仿宋_GB2312" w:eastAsia="仿宋_GB2312" w:cs="仿宋_GB2312"/>
        </w:rPr>
      </w:pPr>
    </w:p>
    <w:p w14:paraId="55944D04">
      <w:pPr>
        <w:rPr>
          <w:rFonts w:hint="eastAsia" w:ascii="仿宋_GB2312" w:hAnsi="仿宋_GB2312" w:eastAsia="仿宋_GB2312" w:cs="仿宋_GB2312"/>
        </w:rPr>
      </w:pPr>
    </w:p>
    <w:p w14:paraId="6E5FC0B5">
      <w:pPr>
        <w:rPr>
          <w:rFonts w:hint="eastAsia" w:ascii="仿宋_GB2312" w:hAnsi="仿宋_GB2312" w:eastAsia="仿宋_GB2312" w:cs="仿宋_GB2312"/>
        </w:rPr>
      </w:pPr>
    </w:p>
    <w:p w14:paraId="062B0FC5">
      <w:pPr>
        <w:rPr>
          <w:rFonts w:hint="eastAsia" w:asciiTheme="majorEastAsia" w:hAnsiTheme="majorEastAsia" w:eastAsiaTheme="majorEastAsia" w:cstheme="maj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06BCCD"/>
    <w:multiLevelType w:val="singleLevel"/>
    <w:tmpl w:val="1006BCC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34A75"/>
    <w:rsid w:val="01A6045D"/>
    <w:rsid w:val="04301453"/>
    <w:rsid w:val="09646A02"/>
    <w:rsid w:val="0A4E5257"/>
    <w:rsid w:val="0C682624"/>
    <w:rsid w:val="0CAD06C0"/>
    <w:rsid w:val="0FAC178F"/>
    <w:rsid w:val="104C3089"/>
    <w:rsid w:val="17525C24"/>
    <w:rsid w:val="1A5F0822"/>
    <w:rsid w:val="1CBE329F"/>
    <w:rsid w:val="1ED57D2E"/>
    <w:rsid w:val="20F621DE"/>
    <w:rsid w:val="25331BE5"/>
    <w:rsid w:val="27315D1D"/>
    <w:rsid w:val="283D5FEB"/>
    <w:rsid w:val="3B4F2886"/>
    <w:rsid w:val="404E4FD5"/>
    <w:rsid w:val="415E038C"/>
    <w:rsid w:val="41CF2217"/>
    <w:rsid w:val="42B67726"/>
    <w:rsid w:val="42BA2C13"/>
    <w:rsid w:val="42C30FDF"/>
    <w:rsid w:val="42E45495"/>
    <w:rsid w:val="44907102"/>
    <w:rsid w:val="45AD6A5F"/>
    <w:rsid w:val="47DD599F"/>
    <w:rsid w:val="48031288"/>
    <w:rsid w:val="4807521E"/>
    <w:rsid w:val="489475BD"/>
    <w:rsid w:val="48EF075C"/>
    <w:rsid w:val="4B7153F0"/>
    <w:rsid w:val="4E25790F"/>
    <w:rsid w:val="536770A5"/>
    <w:rsid w:val="57855221"/>
    <w:rsid w:val="57BF3EB6"/>
    <w:rsid w:val="594B58EE"/>
    <w:rsid w:val="5A1223DE"/>
    <w:rsid w:val="62853BC4"/>
    <w:rsid w:val="64753845"/>
    <w:rsid w:val="66D60058"/>
    <w:rsid w:val="6A1E13DF"/>
    <w:rsid w:val="6B0F2793"/>
    <w:rsid w:val="6C152603"/>
    <w:rsid w:val="6F6918B6"/>
    <w:rsid w:val="70B5586B"/>
    <w:rsid w:val="75027EA7"/>
    <w:rsid w:val="76B850E0"/>
    <w:rsid w:val="77E571F5"/>
    <w:rsid w:val="78034C74"/>
    <w:rsid w:val="7A5738E1"/>
    <w:rsid w:val="7DA4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link w:val="26"/>
    <w:qFormat/>
    <w:uiPriority w:val="9"/>
    <w:pPr>
      <w:keepNext/>
      <w:spacing w:before="240" w:after="60"/>
      <w:outlineLvl w:val="1"/>
    </w:pPr>
    <w:rPr>
      <w:rFonts w:ascii="Cambria" w:hAnsi="Cambria"/>
      <w:b/>
      <w:bCs/>
      <w:i/>
      <w:iCs/>
      <w:sz w:val="28"/>
      <w:szCs w:val="28"/>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szCs w:val="20"/>
    </w:rPr>
  </w:style>
  <w:style w:type="paragraph" w:styleId="6">
    <w:name w:val="Body Text"/>
    <w:basedOn w:val="1"/>
    <w:next w:val="7"/>
    <w:qFormat/>
    <w:uiPriority w:val="0"/>
    <w:rPr>
      <w:rFonts w:ascii="仿宋_GB2312" w:eastAsia="仿宋_GB2312" w:hAnsiTheme="minorHAnsi" w:cstheme="minorBidi"/>
      <w:sz w:val="32"/>
      <w:szCs w:val="22"/>
    </w:rPr>
  </w:style>
  <w:style w:type="paragraph" w:customStyle="1" w:styleId="7">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8">
    <w:name w:val="Body Text Indent"/>
    <w:basedOn w:val="1"/>
    <w:qFormat/>
    <w:uiPriority w:val="0"/>
    <w:pPr>
      <w:spacing w:line="480" w:lineRule="auto"/>
      <w:ind w:left="420" w:leftChars="200" w:firstLine="480" w:firstLineChars="200"/>
    </w:pPr>
    <w:rPr>
      <w:sz w:val="24"/>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8"/>
    <w:qFormat/>
    <w:uiPriority w:val="0"/>
    <w:pPr>
      <w:spacing w:line="276" w:lineRule="auto"/>
      <w:ind w:firstLine="420"/>
      <w:jc w:val="left"/>
    </w:pPr>
    <w:rPr>
      <w:rFonts w:ascii="Calibri" w:hAnsi="Calibri"/>
      <w:kern w:val="0"/>
      <w:sz w:val="22"/>
      <w:lang w:eastAsia="en-US"/>
    </w:rPr>
  </w:style>
  <w:style w:type="character" w:styleId="14">
    <w:name w:val="Strong"/>
    <w:basedOn w:val="13"/>
    <w:qFormat/>
    <w:uiPriority w:val="0"/>
    <w:rPr>
      <w:b/>
    </w:rPr>
  </w:style>
  <w:style w:type="character" w:styleId="15">
    <w:name w:val="FollowedHyperlink"/>
    <w:basedOn w:val="13"/>
    <w:qFormat/>
    <w:uiPriority w:val="0"/>
    <w:rPr>
      <w:color w:val="800080"/>
      <w:u w:val="none"/>
    </w:rPr>
  </w:style>
  <w:style w:type="character" w:styleId="16">
    <w:name w:val="HTML Definition"/>
    <w:basedOn w:val="13"/>
    <w:qFormat/>
    <w:uiPriority w:val="0"/>
  </w:style>
  <w:style w:type="character" w:styleId="17">
    <w:name w:val="HTML Typewriter"/>
    <w:basedOn w:val="13"/>
    <w:qFormat/>
    <w:uiPriority w:val="0"/>
    <w:rPr>
      <w:rFonts w:hint="default" w:ascii="monospace" w:hAnsi="monospace" w:eastAsia="monospace" w:cs="monospace"/>
      <w:sz w:val="20"/>
    </w:rPr>
  </w:style>
  <w:style w:type="character" w:styleId="18">
    <w:name w:val="HTML Acronym"/>
    <w:basedOn w:val="13"/>
    <w:qFormat/>
    <w:uiPriority w:val="0"/>
  </w:style>
  <w:style w:type="character" w:styleId="19">
    <w:name w:val="HTML Variable"/>
    <w:basedOn w:val="13"/>
    <w:qFormat/>
    <w:uiPriority w:val="0"/>
  </w:style>
  <w:style w:type="character" w:styleId="20">
    <w:name w:val="Hyperlink"/>
    <w:basedOn w:val="13"/>
    <w:qFormat/>
    <w:uiPriority w:val="0"/>
    <w:rPr>
      <w:color w:val="0000FF"/>
      <w:u w:val="none"/>
    </w:rPr>
  </w:style>
  <w:style w:type="character" w:styleId="21">
    <w:name w:val="HTML Code"/>
    <w:basedOn w:val="13"/>
    <w:qFormat/>
    <w:uiPriority w:val="0"/>
    <w:rPr>
      <w:rFonts w:hint="default" w:ascii="monospace" w:hAnsi="monospace" w:eastAsia="monospace" w:cs="monospace"/>
      <w:sz w:val="20"/>
    </w:rPr>
  </w:style>
  <w:style w:type="character" w:styleId="22">
    <w:name w:val="HTML Cite"/>
    <w:basedOn w:val="13"/>
    <w:qFormat/>
    <w:uiPriority w:val="0"/>
  </w:style>
  <w:style w:type="character" w:styleId="23">
    <w:name w:val="HTML Keyboard"/>
    <w:basedOn w:val="13"/>
    <w:qFormat/>
    <w:uiPriority w:val="0"/>
    <w:rPr>
      <w:rFonts w:ascii="monospace" w:hAnsi="monospace" w:eastAsia="monospace" w:cs="monospace"/>
      <w:sz w:val="20"/>
    </w:rPr>
  </w:style>
  <w:style w:type="character" w:styleId="24">
    <w:name w:val="HTML Sample"/>
    <w:basedOn w:val="13"/>
    <w:qFormat/>
    <w:uiPriority w:val="0"/>
    <w:rPr>
      <w:rFonts w:hint="default" w:ascii="monospace" w:hAnsi="monospace" w:eastAsia="monospace" w:cs="monospace"/>
    </w:rPr>
  </w:style>
  <w:style w:type="paragraph" w:customStyle="1" w:styleId="25">
    <w:name w:val="列出段落1"/>
    <w:basedOn w:val="1"/>
    <w:qFormat/>
    <w:uiPriority w:val="34"/>
    <w:pPr>
      <w:ind w:firstLine="420" w:firstLineChars="200"/>
    </w:pPr>
    <w:rPr>
      <w:rFonts w:ascii="Calibri" w:hAnsi="Calibri"/>
      <w:szCs w:val="22"/>
    </w:rPr>
  </w:style>
  <w:style w:type="character" w:customStyle="1" w:styleId="26">
    <w:name w:val="标题 2 Char"/>
    <w:link w:val="3"/>
    <w:autoRedefine/>
    <w:qFormat/>
    <w:uiPriority w:val="9"/>
    <w:rPr>
      <w:rFonts w:ascii="Cambria" w:hAnsi="Cambria"/>
      <w:b/>
      <w:bCs/>
      <w:i/>
      <w:i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1900</Words>
  <Characters>2063</Characters>
  <Lines>0</Lines>
  <Paragraphs>0</Paragraphs>
  <TotalTime>23</TotalTime>
  <ScaleCrop>false</ScaleCrop>
  <LinksUpToDate>false</LinksUpToDate>
  <CharactersWithSpaces>2206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欧阳啟瑞</cp:lastModifiedBy>
  <dcterms:modified xsi:type="dcterms:W3CDTF">2026-10-09T08:50:37Z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eyJoZGlkIjoiZDI0Mjg4ZTMyM2ZjMzM3MThlMTJhMTdkYTg2ZjFiM2YiLCJ1c2VySWQiOiIxMTMzMzYzNzM2In0=</vt:lpwstr>
  </property>
  <property fmtid="{D5CDD505-2E9C-101B-9397-08002B2CF9AE}" pid="4" name="ICV">
    <vt:lpwstr>36BA767B9B1647D78DB7367FAC05A487_13</vt:lpwstr>
  </property>
</Properties>
</file>