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FEE4D">
      <w:pPr>
        <w:snapToGrid w:val="0"/>
        <w:spacing w:line="300" w:lineRule="auto"/>
        <w:jc w:val="center"/>
        <w:rPr>
          <w:rFonts w:ascii="宋体"/>
          <w:b/>
          <w:spacing w:val="-6"/>
          <w:sz w:val="48"/>
          <w:szCs w:val="48"/>
        </w:rPr>
      </w:pPr>
      <w:bookmarkStart w:id="0" w:name="_Hlk138511267"/>
      <w:bookmarkEnd w:id="0"/>
      <w:r>
        <w:rPr>
          <w:rFonts w:ascii="宋体"/>
          <w:b/>
          <w:spacing w:val="-6"/>
          <w:sz w:val="48"/>
          <w:szCs w:val="48"/>
        </w:rPr>
        <w:drawing>
          <wp:anchor distT="0" distB="0" distL="114300" distR="114300" simplePos="0" relativeHeight="251659264" behindDoc="0" locked="0" layoutInCell="1" allowOverlap="1">
            <wp:simplePos x="0" y="0"/>
            <wp:positionH relativeFrom="column">
              <wp:posOffset>-11430</wp:posOffset>
            </wp:positionH>
            <wp:positionV relativeFrom="paragraph">
              <wp:posOffset>1270</wp:posOffset>
            </wp:positionV>
            <wp:extent cx="2336800" cy="814705"/>
            <wp:effectExtent l="0" t="0" r="0" b="0"/>
            <wp:wrapTight wrapText="bothSides">
              <wp:wrapPolygon>
                <wp:start x="0" y="0"/>
                <wp:lineTo x="0" y="21213"/>
                <wp:lineTo x="21483" y="21213"/>
                <wp:lineTo x="21483" y="0"/>
                <wp:lineTo x="0" y="0"/>
              </wp:wrapPolygon>
            </wp:wrapTight>
            <wp:docPr id="4"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timg"/>
                    <pic:cNvPicPr>
                      <a:picLocks noChangeAspect="1"/>
                    </pic:cNvPicPr>
                  </pic:nvPicPr>
                  <pic:blipFill>
                    <a:blip r:embed="rId7"/>
                    <a:stretch>
                      <a:fillRect/>
                    </a:stretch>
                  </pic:blipFill>
                  <pic:spPr>
                    <a:xfrm>
                      <a:off x="0" y="0"/>
                      <a:ext cx="2336800" cy="814705"/>
                    </a:xfrm>
                    <a:prstGeom prst="rect">
                      <a:avLst/>
                    </a:prstGeom>
                    <a:noFill/>
                    <a:ln w="9525" cap="flat" cmpd="sng">
                      <a:noFill/>
                      <a:prstDash val="solid"/>
                      <a:round/>
                    </a:ln>
                  </pic:spPr>
                </pic:pic>
              </a:graphicData>
            </a:graphic>
          </wp:anchor>
        </w:drawing>
      </w:r>
    </w:p>
    <w:p w14:paraId="0BB9F1FE"/>
    <w:p w14:paraId="3A0AA021">
      <w:pPr>
        <w:pStyle w:val="24"/>
      </w:pPr>
    </w:p>
    <w:p w14:paraId="7FD434D5"/>
    <w:p w14:paraId="62628D47"/>
    <w:p w14:paraId="6B874B15">
      <w:pPr>
        <w:pStyle w:val="24"/>
      </w:pPr>
    </w:p>
    <w:p w14:paraId="1F92F9BF"/>
    <w:p w14:paraId="7B9BFAFA"/>
    <w:p w14:paraId="7B13D668"/>
    <w:p w14:paraId="76692BCF">
      <w:pPr>
        <w:jc w:val="center"/>
        <w:rPr>
          <w:rFonts w:hint="eastAsia" w:ascii="宋体" w:cs="宋体"/>
          <w:b/>
          <w:color w:val="auto"/>
          <w:kern w:val="0"/>
          <w:sz w:val="52"/>
          <w:szCs w:val="52"/>
          <w:lang w:val="en-US" w:eastAsia="zh-CN"/>
        </w:rPr>
      </w:pPr>
      <w:r>
        <w:rPr>
          <w:rFonts w:hint="eastAsia" w:ascii="宋体" w:cs="宋体"/>
          <w:b/>
          <w:color w:val="auto"/>
          <w:kern w:val="0"/>
          <w:sz w:val="52"/>
          <w:szCs w:val="52"/>
          <w:lang w:val="en-US" w:eastAsia="zh-CN"/>
        </w:rPr>
        <w:t>中国重汽智能制造中心基建项目</w:t>
      </w:r>
    </w:p>
    <w:p w14:paraId="170E0EC5">
      <w:pPr>
        <w:jc w:val="center"/>
      </w:pPr>
      <w:r>
        <w:rPr>
          <w:rFonts w:hint="eastAsia" w:ascii="宋体" w:cs="宋体"/>
          <w:b/>
          <w:color w:val="auto"/>
          <w:kern w:val="0"/>
          <w:sz w:val="52"/>
          <w:szCs w:val="52"/>
          <w:lang w:val="en-US" w:eastAsia="zh-CN"/>
        </w:rPr>
        <w:t>工程检测服务</w:t>
      </w:r>
    </w:p>
    <w:p w14:paraId="693BCA0F">
      <w:pPr>
        <w:pStyle w:val="24"/>
      </w:pPr>
    </w:p>
    <w:p w14:paraId="75A5B1A6"/>
    <w:p w14:paraId="7BC682D0"/>
    <w:p w14:paraId="4F81AC22">
      <w:pPr>
        <w:spacing w:line="360" w:lineRule="auto"/>
        <w:jc w:val="center"/>
        <w:rPr>
          <w:rFonts w:hint="eastAsia" w:ascii="宋体" w:eastAsia="宋体" w:cs="宋体"/>
          <w:b/>
          <w:kern w:val="0"/>
          <w:sz w:val="48"/>
          <w:szCs w:val="48"/>
          <w:lang w:eastAsia="zh-CN"/>
        </w:rPr>
      </w:pPr>
      <w:r>
        <w:rPr>
          <w:rFonts w:hint="eastAsia" w:ascii="宋体" w:cs="宋体"/>
          <w:sz w:val="72"/>
          <w:szCs w:val="72"/>
        </w:rPr>
        <w:t xml:space="preserve">招 标 </w:t>
      </w:r>
      <w:r>
        <w:rPr>
          <w:rFonts w:hint="eastAsia" w:ascii="宋体" w:cs="宋体"/>
          <w:sz w:val="72"/>
          <w:szCs w:val="72"/>
          <w:lang w:val="en-US" w:eastAsia="zh-CN"/>
        </w:rPr>
        <w:t>公 告</w:t>
      </w:r>
    </w:p>
    <w:p w14:paraId="6BA2AE54">
      <w:pPr>
        <w:pStyle w:val="24"/>
      </w:pPr>
    </w:p>
    <w:p w14:paraId="527D7130"/>
    <w:p w14:paraId="63B9DB25"/>
    <w:p w14:paraId="6E61FA02"/>
    <w:p w14:paraId="7ACD2B6F">
      <w:pPr>
        <w:widowControl/>
        <w:spacing w:line="360" w:lineRule="auto"/>
        <w:jc w:val="center"/>
        <w:rPr>
          <w:rFonts w:hint="eastAsia" w:ascii="宋体" w:eastAsia="宋体" w:cs="宋体"/>
          <w:b/>
          <w:bCs/>
          <w:kern w:val="0"/>
          <w:sz w:val="32"/>
          <w:szCs w:val="32"/>
          <w:lang w:val="en-US" w:eastAsia="zh-CN"/>
        </w:rPr>
      </w:pPr>
      <w:r>
        <w:rPr>
          <w:rFonts w:hint="eastAsia" w:ascii="宋体" w:cs="宋体"/>
          <w:b/>
          <w:bCs/>
          <w:kern w:val="0"/>
          <w:sz w:val="32"/>
          <w:szCs w:val="32"/>
        </w:rPr>
        <w:t>招标编号：ZBGL2026100140</w:t>
      </w:r>
      <w:r>
        <w:rPr>
          <w:rFonts w:hint="eastAsia" w:ascii="宋体" w:cs="宋体"/>
          <w:b/>
          <w:bCs/>
          <w:kern w:val="0"/>
          <w:sz w:val="32"/>
          <w:szCs w:val="32"/>
          <w:lang w:val="en-US" w:eastAsia="zh-CN"/>
        </w:rPr>
        <w:t xml:space="preserve"> </w:t>
      </w:r>
    </w:p>
    <w:p w14:paraId="5E744CB6">
      <w:pPr>
        <w:spacing w:line="360" w:lineRule="auto"/>
        <w:rPr>
          <w:rFonts w:ascii="宋体"/>
          <w:sz w:val="24"/>
        </w:rPr>
      </w:pPr>
    </w:p>
    <w:p w14:paraId="4693697B"/>
    <w:p w14:paraId="4FC3AA90">
      <w:pPr>
        <w:spacing w:line="360" w:lineRule="auto"/>
        <w:jc w:val="center"/>
        <w:rPr>
          <w:rFonts w:hint="eastAsia" w:ascii="宋体" w:eastAsia="宋体" w:cs="宋体"/>
          <w:b/>
          <w:bCs/>
          <w:sz w:val="30"/>
          <w:szCs w:val="30"/>
          <w:lang w:eastAsia="zh-CN"/>
        </w:rPr>
      </w:pPr>
      <w:r>
        <w:rPr>
          <w:rFonts w:hint="eastAsia" w:ascii="宋体" w:cs="宋体"/>
          <w:b/>
          <w:bCs/>
          <w:sz w:val="30"/>
          <w:szCs w:val="30"/>
        </w:rPr>
        <w:t>招标人：</w:t>
      </w:r>
      <w:r>
        <w:rPr>
          <w:rFonts w:hint="eastAsia" w:ascii="宋体" w:cs="宋体"/>
          <w:b/>
          <w:bCs/>
          <w:sz w:val="30"/>
          <w:szCs w:val="30"/>
          <w:lang w:eastAsia="zh-CN"/>
        </w:rPr>
        <w:t>中国重汽集团济南动力有限公司</w:t>
      </w:r>
    </w:p>
    <w:p w14:paraId="76816A2F">
      <w:pPr>
        <w:pStyle w:val="24"/>
        <w:jc w:val="center"/>
        <w:rPr>
          <w:rFonts w:eastAsia="宋体"/>
          <w:lang w:val="en-US" w:eastAsia="zh-CN"/>
        </w:rPr>
      </w:pPr>
      <w:r>
        <w:rPr>
          <w:rFonts w:hint="eastAsia" w:ascii="宋体" w:cs="宋体"/>
          <w:b/>
          <w:bCs/>
          <w:sz w:val="30"/>
          <w:szCs w:val="30"/>
          <w:lang w:val="en-US" w:eastAsia="zh-CN"/>
        </w:rPr>
        <w:t xml:space="preserve">            </w:t>
      </w:r>
    </w:p>
    <w:p w14:paraId="1E35B066">
      <w:pPr>
        <w:pStyle w:val="24"/>
      </w:pPr>
    </w:p>
    <w:p w14:paraId="4F8C8D92">
      <w:pPr>
        <w:jc w:val="center"/>
        <w:sectPr>
          <w:footerReference r:id="rId3" w:type="default"/>
          <w:pgSz w:w="11906" w:h="16838"/>
          <w:pgMar w:top="1418" w:right="1418" w:bottom="1418" w:left="1418" w:header="851" w:footer="992" w:gutter="0"/>
          <w:cols w:space="720" w:num="1"/>
          <w:docGrid w:type="lines" w:linePitch="312" w:charSpace="0"/>
        </w:sectPr>
      </w:pPr>
      <w:r>
        <w:rPr>
          <w:rFonts w:hint="eastAsia" w:ascii="宋体"/>
          <w:b/>
          <w:sz w:val="24"/>
        </w:rPr>
        <w:t>202</w:t>
      </w:r>
      <w:r>
        <w:rPr>
          <w:rFonts w:hint="eastAsia" w:ascii="宋体"/>
          <w:b/>
          <w:sz w:val="24"/>
          <w:lang w:val="en-US" w:eastAsia="zh-CN"/>
        </w:rPr>
        <w:t>6</w:t>
      </w:r>
      <w:r>
        <w:rPr>
          <w:rFonts w:hint="eastAsia" w:ascii="宋体"/>
          <w:b/>
          <w:sz w:val="24"/>
        </w:rPr>
        <w:t>年</w:t>
      </w:r>
      <w:r>
        <w:rPr>
          <w:rFonts w:hint="eastAsia" w:ascii="宋体"/>
          <w:b/>
          <w:sz w:val="24"/>
          <w:lang w:val="en-US" w:eastAsia="zh-CN"/>
        </w:rPr>
        <w:t>10</w:t>
      </w:r>
      <w:r>
        <w:rPr>
          <w:rFonts w:hint="eastAsia" w:ascii="宋体"/>
          <w:b/>
          <w:sz w:val="24"/>
        </w:rPr>
        <w:t>月</w:t>
      </w:r>
    </w:p>
    <w:p w14:paraId="7E86FC75">
      <w:pPr>
        <w:widowControl/>
        <w:adjustRightInd w:val="0"/>
        <w:snapToGrid w:val="0"/>
        <w:spacing w:line="360" w:lineRule="auto"/>
        <w:jc w:val="left"/>
        <w:rPr>
          <w:b/>
          <w:kern w:val="0"/>
          <w:sz w:val="24"/>
          <w:lang w:bidi="en-US"/>
        </w:rPr>
      </w:pPr>
      <w:bookmarkStart w:id="1" w:name="_Toc17817321"/>
      <w:r>
        <w:rPr>
          <w:b/>
          <w:kern w:val="0"/>
          <w:sz w:val="24"/>
          <w:lang w:bidi="en-US"/>
        </w:rPr>
        <w:t>1.招标条件</w:t>
      </w:r>
    </w:p>
    <w:p w14:paraId="10EB18D1">
      <w:pPr>
        <w:widowControl/>
        <w:spacing w:line="360" w:lineRule="auto"/>
        <w:ind w:firstLine="480" w:firstLineChars="200"/>
        <w:jc w:val="left"/>
        <w:rPr>
          <w:kern w:val="0"/>
          <w:sz w:val="24"/>
          <w:lang w:bidi="en-US"/>
        </w:rPr>
      </w:pPr>
      <w:r>
        <w:rPr>
          <w:rFonts w:hint="eastAsia"/>
          <w:kern w:val="0"/>
          <w:sz w:val="24"/>
          <w:u w:val="single"/>
          <w:lang w:eastAsia="zh-CN" w:bidi="en-US"/>
        </w:rPr>
        <w:t>中国重汽智能制造中心基建项目工程检测服务</w:t>
      </w:r>
      <w:r>
        <w:rPr>
          <w:kern w:val="0"/>
          <w:sz w:val="24"/>
          <w:lang w:bidi="en-US"/>
        </w:rPr>
        <w:t>以公开招标的方式组织招标。本项目招标人是</w:t>
      </w:r>
      <w:r>
        <w:rPr>
          <w:rFonts w:hint="eastAsia"/>
          <w:kern w:val="0"/>
          <w:sz w:val="24"/>
          <w:u w:val="single"/>
          <w:lang w:eastAsia="zh-CN" w:bidi="en-US"/>
        </w:rPr>
        <w:t>中国重汽集团济南动力有限公司</w:t>
      </w:r>
      <w:r>
        <w:rPr>
          <w:kern w:val="0"/>
          <w:sz w:val="24"/>
          <w:lang w:bidi="en-US"/>
        </w:rPr>
        <w:t>，建设资金来自</w:t>
      </w:r>
      <w:r>
        <w:rPr>
          <w:kern w:val="0"/>
          <w:sz w:val="24"/>
          <w:u w:val="single"/>
          <w:lang w:bidi="en-US"/>
        </w:rPr>
        <w:t xml:space="preserve"> 企业自筹 </w:t>
      </w:r>
      <w:r>
        <w:rPr>
          <w:kern w:val="0"/>
          <w:sz w:val="24"/>
          <w:lang w:bidi="en-US"/>
        </w:rPr>
        <w:t>，出资比例为</w:t>
      </w:r>
      <w:r>
        <w:rPr>
          <w:kern w:val="0"/>
          <w:sz w:val="24"/>
          <w:u w:val="single"/>
          <w:lang w:bidi="en-US"/>
        </w:rPr>
        <w:t xml:space="preserve"> 100% </w:t>
      </w:r>
      <w:r>
        <w:rPr>
          <w:kern w:val="0"/>
          <w:sz w:val="24"/>
          <w:lang w:bidi="en-US"/>
        </w:rPr>
        <w:t>。该项目现已具备招标条件，欢迎具备条件的潜在投标人参加投标。</w:t>
      </w:r>
    </w:p>
    <w:p w14:paraId="246BA8A9">
      <w:pPr>
        <w:widowControl/>
        <w:adjustRightInd w:val="0"/>
        <w:snapToGrid w:val="0"/>
        <w:spacing w:line="360" w:lineRule="auto"/>
        <w:jc w:val="left"/>
        <w:rPr>
          <w:kern w:val="0"/>
          <w:sz w:val="24"/>
          <w:lang w:bidi="en-US"/>
        </w:rPr>
      </w:pPr>
      <w:r>
        <w:rPr>
          <w:b/>
          <w:bCs/>
          <w:kern w:val="0"/>
          <w:sz w:val="24"/>
          <w:lang w:bidi="en-US"/>
        </w:rPr>
        <w:t>2.项目概况与招标范围</w:t>
      </w:r>
    </w:p>
    <w:p w14:paraId="22EBE2A2">
      <w:pPr>
        <w:pStyle w:val="41"/>
        <w:widowControl/>
        <w:numPr>
          <w:ilvl w:val="1"/>
          <w:numId w:val="2"/>
        </w:numPr>
        <w:adjustRightInd w:val="0"/>
        <w:snapToGrid w:val="0"/>
        <w:spacing w:line="360" w:lineRule="auto"/>
        <w:ind w:left="0" w:firstLine="480" w:firstLineChars="0"/>
        <w:jc w:val="left"/>
        <w:rPr>
          <w:kern w:val="0"/>
          <w:sz w:val="24"/>
          <w:lang w:bidi="en-US"/>
        </w:rPr>
      </w:pPr>
      <w:bookmarkStart w:id="2" w:name="_Toc144974482"/>
      <w:bookmarkEnd w:id="2"/>
      <w:bookmarkStart w:id="3" w:name="_Toc152045514"/>
      <w:bookmarkEnd w:id="3"/>
      <w:bookmarkStart w:id="4" w:name="_Toc285809451"/>
      <w:bookmarkEnd w:id="4"/>
      <w:bookmarkStart w:id="5" w:name="_Toc152042290"/>
      <w:bookmarkEnd w:id="5"/>
      <w:bookmarkStart w:id="6" w:name="_Toc179632530"/>
      <w:bookmarkEnd w:id="6"/>
      <w:r>
        <w:rPr>
          <w:kern w:val="0"/>
          <w:sz w:val="24"/>
          <w:lang w:bidi="en-US"/>
        </w:rPr>
        <w:t>项目名称：</w:t>
      </w:r>
      <w:r>
        <w:rPr>
          <w:rFonts w:hint="eastAsia"/>
          <w:kern w:val="0"/>
          <w:sz w:val="24"/>
          <w:u w:val="single"/>
          <w:lang w:eastAsia="zh-CN" w:bidi="en-US"/>
        </w:rPr>
        <w:t>中国重汽智能制造中心基建项目工程检测服务。</w:t>
      </w:r>
    </w:p>
    <w:p w14:paraId="037BF29C">
      <w:pPr>
        <w:pStyle w:val="41"/>
        <w:widowControl/>
        <w:numPr>
          <w:ilvl w:val="1"/>
          <w:numId w:val="2"/>
        </w:numPr>
        <w:adjustRightInd w:val="0"/>
        <w:snapToGrid w:val="0"/>
        <w:spacing w:line="360" w:lineRule="auto"/>
        <w:ind w:left="0" w:firstLine="480" w:firstLineChars="0"/>
        <w:jc w:val="left"/>
        <w:rPr>
          <w:kern w:val="0"/>
          <w:sz w:val="24"/>
          <w:lang w:bidi="en-US"/>
        </w:rPr>
      </w:pPr>
      <w:r>
        <w:rPr>
          <w:kern w:val="0"/>
          <w:sz w:val="24"/>
          <w:lang w:bidi="en-US"/>
        </w:rPr>
        <w:t>项目概况：</w:t>
      </w:r>
    </w:p>
    <w:p w14:paraId="16957C4C">
      <w:pPr>
        <w:pStyle w:val="41"/>
        <w:widowControl/>
        <w:adjustRightInd w:val="0"/>
        <w:snapToGrid w:val="0"/>
        <w:spacing w:line="360" w:lineRule="auto"/>
        <w:ind w:left="0" w:firstLine="480" w:firstLineChars="200"/>
        <w:jc w:val="left"/>
        <w:rPr>
          <w:rFonts w:hint="eastAsia" w:ascii="Times New Roman" w:hAnsi="Times New Roman" w:cs="Times New Roman"/>
          <w:kern w:val="0"/>
          <w:sz w:val="24"/>
          <w:u w:val="single"/>
          <w:lang w:val="en-US" w:eastAsia="zh-CN" w:bidi="en-US"/>
        </w:rPr>
      </w:pPr>
      <w:r>
        <w:rPr>
          <w:rFonts w:hint="eastAsia" w:cs="Times New Roman"/>
          <w:kern w:val="0"/>
          <w:sz w:val="24"/>
          <w:u w:val="single"/>
          <w:lang w:eastAsia="zh-CN" w:bidi="en-US"/>
        </w:rPr>
        <w:t>中国重汽智能制造中心基建项目</w:t>
      </w:r>
      <w:r>
        <w:rPr>
          <w:rFonts w:hint="eastAsia" w:ascii="Times New Roman" w:hAnsi="Times New Roman" w:cs="Times New Roman"/>
          <w:kern w:val="0"/>
          <w:sz w:val="24"/>
          <w:u w:val="single"/>
          <w:lang w:eastAsia="zh-CN" w:bidi="en-US"/>
        </w:rPr>
        <w:t>工程检测服务</w:t>
      </w:r>
      <w:r>
        <w:rPr>
          <w:rFonts w:hint="eastAsia" w:ascii="Times New Roman" w:hAnsi="Times New Roman" w:cs="Times New Roman"/>
          <w:kern w:val="0"/>
          <w:sz w:val="24"/>
          <w:u w:val="single"/>
          <w:lang w:val="en-US" w:eastAsia="zh-CN" w:bidi="en-US"/>
        </w:rPr>
        <w:t>，包括</w:t>
      </w:r>
      <w:r>
        <w:rPr>
          <w:rFonts w:hint="eastAsia" w:ascii="Times New Roman" w:hAnsi="Times New Roman" w:cs="Times New Roman"/>
          <w:kern w:val="0"/>
          <w:sz w:val="24"/>
          <w:u w:val="single"/>
          <w:lang w:eastAsia="zh-CN" w:bidi="en-US"/>
        </w:rPr>
        <w:t>建筑材料及构配件、主体结构、钢结构、装饰装修等见证取样及专项检测服务。</w:t>
      </w:r>
    </w:p>
    <w:p w14:paraId="5DE0927D">
      <w:pPr>
        <w:pStyle w:val="41"/>
        <w:widowControl/>
        <w:adjustRightInd w:val="0"/>
        <w:snapToGrid w:val="0"/>
        <w:spacing w:line="360" w:lineRule="auto"/>
        <w:ind w:left="0" w:firstLine="480" w:firstLineChars="200"/>
        <w:jc w:val="left"/>
        <w:rPr>
          <w:rFonts w:hint="eastAsia" w:ascii="Times New Roman" w:hAnsi="Times New Roman" w:cs="Times New Roman"/>
          <w:kern w:val="0"/>
          <w:sz w:val="24"/>
          <w:u w:val="single"/>
          <w:lang w:eastAsia="zh-CN" w:bidi="en-US"/>
        </w:rPr>
      </w:pPr>
      <w:r>
        <w:rPr>
          <w:rFonts w:hint="eastAsia" w:ascii="Times New Roman" w:hAnsi="Times New Roman" w:cs="Times New Roman"/>
          <w:kern w:val="0"/>
          <w:sz w:val="24"/>
          <w:u w:val="single"/>
          <w:lang w:val="en-US" w:eastAsia="zh-CN" w:bidi="en-US"/>
        </w:rPr>
        <w:t>项目地点为</w:t>
      </w:r>
      <w:r>
        <w:rPr>
          <w:rFonts w:hint="default" w:ascii="Times New Roman" w:hAnsi="Times New Roman" w:cs="Times New Roman"/>
          <w:kern w:val="0"/>
          <w:sz w:val="24"/>
          <w:u w:val="single"/>
          <w:lang w:eastAsia="zh-CN" w:bidi="en-US"/>
        </w:rPr>
        <w:t>山东省济南市章丘区世纪大道北潘王路</w:t>
      </w:r>
      <w:r>
        <w:rPr>
          <w:rFonts w:hint="eastAsia" w:ascii="Times New Roman" w:hAnsi="Times New Roman" w:cs="Times New Roman"/>
          <w:kern w:val="0"/>
          <w:sz w:val="24"/>
          <w:u w:val="single"/>
          <w:lang w:eastAsia="zh-CN" w:bidi="en-US"/>
        </w:rPr>
        <w:t>，</w:t>
      </w:r>
      <w:r>
        <w:rPr>
          <w:rFonts w:hint="eastAsia" w:ascii="Times New Roman" w:hAnsi="Times New Roman" w:cs="Times New Roman"/>
          <w:kern w:val="0"/>
          <w:sz w:val="24"/>
          <w:u w:val="single"/>
          <w:lang w:val="en-US" w:eastAsia="zh-CN" w:bidi="en-US"/>
        </w:rPr>
        <w:t>项目占地土地面积约670825</w:t>
      </w:r>
      <w:r>
        <w:rPr>
          <w:rFonts w:hint="eastAsia" w:ascii="宋体" w:hAnsi="宋体" w:eastAsia="宋体" w:cs="宋体"/>
          <w:kern w:val="0"/>
          <w:sz w:val="24"/>
          <w:u w:val="single"/>
          <w:lang w:val="en-US" w:eastAsia="zh-CN" w:bidi="en-US"/>
        </w:rPr>
        <w:t>㎡</w:t>
      </w:r>
      <w:r>
        <w:rPr>
          <w:rFonts w:hint="eastAsia" w:ascii="Times New Roman" w:hAnsi="Times New Roman" w:cs="Times New Roman"/>
          <w:kern w:val="0"/>
          <w:sz w:val="24"/>
          <w:u w:val="single"/>
          <w:lang w:val="en-US" w:eastAsia="zh-CN" w:bidi="en-US"/>
        </w:rPr>
        <w:t>，建安投资约8亿元</w:t>
      </w:r>
      <w:r>
        <w:rPr>
          <w:rFonts w:hint="eastAsia" w:ascii="Times New Roman" w:hAnsi="Times New Roman" w:cs="Times New Roman"/>
          <w:kern w:val="0"/>
          <w:sz w:val="24"/>
          <w:u w:val="single"/>
          <w:lang w:eastAsia="zh-CN" w:bidi="en-US"/>
        </w:rPr>
        <w:t>，</w:t>
      </w:r>
      <w:r>
        <w:rPr>
          <w:rFonts w:hint="eastAsia" w:ascii="Times New Roman" w:hAnsi="Times New Roman" w:cs="Times New Roman"/>
          <w:kern w:val="0"/>
          <w:sz w:val="24"/>
          <w:u w:val="single"/>
          <w:lang w:val="en-US" w:eastAsia="zh-CN" w:bidi="en-US"/>
        </w:rPr>
        <w:t>建设内容包括主要车间及办公楼、配套车间、站房、道路管网、绿化、广场</w:t>
      </w:r>
      <w:r>
        <w:rPr>
          <w:rFonts w:hint="eastAsia" w:ascii="Times New Roman" w:hAnsi="Times New Roman" w:cs="Times New Roman"/>
          <w:kern w:val="0"/>
          <w:sz w:val="24"/>
          <w:u w:val="single"/>
          <w:lang w:eastAsia="zh-CN" w:bidi="en-US"/>
        </w:rPr>
        <w:t>等相关配套设施。</w:t>
      </w:r>
    </w:p>
    <w:p w14:paraId="48ADCC47">
      <w:pPr>
        <w:pStyle w:val="41"/>
        <w:widowControl/>
        <w:numPr>
          <w:ilvl w:val="1"/>
          <w:numId w:val="2"/>
        </w:numPr>
        <w:adjustRightInd w:val="0"/>
        <w:snapToGrid w:val="0"/>
        <w:spacing w:line="360" w:lineRule="auto"/>
        <w:ind w:left="0" w:firstLine="480" w:firstLineChars="0"/>
        <w:jc w:val="left"/>
        <w:rPr>
          <w:kern w:val="0"/>
          <w:sz w:val="24"/>
          <w:lang w:bidi="en-US"/>
        </w:rPr>
      </w:pPr>
      <w:r>
        <w:rPr>
          <w:kern w:val="0"/>
          <w:sz w:val="24"/>
          <w:lang w:bidi="en-US"/>
        </w:rPr>
        <w:t>资金来源：</w:t>
      </w:r>
      <w:r>
        <w:rPr>
          <w:kern w:val="0"/>
          <w:sz w:val="24"/>
          <w:u w:val="single"/>
          <w:lang w:bidi="en-US"/>
        </w:rPr>
        <w:t>企业自筹，已落实</w:t>
      </w:r>
      <w:r>
        <w:rPr>
          <w:kern w:val="0"/>
          <w:sz w:val="24"/>
          <w:lang w:bidi="en-US"/>
        </w:rPr>
        <w:t>；</w:t>
      </w:r>
    </w:p>
    <w:p w14:paraId="3CD511EC">
      <w:pPr>
        <w:widowControl/>
        <w:adjustRightInd w:val="0"/>
        <w:snapToGrid w:val="0"/>
        <w:spacing w:line="360" w:lineRule="auto"/>
        <w:ind w:firstLine="480" w:firstLineChars="200"/>
        <w:jc w:val="left"/>
        <w:rPr>
          <w:kern w:val="0"/>
          <w:sz w:val="24"/>
          <w:lang w:bidi="en-US"/>
        </w:rPr>
      </w:pPr>
      <w:r>
        <w:rPr>
          <w:rFonts w:hint="eastAsia"/>
          <w:kern w:val="0"/>
          <w:sz w:val="24"/>
          <w:lang w:val="en-US" w:eastAsia="zh-CN" w:bidi="en-US"/>
        </w:rPr>
        <w:t>2.4</w:t>
      </w:r>
      <w:r>
        <w:rPr>
          <w:kern w:val="0"/>
          <w:sz w:val="24"/>
          <w:lang w:bidi="en-US"/>
        </w:rPr>
        <w:t>服务时间：</w:t>
      </w:r>
      <w:r>
        <w:rPr>
          <w:rFonts w:hint="eastAsia"/>
          <w:kern w:val="0"/>
          <w:sz w:val="24"/>
          <w:u w:val="single"/>
          <w:lang w:bidi="en-US"/>
        </w:rPr>
        <w:t>本招标项目的</w:t>
      </w:r>
      <w:r>
        <w:rPr>
          <w:rFonts w:hint="eastAsia"/>
          <w:kern w:val="0"/>
          <w:sz w:val="24"/>
          <w:u w:val="single"/>
          <w:lang w:val="en-US" w:eastAsia="zh-CN" w:bidi="en-US"/>
        </w:rPr>
        <w:t>合作</w:t>
      </w:r>
      <w:r>
        <w:rPr>
          <w:rFonts w:hint="eastAsia"/>
          <w:kern w:val="0"/>
          <w:sz w:val="24"/>
          <w:u w:val="single"/>
          <w:lang w:bidi="en-US"/>
        </w:rPr>
        <w:t>期限为自通知中标之日起至</w:t>
      </w:r>
      <w:r>
        <w:rPr>
          <w:rFonts w:hint="eastAsia"/>
          <w:kern w:val="0"/>
          <w:sz w:val="24"/>
          <w:u w:val="single"/>
          <w:lang w:val="en-US" w:eastAsia="zh-CN" w:bidi="en-US"/>
        </w:rPr>
        <w:t>本</w:t>
      </w:r>
      <w:r>
        <w:rPr>
          <w:rFonts w:hint="eastAsia"/>
          <w:kern w:val="0"/>
          <w:sz w:val="24"/>
          <w:u w:val="single"/>
          <w:lang w:bidi="en-US"/>
        </w:rPr>
        <w:t>检测项目全部完成并出具报告为止</w:t>
      </w:r>
      <w:r>
        <w:rPr>
          <w:rFonts w:hint="eastAsia"/>
          <w:kern w:val="0"/>
          <w:sz w:val="24"/>
          <w:lang w:bidi="en-US"/>
        </w:rPr>
        <w:t>。</w:t>
      </w:r>
    </w:p>
    <w:p w14:paraId="01456E34">
      <w:pPr>
        <w:widowControl/>
        <w:adjustRightInd w:val="0"/>
        <w:snapToGrid w:val="0"/>
        <w:spacing w:line="360" w:lineRule="auto"/>
        <w:ind w:firstLine="480" w:firstLineChars="200"/>
        <w:jc w:val="left"/>
        <w:rPr>
          <w:rFonts w:hint="default"/>
          <w:lang w:val="en-US" w:eastAsia="zh-CN"/>
        </w:rPr>
      </w:pPr>
      <w:r>
        <w:rPr>
          <w:rFonts w:hint="eastAsia" w:ascii="Times New Roman" w:hAnsi="Times New Roman" w:cs="Times New Roman"/>
          <w:kern w:val="0"/>
          <w:sz w:val="24"/>
          <w:lang w:val="en-US" w:eastAsia="zh-CN" w:bidi="en-US"/>
        </w:rPr>
        <w:t>2.5招标范围：</w:t>
      </w:r>
      <w:r>
        <w:rPr>
          <w:rFonts w:hint="eastAsia" w:ascii="Times New Roman" w:hAnsi="Times New Roman" w:cs="Times New Roman"/>
          <w:kern w:val="0"/>
          <w:sz w:val="24"/>
          <w:u w:val="single"/>
          <w:lang w:val="en-US" w:eastAsia="zh-CN" w:bidi="en-US"/>
        </w:rPr>
        <w:t>根据国家及行业要求，承担建设方及监理单位提出的工程项目检测服务工作，出具有效检测报告。检测项目包括但不限于见证取样检测、建筑材料检测、结构实体检测、主体结构工程检测、钢结构工程检测、建筑外窗检测、建筑节能保温检测、建筑幕墙检测、水暖材料检测、电气材料检测、综合布线系统检测、电源与接地检测、配电与照明检测、装饰装修材料检测、</w:t>
      </w:r>
      <w:r>
        <w:rPr>
          <w:rFonts w:hint="eastAsia" w:cs="Times New Roman"/>
          <w:kern w:val="0"/>
          <w:sz w:val="24"/>
          <w:u w:val="single"/>
          <w:lang w:val="en-US" w:eastAsia="zh-CN" w:bidi="en-US"/>
        </w:rPr>
        <w:t>厂区道路检测</w:t>
      </w:r>
      <w:r>
        <w:rPr>
          <w:rFonts w:hint="eastAsia" w:ascii="Times New Roman" w:hAnsi="Times New Roman" w:cs="Times New Roman"/>
          <w:kern w:val="0"/>
          <w:sz w:val="24"/>
          <w:u w:val="single"/>
          <w:lang w:val="en-US" w:eastAsia="zh-CN" w:bidi="en-US"/>
        </w:rPr>
        <w:t>、安全防护类检测、特殊设备类检测等。</w:t>
      </w:r>
      <w:r>
        <w:rPr>
          <w:rFonts w:hint="eastAsia" w:cs="Times New Roman"/>
          <w:kern w:val="0"/>
          <w:sz w:val="24"/>
          <w:u w:val="single"/>
          <w:lang w:val="en-US" w:eastAsia="zh-CN" w:bidi="en-US"/>
        </w:rPr>
        <w:t>具体详见招标清单。</w:t>
      </w:r>
    </w:p>
    <w:p w14:paraId="2B43502C">
      <w:pPr>
        <w:pStyle w:val="41"/>
        <w:widowControl/>
        <w:numPr>
          <w:ilvl w:val="1"/>
          <w:numId w:val="2"/>
        </w:numPr>
        <w:adjustRightInd w:val="0"/>
        <w:snapToGrid w:val="0"/>
        <w:spacing w:line="360" w:lineRule="auto"/>
        <w:ind w:left="0" w:firstLine="480" w:firstLineChars="0"/>
        <w:jc w:val="left"/>
        <w:rPr>
          <w:kern w:val="0"/>
          <w:sz w:val="24"/>
          <w:lang w:bidi="en-US"/>
        </w:rPr>
      </w:pPr>
      <w:r>
        <w:rPr>
          <w:kern w:val="0"/>
          <w:sz w:val="24"/>
          <w:lang w:bidi="en-US"/>
        </w:rPr>
        <w:t>本工程共分：</w:t>
      </w:r>
      <w:r>
        <w:rPr>
          <w:rFonts w:hint="eastAsia"/>
          <w:kern w:val="0"/>
          <w:sz w:val="24"/>
          <w:u w:val="single"/>
          <w:lang w:val="en-US" w:eastAsia="zh-CN" w:bidi="en-US"/>
        </w:rPr>
        <w:t>1</w:t>
      </w:r>
      <w:r>
        <w:rPr>
          <w:kern w:val="0"/>
          <w:sz w:val="24"/>
          <w:u w:val="single"/>
          <w:lang w:bidi="en-US"/>
        </w:rPr>
        <w:t>个标段</w:t>
      </w:r>
      <w:r>
        <w:rPr>
          <w:rFonts w:hint="eastAsia"/>
          <w:kern w:val="0"/>
          <w:sz w:val="24"/>
          <w:highlight w:val="none"/>
          <w:u w:val="single"/>
          <w:lang w:bidi="en-US"/>
        </w:rPr>
        <w:t>，最终选取1家中标单位</w:t>
      </w:r>
      <w:r>
        <w:rPr>
          <w:kern w:val="0"/>
          <w:sz w:val="24"/>
          <w:highlight w:val="none"/>
          <w:lang w:bidi="en-US"/>
        </w:rPr>
        <w:t>。</w:t>
      </w:r>
    </w:p>
    <w:p w14:paraId="5542403E">
      <w:pPr>
        <w:widowControl/>
        <w:adjustRightInd w:val="0"/>
        <w:snapToGrid w:val="0"/>
        <w:spacing w:line="360" w:lineRule="auto"/>
        <w:jc w:val="left"/>
        <w:rPr>
          <w:b/>
          <w:bCs/>
          <w:kern w:val="0"/>
          <w:sz w:val="24"/>
          <w:lang w:bidi="en-US"/>
        </w:rPr>
      </w:pPr>
      <w:r>
        <w:rPr>
          <w:b/>
          <w:bCs/>
          <w:kern w:val="0"/>
          <w:sz w:val="24"/>
          <w:lang w:bidi="en-US"/>
        </w:rPr>
        <w:t>3．投标人资格要求</w:t>
      </w:r>
    </w:p>
    <w:p w14:paraId="1C5745FC">
      <w:pPr>
        <w:pStyle w:val="41"/>
        <w:widowControl/>
        <w:adjustRightInd w:val="0"/>
        <w:snapToGrid w:val="0"/>
        <w:spacing w:line="360" w:lineRule="auto"/>
        <w:ind w:left="420" w:leftChars="200"/>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val="en-US" w:eastAsia="zh-CN" w:bidi="en-US"/>
        </w:rPr>
        <w:t>3.1</w:t>
      </w:r>
      <w:r>
        <w:rPr>
          <w:rFonts w:hint="eastAsia" w:ascii="Times New Roman" w:hAnsi="Times New Roman" w:eastAsia="宋体" w:cs="Times New Roman"/>
          <w:kern w:val="0"/>
          <w:sz w:val="24"/>
          <w:lang w:eastAsia="zh-CN" w:bidi="en-US"/>
        </w:rPr>
        <w:t xml:space="preserve"> 本次招标要求投标人具备：</w:t>
      </w:r>
    </w:p>
    <w:p w14:paraId="617BCCC2">
      <w:pPr>
        <w:pStyle w:val="4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（1）投标人必须是在中华人民共和国境内注册的独立法人机构，具有独立承担民事责任能力，注册资金不少于</w:t>
      </w:r>
      <w:r>
        <w:rPr>
          <w:rFonts w:hint="eastAsia" w:cs="Times New Roman"/>
          <w:kern w:val="0"/>
          <w:sz w:val="24"/>
          <w:lang w:val="en-US" w:eastAsia="zh-CN" w:bidi="en-US"/>
        </w:rPr>
        <w:t>3</w:t>
      </w:r>
      <w:r>
        <w:rPr>
          <w:rFonts w:hint="eastAsia" w:ascii="Times New Roman" w:hAnsi="Times New Roman" w:eastAsia="宋体" w:cs="Times New Roman"/>
          <w:kern w:val="0"/>
          <w:sz w:val="24"/>
          <w:lang w:eastAsia="zh-CN" w:bidi="en-US"/>
        </w:rPr>
        <w:t>00万人民币；</w:t>
      </w:r>
      <w:r>
        <w:rPr>
          <w:color w:val="auto"/>
          <w:kern w:val="0"/>
          <w:sz w:val="24"/>
          <w:szCs w:val="21"/>
          <w:highlight w:val="none"/>
          <w:lang w:bidi="en-US"/>
        </w:rPr>
        <w:t>公司成立三年以上（以营业执照成立日期到开标当日满三年为准）</w:t>
      </w:r>
      <w:r>
        <w:rPr>
          <w:kern w:val="0"/>
          <w:sz w:val="24"/>
          <w:szCs w:val="21"/>
          <w:lang w:bidi="en-US"/>
        </w:rPr>
        <w:t>；</w:t>
      </w:r>
      <w:r>
        <w:rPr>
          <w:rFonts w:hint="eastAsia" w:ascii="Times New Roman" w:hAnsi="Times New Roman" w:eastAsia="宋体" w:cs="Times New Roman"/>
          <w:kern w:val="0"/>
          <w:sz w:val="24"/>
          <w:lang w:eastAsia="zh-CN" w:bidi="en-US"/>
        </w:rPr>
        <w:t>并在人员、设备、资金等方面具有承担本项目的能力；</w:t>
      </w:r>
    </w:p>
    <w:p w14:paraId="052DC090">
      <w:pPr>
        <w:pStyle w:val="14"/>
        <w:spacing w:line="360" w:lineRule="auto"/>
        <w:rPr>
          <w:rFonts w:hint="eastAsia" w:ascii="Times New Roman" w:hAnsi="Times New Roman" w:eastAsia="宋体" w:cs="Times New Roman"/>
          <w:kern w:val="0"/>
          <w:sz w:val="24"/>
          <w:highlight w:val="none"/>
          <w:lang w:eastAsia="zh-CN" w:bidi="en-US"/>
        </w:rPr>
      </w:pPr>
      <w:r>
        <w:rPr>
          <w:rFonts w:hint="eastAsia" w:ascii="Times New Roman" w:hAnsi="Times New Roman" w:eastAsia="宋体" w:cs="Times New Roman"/>
          <w:kern w:val="0"/>
          <w:sz w:val="24"/>
          <w:lang w:eastAsia="zh-CN" w:bidi="en-US"/>
        </w:rPr>
        <w:t>（2）投标人资质要求：</w:t>
      </w:r>
      <w:r>
        <w:rPr>
          <w:rFonts w:hint="eastAsia" w:cs="Times New Roman"/>
          <w:kern w:val="0"/>
          <w:sz w:val="24"/>
          <w:highlight w:val="none"/>
          <w:lang w:val="en-US" w:eastAsia="zh-CN" w:bidi="en-US"/>
        </w:rPr>
        <w:t>检测机构符合</w:t>
      </w:r>
      <w:r>
        <w:rPr>
          <w:rFonts w:ascii="宋体" w:hAnsi="宋体" w:eastAsia="宋体" w:cs="宋体"/>
          <w:sz w:val="24"/>
          <w:szCs w:val="24"/>
          <w:highlight w:val="none"/>
        </w:rPr>
        <w:t>建质规〔2023〕1 号《建设工程质量检测机构资质标准》</w:t>
      </w:r>
      <w:r>
        <w:rPr>
          <w:rFonts w:hint="eastAsia" w:ascii="宋体" w:hAnsi="宋体" w:eastAsia="宋体" w:cs="宋体"/>
          <w:sz w:val="24"/>
          <w:szCs w:val="24"/>
          <w:highlight w:val="none"/>
          <w:lang w:val="en-US" w:eastAsia="zh-CN"/>
        </w:rPr>
        <w:t>的要求，</w:t>
      </w:r>
      <w:r>
        <w:rPr>
          <w:rFonts w:hint="eastAsia" w:ascii="Times New Roman" w:hAnsi="Times New Roman" w:eastAsia="宋体" w:cs="Times New Roman"/>
          <w:kern w:val="0"/>
          <w:sz w:val="24"/>
          <w:highlight w:val="none"/>
          <w:lang w:eastAsia="zh-CN" w:bidi="en-US"/>
        </w:rPr>
        <w:t>须同时具备以下资质：省（直辖市）及以上住房和城乡建设部门颁发的建筑工程质量检测机构资质证书（</w:t>
      </w:r>
      <w:r>
        <w:rPr>
          <w:rFonts w:hint="eastAsia" w:cs="Times New Roman"/>
          <w:kern w:val="0"/>
          <w:sz w:val="24"/>
          <w:highlight w:val="none"/>
          <w:lang w:val="en-US" w:eastAsia="zh-CN" w:bidi="en-US"/>
        </w:rPr>
        <w:t>要求同时具备：建筑材料及构配件、主体结构及装饰装修、钢结构、建筑节能</w:t>
      </w:r>
      <w:r>
        <w:rPr>
          <w:rFonts w:hint="eastAsia" w:ascii="Times New Roman" w:hAnsi="Times New Roman" w:eastAsia="宋体" w:cs="Times New Roman"/>
          <w:kern w:val="0"/>
          <w:sz w:val="24"/>
          <w:highlight w:val="none"/>
          <w:lang w:eastAsia="zh-CN" w:bidi="en-US"/>
        </w:rPr>
        <w:t>）；省（直辖市）及以上市场监督管理部门颁发的检验检测机构资质计量认定证书（CMA）。</w:t>
      </w:r>
    </w:p>
    <w:p w14:paraId="31B91613">
      <w:pPr>
        <w:pStyle w:val="41"/>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color w:val="auto"/>
          <w:kern w:val="0"/>
          <w:sz w:val="24"/>
          <w:highlight w:val="none"/>
          <w:lang w:eastAsia="zh-CN" w:bidi="en-US"/>
        </w:rPr>
      </w:pPr>
      <w:r>
        <w:rPr>
          <w:rFonts w:hint="eastAsia" w:ascii="Times New Roman" w:hAnsi="Times New Roman" w:eastAsia="宋体" w:cs="Times New Roman"/>
          <w:color w:val="auto"/>
          <w:kern w:val="0"/>
          <w:sz w:val="24"/>
          <w:highlight w:val="none"/>
          <w:lang w:eastAsia="zh-CN" w:bidi="en-US"/>
        </w:rPr>
        <w:t>业绩要求：自202</w:t>
      </w:r>
      <w:r>
        <w:rPr>
          <w:rFonts w:hint="eastAsia" w:cs="Times New Roman"/>
          <w:color w:val="auto"/>
          <w:kern w:val="0"/>
          <w:sz w:val="24"/>
          <w:highlight w:val="none"/>
          <w:lang w:val="en-US" w:eastAsia="zh-CN" w:bidi="en-US"/>
        </w:rPr>
        <w:t>3</w:t>
      </w:r>
      <w:r>
        <w:rPr>
          <w:rFonts w:hint="eastAsia" w:ascii="Times New Roman" w:hAnsi="Times New Roman" w:eastAsia="宋体" w:cs="Times New Roman"/>
          <w:color w:val="auto"/>
          <w:kern w:val="0"/>
          <w:sz w:val="24"/>
          <w:highlight w:val="none"/>
          <w:lang w:eastAsia="zh-CN" w:bidi="en-US"/>
        </w:rPr>
        <w:t>年</w:t>
      </w:r>
      <w:r>
        <w:rPr>
          <w:rFonts w:hint="eastAsia" w:cs="Times New Roman"/>
          <w:color w:val="auto"/>
          <w:kern w:val="0"/>
          <w:sz w:val="24"/>
          <w:highlight w:val="none"/>
          <w:lang w:val="en-US" w:eastAsia="zh-CN" w:bidi="en-US"/>
        </w:rPr>
        <w:t>10月1日</w:t>
      </w:r>
      <w:r>
        <w:rPr>
          <w:rFonts w:hint="eastAsia" w:ascii="Times New Roman" w:hAnsi="Times New Roman" w:eastAsia="宋体" w:cs="Times New Roman"/>
          <w:color w:val="auto"/>
          <w:kern w:val="0"/>
          <w:sz w:val="24"/>
          <w:highlight w:val="none"/>
          <w:lang w:eastAsia="zh-CN" w:bidi="en-US"/>
        </w:rPr>
        <w:t>至今（以合同签订时间为准）具有</w:t>
      </w:r>
      <w:r>
        <w:rPr>
          <w:rFonts w:hint="eastAsia" w:cs="Times New Roman"/>
          <w:color w:val="auto"/>
          <w:kern w:val="0"/>
          <w:sz w:val="24"/>
          <w:highlight w:val="none"/>
          <w:lang w:val="en-US" w:eastAsia="zh-CN" w:bidi="en-US"/>
        </w:rPr>
        <w:t>至少3份</w:t>
      </w:r>
      <w:r>
        <w:rPr>
          <w:rFonts w:hint="eastAsia" w:ascii="Times New Roman" w:hAnsi="Times New Roman" w:eastAsia="宋体" w:cs="Times New Roman"/>
          <w:color w:val="auto"/>
          <w:kern w:val="0"/>
          <w:sz w:val="24"/>
          <w:highlight w:val="none"/>
          <w:lang w:eastAsia="zh-CN" w:bidi="en-US"/>
        </w:rPr>
        <w:t>单项合同额</w:t>
      </w:r>
      <w:r>
        <w:rPr>
          <w:rFonts w:hint="eastAsia" w:cs="Times New Roman"/>
          <w:color w:val="auto"/>
          <w:kern w:val="0"/>
          <w:sz w:val="24"/>
          <w:highlight w:val="none"/>
          <w:lang w:val="en-US" w:eastAsia="zh-CN" w:bidi="en-US"/>
        </w:rPr>
        <w:t>30</w:t>
      </w:r>
      <w:r>
        <w:rPr>
          <w:rFonts w:hint="eastAsia" w:ascii="Times New Roman" w:hAnsi="Times New Roman" w:eastAsia="宋体" w:cs="Times New Roman"/>
          <w:color w:val="auto"/>
          <w:kern w:val="0"/>
          <w:sz w:val="24"/>
          <w:highlight w:val="none"/>
          <w:lang w:eastAsia="zh-CN" w:bidi="en-US"/>
        </w:rPr>
        <w:t>万元</w:t>
      </w:r>
      <w:r>
        <w:rPr>
          <w:rFonts w:hint="eastAsia" w:cs="Times New Roman"/>
          <w:color w:val="auto"/>
          <w:kern w:val="0"/>
          <w:sz w:val="24"/>
          <w:highlight w:val="none"/>
          <w:lang w:eastAsia="zh-CN" w:bidi="en-US"/>
        </w:rPr>
        <w:t>（</w:t>
      </w:r>
      <w:r>
        <w:rPr>
          <w:rFonts w:hint="eastAsia" w:cs="Times New Roman"/>
          <w:color w:val="auto"/>
          <w:kern w:val="0"/>
          <w:sz w:val="24"/>
          <w:highlight w:val="none"/>
          <w:lang w:val="en-US" w:eastAsia="zh-CN" w:bidi="en-US"/>
        </w:rPr>
        <w:t>地基检测除外</w:t>
      </w:r>
      <w:r>
        <w:rPr>
          <w:rFonts w:hint="eastAsia" w:cs="Times New Roman"/>
          <w:color w:val="auto"/>
          <w:kern w:val="0"/>
          <w:sz w:val="24"/>
          <w:highlight w:val="none"/>
          <w:lang w:eastAsia="zh-CN" w:bidi="en-US"/>
        </w:rPr>
        <w:t>）</w:t>
      </w:r>
      <w:r>
        <w:rPr>
          <w:rFonts w:hint="eastAsia" w:ascii="Times New Roman" w:hAnsi="Times New Roman" w:eastAsia="宋体" w:cs="Times New Roman"/>
          <w:color w:val="auto"/>
          <w:kern w:val="0"/>
          <w:sz w:val="24"/>
          <w:highlight w:val="none"/>
          <w:lang w:eastAsia="zh-CN" w:bidi="en-US"/>
        </w:rPr>
        <w:t>及以上或单项合同建筑面积</w:t>
      </w:r>
      <w:r>
        <w:rPr>
          <w:rFonts w:hint="eastAsia" w:cs="Times New Roman"/>
          <w:color w:val="auto"/>
          <w:kern w:val="0"/>
          <w:sz w:val="24"/>
          <w:highlight w:val="none"/>
          <w:lang w:val="en-US" w:eastAsia="zh-CN" w:bidi="en-US"/>
        </w:rPr>
        <w:t>5</w:t>
      </w:r>
      <w:r>
        <w:rPr>
          <w:rFonts w:hint="eastAsia" w:ascii="Times New Roman" w:hAnsi="Times New Roman" w:eastAsia="宋体" w:cs="Times New Roman"/>
          <w:color w:val="auto"/>
          <w:kern w:val="0"/>
          <w:sz w:val="24"/>
          <w:highlight w:val="none"/>
          <w:lang w:eastAsia="zh-CN" w:bidi="en-US"/>
        </w:rPr>
        <w:t>万平方米及以上的房屋建筑工程检测类似项目业绩（类似项目业绩指的是招标范围内的检测内容）。</w:t>
      </w:r>
    </w:p>
    <w:p w14:paraId="7C112FDE">
      <w:pPr>
        <w:pStyle w:val="4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（4）单位负责人为同一人或者存在控股、管理关系的不同投标人，不得同时报名参加本次招标活动，否则须另提供上级单位对本项目投标的唯一授权。</w:t>
      </w:r>
    </w:p>
    <w:p w14:paraId="02207E11">
      <w:pPr>
        <w:pStyle w:val="4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w:t>
      </w:r>
      <w:r>
        <w:rPr>
          <w:rFonts w:hint="eastAsia" w:ascii="Times New Roman" w:hAnsi="Times New Roman" w:eastAsia="宋体" w:cs="Times New Roman"/>
          <w:kern w:val="0"/>
          <w:sz w:val="24"/>
          <w:lang w:val="en-US" w:eastAsia="zh-CN" w:bidi="en-US"/>
        </w:rPr>
        <w:t>5</w:t>
      </w:r>
      <w:r>
        <w:rPr>
          <w:rFonts w:hint="eastAsia" w:ascii="Times New Roman" w:hAnsi="Times New Roman" w:eastAsia="宋体" w:cs="Times New Roman"/>
          <w:kern w:val="0"/>
          <w:sz w:val="24"/>
          <w:lang w:eastAsia="zh-CN" w:bidi="en-US"/>
        </w:rPr>
        <w:t>）财务要求：近三年财务状况良好（近三年指202</w:t>
      </w:r>
      <w:r>
        <w:rPr>
          <w:rFonts w:hint="eastAsia" w:cs="Times New Roman"/>
          <w:kern w:val="0"/>
          <w:sz w:val="24"/>
          <w:lang w:val="en-US" w:eastAsia="zh-CN" w:bidi="en-US"/>
        </w:rPr>
        <w:t>3</w:t>
      </w:r>
      <w:r>
        <w:rPr>
          <w:rFonts w:hint="eastAsia" w:ascii="Times New Roman" w:hAnsi="Times New Roman" w:eastAsia="宋体" w:cs="Times New Roman"/>
          <w:kern w:val="0"/>
          <w:sz w:val="24"/>
          <w:lang w:eastAsia="zh-CN" w:bidi="en-US"/>
        </w:rPr>
        <w:t>、202</w:t>
      </w:r>
      <w:r>
        <w:rPr>
          <w:rFonts w:hint="eastAsia" w:cs="Times New Roman"/>
          <w:kern w:val="0"/>
          <w:sz w:val="24"/>
          <w:lang w:val="en-US" w:eastAsia="zh-CN" w:bidi="en-US"/>
        </w:rPr>
        <w:t>4</w:t>
      </w:r>
      <w:r>
        <w:rPr>
          <w:rFonts w:hint="eastAsia" w:ascii="Times New Roman" w:hAnsi="Times New Roman" w:eastAsia="宋体" w:cs="Times New Roman"/>
          <w:kern w:val="0"/>
          <w:sz w:val="24"/>
          <w:lang w:eastAsia="zh-CN" w:bidi="en-US"/>
        </w:rPr>
        <w:t>、202</w:t>
      </w:r>
      <w:r>
        <w:rPr>
          <w:rFonts w:hint="eastAsia" w:cs="Times New Roman"/>
          <w:kern w:val="0"/>
          <w:sz w:val="24"/>
          <w:lang w:val="en-US" w:eastAsia="zh-CN" w:bidi="en-US"/>
        </w:rPr>
        <w:t>5</w:t>
      </w:r>
      <w:r>
        <w:rPr>
          <w:rFonts w:hint="eastAsia" w:ascii="Times New Roman" w:hAnsi="Times New Roman" w:eastAsia="宋体" w:cs="Times New Roman"/>
          <w:kern w:val="0"/>
          <w:sz w:val="24"/>
          <w:lang w:eastAsia="zh-CN" w:bidi="en-US"/>
        </w:rPr>
        <w:t>年）；要求包含企业最近半年完税证明、信用证明材料（中国人民银行征信报告）、年度纳税信用评价信息、企业对外担保说明。</w:t>
      </w:r>
    </w:p>
    <w:p w14:paraId="74557A53">
      <w:pPr>
        <w:pStyle w:val="4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w:t>
      </w:r>
      <w:r>
        <w:rPr>
          <w:rFonts w:hint="eastAsia" w:ascii="Times New Roman" w:hAnsi="Times New Roman" w:eastAsia="宋体" w:cs="Times New Roman"/>
          <w:kern w:val="0"/>
          <w:sz w:val="24"/>
          <w:lang w:val="en-US" w:eastAsia="zh-CN" w:bidi="en-US"/>
        </w:rPr>
        <w:t>6</w:t>
      </w:r>
      <w:r>
        <w:rPr>
          <w:rFonts w:hint="eastAsia" w:ascii="Times New Roman" w:hAnsi="Times New Roman" w:eastAsia="宋体" w:cs="Times New Roman"/>
          <w:kern w:val="0"/>
          <w:sz w:val="24"/>
          <w:lang w:eastAsia="zh-CN" w:bidi="en-US"/>
        </w:rPr>
        <w:t>）信誉要求：近三年企业信誉良好，无严重不良行为记录（近三年指202</w:t>
      </w:r>
      <w:r>
        <w:rPr>
          <w:rFonts w:hint="eastAsia" w:cs="Times New Roman"/>
          <w:kern w:val="0"/>
          <w:sz w:val="24"/>
          <w:lang w:val="en-US" w:eastAsia="zh-CN" w:bidi="en-US"/>
        </w:rPr>
        <w:t>3</w:t>
      </w:r>
      <w:r>
        <w:rPr>
          <w:rFonts w:hint="eastAsia" w:ascii="Times New Roman" w:hAnsi="Times New Roman" w:eastAsia="宋体" w:cs="Times New Roman"/>
          <w:kern w:val="0"/>
          <w:sz w:val="24"/>
          <w:lang w:eastAsia="zh-CN" w:bidi="en-US"/>
        </w:rPr>
        <w:t>年</w:t>
      </w:r>
      <w:r>
        <w:rPr>
          <w:rFonts w:hint="eastAsia" w:cs="Times New Roman"/>
          <w:kern w:val="0"/>
          <w:sz w:val="24"/>
          <w:lang w:val="en-US" w:eastAsia="zh-CN" w:bidi="en-US"/>
        </w:rPr>
        <w:t>10</w:t>
      </w:r>
      <w:r>
        <w:rPr>
          <w:rFonts w:hint="eastAsia" w:ascii="Times New Roman" w:hAnsi="Times New Roman" w:eastAsia="宋体" w:cs="Times New Roman"/>
          <w:kern w:val="0"/>
          <w:sz w:val="24"/>
          <w:lang w:eastAsia="zh-CN" w:bidi="en-US"/>
        </w:rPr>
        <w:t>月1日至今）。无与项目有关的行政处罚及失信记录等信息，在经营活动中无与本项目有关的违法及重大违规情况，无招标违规、谎报年度报告信息、提供虚假资质资料等行为或其他行政处罚记录。</w:t>
      </w:r>
    </w:p>
    <w:p w14:paraId="1E59BF36">
      <w:pPr>
        <w:pStyle w:val="41"/>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color w:val="auto"/>
          <w:kern w:val="0"/>
          <w:sz w:val="24"/>
          <w:lang w:eastAsia="zh-CN" w:bidi="en-US"/>
        </w:rPr>
      </w:pPr>
      <w:r>
        <w:rPr>
          <w:rFonts w:hint="eastAsia"/>
          <w:color w:val="auto"/>
          <w:sz w:val="24"/>
          <w:lang w:eastAsia="zh-CN" w:bidi="ar"/>
        </w:rPr>
        <w:t>（</w:t>
      </w:r>
      <w:r>
        <w:rPr>
          <w:rFonts w:hint="eastAsia"/>
          <w:color w:val="auto"/>
          <w:sz w:val="24"/>
          <w:lang w:val="en-US" w:eastAsia="zh-CN" w:bidi="ar"/>
        </w:rPr>
        <w:t>7</w:t>
      </w:r>
      <w:r>
        <w:rPr>
          <w:rFonts w:hint="eastAsia"/>
          <w:color w:val="auto"/>
          <w:sz w:val="24"/>
          <w:lang w:eastAsia="zh-CN" w:bidi="ar"/>
        </w:rPr>
        <w:t>）</w:t>
      </w:r>
      <w:r>
        <w:rPr>
          <w:color w:val="auto"/>
          <w:sz w:val="24"/>
          <w:lang w:bidi="ar"/>
        </w:rPr>
        <w:t>单位负责人为同一人、存在直接/间接</w:t>
      </w:r>
      <w:r>
        <w:rPr>
          <w:color w:val="auto"/>
          <w:kern w:val="0"/>
          <w:sz w:val="24"/>
          <w:szCs w:val="21"/>
          <w:lang w:bidi="en-US"/>
        </w:rPr>
        <w:t>控股</w:t>
      </w:r>
      <w:r>
        <w:rPr>
          <w:color w:val="auto"/>
          <w:sz w:val="24"/>
          <w:lang w:bidi="ar"/>
        </w:rPr>
        <w:t>、管理关系、实际控制关系（含一致行动、股权代持、协议控制、亲属控制）的不同投标人，不得同时报名参加本次招标活动；</w:t>
      </w:r>
    </w:p>
    <w:p w14:paraId="67BD62D3">
      <w:pPr>
        <w:pStyle w:val="41"/>
        <w:widowControl/>
        <w:adjustRightInd w:val="0"/>
        <w:snapToGrid w:val="0"/>
        <w:spacing w:line="360" w:lineRule="auto"/>
        <w:ind w:left="0" w:firstLine="480" w:firstLineChars="200"/>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w:t>
      </w:r>
      <w:r>
        <w:rPr>
          <w:rFonts w:hint="eastAsia" w:cs="Times New Roman"/>
          <w:kern w:val="0"/>
          <w:sz w:val="24"/>
          <w:lang w:val="en-US" w:eastAsia="zh-CN" w:bidi="en-US"/>
        </w:rPr>
        <w:t>8</w:t>
      </w:r>
      <w:r>
        <w:rPr>
          <w:rFonts w:hint="eastAsia" w:ascii="Times New Roman" w:hAnsi="Times New Roman" w:eastAsia="宋体" w:cs="Times New Roman"/>
          <w:kern w:val="0"/>
          <w:sz w:val="24"/>
          <w:lang w:eastAsia="zh-CN" w:bidi="en-US"/>
        </w:rPr>
        <w:t>）供方的直接或间接股东、法定代表人、董事、监事、高管非重汽员工及其亲属。</w:t>
      </w:r>
    </w:p>
    <w:p w14:paraId="011696A5">
      <w:pPr>
        <w:pStyle w:val="41"/>
        <w:widowControl/>
        <w:adjustRightInd w:val="0"/>
        <w:snapToGrid w:val="0"/>
        <w:spacing w:line="360" w:lineRule="auto"/>
        <w:ind w:left="0" w:firstLine="480" w:firstLineChars="200"/>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w:t>
      </w:r>
      <w:r>
        <w:rPr>
          <w:rFonts w:hint="eastAsia" w:cs="Times New Roman"/>
          <w:kern w:val="0"/>
          <w:sz w:val="24"/>
          <w:lang w:val="en-US" w:eastAsia="zh-CN" w:bidi="en-US"/>
        </w:rPr>
        <w:t>9</w:t>
      </w:r>
      <w:r>
        <w:rPr>
          <w:rFonts w:hint="eastAsia" w:ascii="Times New Roman" w:hAnsi="Times New Roman" w:eastAsia="宋体" w:cs="Times New Roman"/>
          <w:kern w:val="0"/>
          <w:sz w:val="24"/>
          <w:lang w:eastAsia="zh-CN" w:bidi="en-US"/>
        </w:rPr>
        <w:t>）没有被我公司列入黑名单。</w:t>
      </w:r>
    </w:p>
    <w:p w14:paraId="19D8F0C8">
      <w:pPr>
        <w:pStyle w:val="41"/>
        <w:widowControl/>
        <w:adjustRightInd w:val="0"/>
        <w:snapToGrid w:val="0"/>
        <w:spacing w:line="360" w:lineRule="auto"/>
        <w:ind w:left="0" w:firstLine="480" w:firstLineChars="200"/>
        <w:rPr>
          <w:rFonts w:hint="eastAsia" w:ascii="Times New Roman" w:hAnsi="Times New Roman" w:eastAsia="宋体" w:cs="Times New Roman"/>
          <w:kern w:val="0"/>
          <w:sz w:val="24"/>
          <w:highlight w:val="none"/>
          <w:lang w:eastAsia="zh-CN" w:bidi="en-US"/>
        </w:rPr>
      </w:pPr>
      <w:r>
        <w:rPr>
          <w:rFonts w:hint="eastAsia" w:ascii="Times New Roman" w:hAnsi="Times New Roman" w:eastAsia="宋体" w:cs="Times New Roman"/>
          <w:kern w:val="0"/>
          <w:sz w:val="24"/>
          <w:highlight w:val="none"/>
          <w:lang w:eastAsia="zh-CN" w:bidi="en-US"/>
        </w:rPr>
        <w:t>（</w:t>
      </w:r>
      <w:r>
        <w:rPr>
          <w:rFonts w:hint="eastAsia" w:cs="Times New Roman"/>
          <w:kern w:val="0"/>
          <w:sz w:val="24"/>
          <w:highlight w:val="none"/>
          <w:lang w:val="en-US" w:eastAsia="zh-CN" w:bidi="en-US"/>
        </w:rPr>
        <w:t>10</w:t>
      </w:r>
      <w:r>
        <w:rPr>
          <w:rFonts w:hint="eastAsia" w:ascii="Times New Roman" w:hAnsi="Times New Roman" w:eastAsia="宋体" w:cs="Times New Roman"/>
          <w:kern w:val="0"/>
          <w:sz w:val="24"/>
          <w:highlight w:val="none"/>
          <w:lang w:eastAsia="zh-CN" w:bidi="en-US"/>
        </w:rPr>
        <w:t>）本项目</w:t>
      </w:r>
      <w:r>
        <w:rPr>
          <w:rFonts w:hint="eastAsia" w:cs="Times New Roman"/>
          <w:b/>
          <w:bCs/>
          <w:kern w:val="0"/>
          <w:sz w:val="24"/>
          <w:highlight w:val="yellow"/>
          <w:lang w:val="en-US" w:eastAsia="zh-CN" w:bidi="en-US"/>
        </w:rPr>
        <w:t>不接受</w:t>
      </w:r>
      <w:r>
        <w:rPr>
          <w:rFonts w:hint="eastAsia" w:ascii="Times New Roman" w:hAnsi="Times New Roman" w:eastAsia="宋体" w:cs="Times New Roman"/>
          <w:kern w:val="0"/>
          <w:sz w:val="24"/>
          <w:highlight w:val="yellow"/>
          <w:lang w:eastAsia="zh-CN" w:bidi="en-US"/>
        </w:rPr>
        <w:t>联合体投标</w:t>
      </w:r>
      <w:r>
        <w:rPr>
          <w:rFonts w:hint="eastAsia" w:ascii="Times New Roman" w:hAnsi="Times New Roman" w:eastAsia="宋体" w:cs="Times New Roman"/>
          <w:kern w:val="0"/>
          <w:sz w:val="24"/>
          <w:highlight w:val="none"/>
          <w:lang w:eastAsia="zh-CN" w:bidi="en-US"/>
        </w:rPr>
        <w:t>。</w:t>
      </w:r>
    </w:p>
    <w:p w14:paraId="38B50FC6">
      <w:pPr>
        <w:pStyle w:val="41"/>
        <w:widowControl/>
        <w:adjustRightInd w:val="0"/>
        <w:snapToGrid w:val="0"/>
        <w:spacing w:line="360" w:lineRule="auto"/>
        <w:ind w:left="0" w:firstLine="480" w:firstLineChars="200"/>
        <w:rPr>
          <w:rFonts w:hint="eastAsia" w:ascii="Times New Roman" w:hAnsi="Times New Roman" w:eastAsia="宋体" w:cs="Times New Roman"/>
          <w:kern w:val="0"/>
          <w:sz w:val="24"/>
          <w:lang w:eastAsia="zh-CN" w:bidi="en-US"/>
        </w:rPr>
      </w:pPr>
      <w:r>
        <w:rPr>
          <w:rFonts w:hint="eastAsia" w:ascii="Times New Roman" w:hAnsi="Times New Roman" w:eastAsia="宋体" w:cs="Times New Roman"/>
          <w:kern w:val="0"/>
          <w:sz w:val="24"/>
          <w:lang w:eastAsia="zh-CN" w:bidi="en-US"/>
        </w:rPr>
        <w:t>（</w:t>
      </w:r>
      <w:r>
        <w:rPr>
          <w:rFonts w:hint="eastAsia" w:cs="Times New Roman"/>
          <w:kern w:val="0"/>
          <w:sz w:val="24"/>
          <w:lang w:val="en-US" w:eastAsia="zh-CN" w:bidi="en-US"/>
        </w:rPr>
        <w:t>11</w:t>
      </w:r>
      <w:r>
        <w:rPr>
          <w:rFonts w:hint="eastAsia" w:ascii="Times New Roman" w:hAnsi="Times New Roman" w:eastAsia="宋体" w:cs="Times New Roman"/>
          <w:kern w:val="0"/>
          <w:sz w:val="24"/>
          <w:lang w:eastAsia="zh-CN" w:bidi="en-US"/>
        </w:rPr>
        <w:t>）法律法规对合格投标人的其他要求、规定。</w:t>
      </w:r>
    </w:p>
    <w:p w14:paraId="5D4903E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cs="宋体"/>
          <w:b/>
          <w:bCs/>
          <w:kern w:val="0"/>
          <w:sz w:val="24"/>
          <w:lang w:bidi="en-US"/>
        </w:rPr>
      </w:pPr>
      <w:r>
        <w:rPr>
          <w:rFonts w:hint="eastAsia" w:ascii="宋体" w:hAnsi="宋体" w:cs="宋体"/>
          <w:b/>
          <w:bCs/>
          <w:kern w:val="0"/>
          <w:sz w:val="24"/>
          <w:lang w:bidi="en-US"/>
        </w:rPr>
        <w:t>4．报名及招标文件的获取</w:t>
      </w:r>
    </w:p>
    <w:p w14:paraId="029B8E10">
      <w:pPr>
        <w:pStyle w:val="71"/>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color w:val="C00000"/>
          <w:sz w:val="24"/>
          <w:szCs w:val="24"/>
          <w:highlight w:val="none"/>
          <w:em w:val="dot"/>
          <w:lang w:val="en-US" w:eastAsia="zh-CN"/>
        </w:rPr>
      </w:pPr>
      <w:r>
        <w:rPr>
          <w:rFonts w:hint="eastAsia" w:ascii="宋体" w:hAnsi="宋体" w:eastAsia="宋体" w:cs="宋体"/>
          <w:b/>
          <w:bCs/>
          <w:color w:val="C00000"/>
          <w:sz w:val="24"/>
          <w:szCs w:val="24"/>
          <w:highlight w:val="none"/>
          <w:em w:val="dot"/>
          <w:lang w:val="en-US" w:eastAsia="zh-CN"/>
        </w:rPr>
        <w:t>4.1供应商注册</w:t>
      </w:r>
      <w:r>
        <w:rPr>
          <w:rFonts w:hint="eastAsia" w:hAnsi="宋体" w:cs="宋体"/>
          <w:b/>
          <w:bCs/>
          <w:color w:val="C00000"/>
          <w:sz w:val="24"/>
          <w:szCs w:val="24"/>
          <w:highlight w:val="none"/>
          <w:em w:val="dot"/>
          <w:lang w:val="en-US" w:eastAsia="zh-CN"/>
        </w:rPr>
        <w:t>（新供应商及3个月内未登录过e采通系统的已注册供应商请仔细阅读以下说明，并尽早提交注册资料）</w:t>
      </w:r>
    </w:p>
    <w:p w14:paraId="7D8DF6F7">
      <w:pPr>
        <w:pStyle w:val="71"/>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jc w:val="both"/>
        <w:textAlignment w:val="auto"/>
        <w:rPr>
          <w:rFonts w:hint="default" w:ascii="宋体" w:hAnsi="宋体" w:eastAsia="宋体" w:cs="宋体"/>
          <w:sz w:val="24"/>
          <w:szCs w:val="24"/>
          <w:lang w:val="en-US" w:eastAsia="zh-CN"/>
        </w:rPr>
      </w:pPr>
      <w:r>
        <w:rPr>
          <w:rFonts w:ascii="宋体" w:hAnsi="宋体" w:eastAsia="宋体" w:cs="宋体"/>
          <w:b/>
          <w:bCs/>
          <w:sz w:val="24"/>
          <w:szCs w:val="24"/>
        </w:rPr>
        <w:t>首次注册供应商</w:t>
      </w:r>
      <w:r>
        <w:rPr>
          <w:rFonts w:ascii="宋体" w:hAnsi="宋体" w:eastAsia="宋体" w:cs="宋体"/>
          <w:sz w:val="24"/>
          <w:szCs w:val="24"/>
        </w:rPr>
        <w:t>：请根据《SRM非生产供应商注册手册》完成平台账号注册</w:t>
      </w:r>
      <w:r>
        <w:rPr>
          <w:rFonts w:hint="eastAsia" w:hAnsi="宋体" w:cs="宋体"/>
          <w:sz w:val="24"/>
          <w:szCs w:val="24"/>
          <w:lang w:eastAsia="zh-CN"/>
        </w:rPr>
        <w:t>，</w:t>
      </w:r>
      <w:r>
        <w:rPr>
          <w:rFonts w:hint="eastAsia" w:hAnsi="宋体" w:cs="宋体"/>
          <w:sz w:val="24"/>
          <w:szCs w:val="24"/>
          <w:lang w:val="en-US" w:eastAsia="zh-CN"/>
        </w:rPr>
        <w:t>因审核需要3-5天，请及时提交注册资料，资料不合格的将在e采通驳回，需要修改后重新提交审批，直至所有审批人全部审核通过方为注册成功</w:t>
      </w:r>
      <w:r>
        <w:rPr>
          <w:rFonts w:hint="eastAsia" w:hAnsi="宋体" w:cs="宋体"/>
          <w:sz w:val="24"/>
          <w:szCs w:val="24"/>
          <w:lang w:eastAsia="zh-CN"/>
        </w:rPr>
        <w:t>，</w:t>
      </w:r>
      <w:r>
        <w:rPr>
          <w:rFonts w:hint="eastAsia" w:hAnsi="宋体" w:cs="宋体"/>
          <w:sz w:val="24"/>
          <w:szCs w:val="24"/>
          <w:lang w:val="en-US" w:eastAsia="zh-CN"/>
        </w:rPr>
        <w:t>账号注册不成功的将无法投标。</w:t>
      </w:r>
    </w:p>
    <w:p w14:paraId="03A733F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请按照本公告附件《非生产供应商注册操作手册》及e采通首页《供应商用户手册》提示</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完成</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平台注册（网址：https://ecaitong.sinotruk.com:8012/#/login）</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，注册时，供应商属性选择【非生产】、</w:t>
      </w:r>
      <w:r>
        <w:rPr>
          <w:rStyle w:val="36"/>
          <w:rFonts w:hint="eastAsia" w:ascii="宋体" w:hAnsi="宋体" w:eastAsia="宋体" w:cs="宋体"/>
          <w:color w:val="auto"/>
          <w:sz w:val="24"/>
          <w:szCs w:val="24"/>
          <w:highlight w:val="none"/>
          <w:u w:val="none"/>
        </w:rPr>
        <w:t>业务主管部门选择</w:t>
      </w:r>
      <w:r>
        <w:rPr>
          <w:rStyle w:val="36"/>
          <w:rFonts w:hint="eastAsia" w:ascii="宋体" w:hAnsi="宋体" w:eastAsia="宋体" w:cs="宋体"/>
          <w:color w:val="auto"/>
          <w:sz w:val="24"/>
          <w:szCs w:val="24"/>
          <w:highlight w:val="none"/>
          <w:u w:val="none"/>
          <w:lang w:eastAsia="zh-CN"/>
        </w:rPr>
        <w:t>【</w:t>
      </w:r>
      <w:r>
        <w:rPr>
          <w:rStyle w:val="36"/>
          <w:rFonts w:hint="eastAsia" w:ascii="宋体" w:hAnsi="宋体" w:eastAsia="宋体" w:cs="宋体"/>
          <w:color w:val="auto"/>
          <w:sz w:val="24"/>
          <w:szCs w:val="24"/>
          <w:highlight w:val="none"/>
          <w:u w:val="none"/>
        </w:rPr>
        <w:t>技术改造部</w:t>
      </w:r>
      <w:r>
        <w:rPr>
          <w:rStyle w:val="36"/>
          <w:rFonts w:hint="eastAsia" w:ascii="宋体" w:hAnsi="宋体" w:eastAsia="宋体" w:cs="宋体"/>
          <w:color w:val="auto"/>
          <w:sz w:val="24"/>
          <w:szCs w:val="24"/>
          <w:highlight w:val="none"/>
          <w:u w:val="none"/>
          <w:lang w:eastAsia="zh-CN"/>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管理单位</w:t>
      </w:r>
      <w:r>
        <w:rPr>
          <w:rFonts w:hint="eastAsia" w:ascii="宋体" w:hAnsi="宋体" w:eastAsia="宋体" w:cs="宋体"/>
          <w:bCs/>
          <w:color w:val="000000" w:themeColor="text1"/>
          <w:sz w:val="24"/>
          <w:szCs w:val="24"/>
          <w:lang w:val="en-US" w:eastAsia="zh-CN"/>
          <w14:textFill>
            <w14:solidFill>
              <w14:schemeClr w14:val="tx1"/>
            </w14:solidFill>
          </w14:textFill>
        </w:rPr>
        <w:t>选择【直管单位】、意向配套单位选择【直管单位】；采购形式编号见</w:t>
      </w:r>
      <w:r>
        <w:rPr>
          <w:rFonts w:hint="eastAsia" w:ascii="宋体" w:hAnsi="宋体" w:cs="宋体"/>
          <w:bCs/>
          <w:color w:val="000000" w:themeColor="text1"/>
          <w:sz w:val="24"/>
          <w:szCs w:val="24"/>
          <w:lang w:val="en-US" w:eastAsia="zh-CN"/>
          <w14:textFill>
            <w14:solidFill>
              <w14:schemeClr w14:val="tx1"/>
            </w14:solidFill>
          </w14:textFill>
        </w:rPr>
        <w:t>首页招标</w:t>
      </w:r>
      <w:r>
        <w:rPr>
          <w:rFonts w:hint="eastAsia" w:ascii="宋体" w:hAnsi="宋体" w:eastAsia="宋体" w:cs="宋体"/>
          <w:bCs/>
          <w:color w:val="000000" w:themeColor="text1"/>
          <w:sz w:val="24"/>
          <w:szCs w:val="24"/>
          <w:lang w:val="en-US" w:eastAsia="zh-CN"/>
          <w14:textFill>
            <w14:solidFill>
              <w14:schemeClr w14:val="tx1"/>
            </w14:solidFill>
          </w14:textFill>
        </w:rPr>
        <w:t>编号；经营概况“是否提供”原则上选择【能提供】，近三年财务数据为必填项，要求如实填写；配套能力的供货类别选择【工程建设-建设工程】或</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eastAsia="宋体" w:cs="宋体"/>
          <w:bCs/>
          <w:color w:val="000000" w:themeColor="text1"/>
          <w:sz w:val="24"/>
          <w:szCs w:val="24"/>
          <w:lang w:val="en-US" w:eastAsia="zh-CN"/>
          <w14:textFill>
            <w14:solidFill>
              <w14:schemeClr w14:val="tx1"/>
            </w14:solidFill>
          </w14:textFill>
        </w:rPr>
        <w:t>工程建设-环评安评</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eastAsia="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lang w:val="en-US" w:eastAsia="zh-CN"/>
          <w14:textFill>
            <w14:solidFill>
              <w14:schemeClr w14:val="tx1"/>
            </w14:solidFill>
          </w14:textFill>
        </w:rPr>
        <w:t>应标时是否代理商选【否】；近三年</w:t>
      </w:r>
      <w:r>
        <w:rPr>
          <w:rFonts w:hint="eastAsia" w:ascii="宋体" w:hAnsi="宋体" w:eastAsia="宋体" w:cs="宋体"/>
          <w:bCs/>
          <w:color w:val="000000" w:themeColor="text1"/>
          <w:sz w:val="24"/>
          <w:szCs w:val="24"/>
          <w:lang w:val="en-US" w:eastAsia="zh-CN"/>
          <w14:textFill>
            <w14:solidFill>
              <w14:schemeClr w14:val="tx1"/>
            </w14:solidFill>
          </w14:textFill>
        </w:rPr>
        <w:t>财务状况为必填项，</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账号信息不允许有任何空格且必须填写对公账号</w:t>
      </w:r>
      <w:r>
        <w:rPr>
          <w:rFonts w:hint="eastAsia" w:ascii="宋体" w:hAnsi="宋体" w:eastAsia="宋体" w:cs="宋体"/>
          <w:bCs/>
          <w:color w:val="000000" w:themeColor="text1"/>
          <w:sz w:val="24"/>
          <w:szCs w:val="24"/>
          <w:lang w:val="en-US" w:eastAsia="zh-CN"/>
          <w14:textFill>
            <w14:solidFill>
              <w14:schemeClr w14:val="tx1"/>
            </w14:solidFill>
          </w14:textFill>
        </w:rPr>
        <w:t>（不按要求填写的将影响投标保证金退还）。</w:t>
      </w:r>
    </w:p>
    <w:p w14:paraId="74FC8861">
      <w:pPr>
        <w:pStyle w:val="71"/>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hAnsi="宋体" w:cs="宋体"/>
          <w:sz w:val="24"/>
          <w:szCs w:val="24"/>
          <w:lang w:eastAsia="zh-CN"/>
        </w:rPr>
      </w:pPr>
      <w:r>
        <w:rPr>
          <w:rFonts w:ascii="宋体" w:hAnsi="宋体" w:eastAsia="宋体" w:cs="宋体"/>
          <w:b/>
          <w:bCs/>
          <w:sz w:val="24"/>
          <w:szCs w:val="24"/>
        </w:rPr>
        <w:t>已注册供应商</w:t>
      </w:r>
      <w:r>
        <w:rPr>
          <w:rFonts w:ascii="宋体" w:hAnsi="宋体" w:eastAsia="宋体" w:cs="宋体"/>
          <w:sz w:val="24"/>
          <w:szCs w:val="24"/>
        </w:rPr>
        <w:t>：请登录系统核对系统中</w:t>
      </w:r>
      <w:r>
        <w:rPr>
          <w:rFonts w:ascii="宋体" w:hAnsi="宋体" w:eastAsia="宋体" w:cs="宋体"/>
          <w:sz w:val="24"/>
          <w:szCs w:val="24"/>
          <w:highlight w:val="none"/>
        </w:rPr>
        <w:t>202</w:t>
      </w: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-202</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年度财务数据</w:t>
      </w:r>
      <w:r>
        <w:rPr>
          <w:rFonts w:ascii="宋体" w:hAnsi="宋体" w:eastAsia="宋体" w:cs="宋体"/>
          <w:sz w:val="24"/>
          <w:szCs w:val="24"/>
        </w:rPr>
        <w:t>。如尚未填写或信息不全，请参照《SRM非生产供应商注册手册》及时进行补充与更新，确保信息真实、完整。因供应商信息不全或错误导致的报名不成功，由投标人自行承担</w:t>
      </w:r>
      <w:r>
        <w:rPr>
          <w:rFonts w:hint="eastAsia" w:hAnsi="宋体" w:cs="宋体"/>
          <w:sz w:val="24"/>
          <w:szCs w:val="24"/>
          <w:lang w:eastAsia="zh-CN"/>
        </w:rPr>
        <w:t>。</w:t>
      </w:r>
    </w:p>
    <w:p w14:paraId="4BFF95DA">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宋体" w:cs="宋体"/>
          <w:b/>
          <w:bCs/>
          <w:sz w:val="24"/>
          <w:highlight w:val="none"/>
          <w:lang w:bidi="ar"/>
        </w:rPr>
      </w:pPr>
      <w:r>
        <w:rPr>
          <w:rFonts w:hint="eastAsia" w:ascii="宋体" w:cs="宋体"/>
          <w:b/>
          <w:bCs/>
          <w:sz w:val="24"/>
          <w:highlight w:val="none"/>
          <w:lang w:bidi="ar"/>
        </w:rPr>
        <w:t>注意：</w:t>
      </w:r>
      <w:r>
        <w:rPr>
          <w:rFonts w:hint="eastAsia" w:ascii="宋体" w:cs="宋体"/>
          <w:b/>
          <w:bCs/>
          <w:color w:val="auto"/>
          <w:sz w:val="24"/>
          <w:highlight w:val="none"/>
          <w:lang w:bidi="ar"/>
        </w:rPr>
        <w:t>数据依据为报名单位提供的</w:t>
      </w:r>
      <w:r>
        <w:rPr>
          <w:rFonts w:hint="eastAsia" w:ascii="宋体" w:cs="宋体"/>
          <w:b/>
          <w:bCs/>
          <w:color w:val="C00000"/>
          <w:sz w:val="24"/>
          <w:highlight w:val="yellow"/>
          <w:em w:val="dot"/>
          <w:lang w:bidi="ar"/>
        </w:rPr>
        <w:t>近三年</w:t>
      </w:r>
      <w:r>
        <w:rPr>
          <w:rFonts w:hint="eastAsia" w:ascii="宋体" w:cs="宋体"/>
          <w:b/>
          <w:bCs/>
          <w:color w:val="C00000"/>
          <w:sz w:val="24"/>
          <w:highlight w:val="yellow"/>
          <w:em w:val="dot"/>
          <w:lang w:val="en-US" w:eastAsia="zh-CN" w:bidi="ar"/>
        </w:rPr>
        <w:t>（2023-2025年）</w:t>
      </w:r>
      <w:r>
        <w:rPr>
          <w:rFonts w:hint="eastAsia" w:ascii="宋体" w:cs="宋体"/>
          <w:b/>
          <w:bCs/>
          <w:color w:val="C00000"/>
          <w:sz w:val="24"/>
          <w:highlight w:val="yellow"/>
          <w:em w:val="dot"/>
          <w:lang w:bidi="ar"/>
        </w:rPr>
        <w:t>财务审计报告数据</w:t>
      </w:r>
      <w:r>
        <w:rPr>
          <w:rFonts w:hint="eastAsia" w:ascii="宋体" w:cs="宋体"/>
          <w:b/>
          <w:bCs/>
          <w:color w:val="auto"/>
          <w:sz w:val="24"/>
          <w:highlight w:val="none"/>
          <w:lang w:bidi="ar"/>
        </w:rPr>
        <w:t>，各报名单位务必确</w:t>
      </w:r>
      <w:r>
        <w:rPr>
          <w:rFonts w:hint="eastAsia" w:ascii="宋体" w:cs="宋体"/>
          <w:b/>
          <w:bCs/>
          <w:sz w:val="24"/>
          <w:highlight w:val="none"/>
          <w:lang w:bidi="ar"/>
        </w:rPr>
        <w:t>保数据真实及填写格式准确，如有不实之处一经核实将取消报名资格，</w:t>
      </w:r>
      <w:r>
        <w:rPr>
          <w:rFonts w:hint="eastAsia" w:ascii="宋体" w:cs="宋体"/>
          <w:b/>
          <w:bCs/>
          <w:color w:val="C00000"/>
          <w:sz w:val="24"/>
          <w:highlight w:val="none"/>
          <w:em w:val="dot"/>
          <w:lang w:bidi="ar"/>
        </w:rPr>
        <w:t>e采通</w:t>
      </w:r>
      <w:r>
        <w:rPr>
          <w:rFonts w:hint="eastAsia" w:ascii="宋体" w:cs="宋体"/>
          <w:b/>
          <w:bCs/>
          <w:color w:val="C00000"/>
          <w:sz w:val="24"/>
          <w:highlight w:val="none"/>
          <w:em w:val="dot"/>
          <w:lang w:val="en-US" w:eastAsia="zh-CN" w:bidi="ar"/>
        </w:rPr>
        <w:t>系统内没有财务数据或未更新到2025年</w:t>
      </w:r>
      <w:r>
        <w:rPr>
          <w:rFonts w:hint="eastAsia" w:ascii="宋体" w:cs="宋体"/>
          <w:b/>
          <w:bCs/>
          <w:color w:val="C00000"/>
          <w:sz w:val="24"/>
          <w:highlight w:val="none"/>
          <w:em w:val="dot"/>
          <w:lang w:bidi="ar"/>
        </w:rPr>
        <w:t>财务数据的，请</w:t>
      </w:r>
      <w:r>
        <w:rPr>
          <w:rFonts w:hint="eastAsia" w:ascii="宋体" w:cs="宋体"/>
          <w:b/>
          <w:bCs/>
          <w:color w:val="C00000"/>
          <w:sz w:val="24"/>
          <w:highlight w:val="none"/>
          <w:em w:val="dot"/>
          <w:lang w:val="en-US" w:eastAsia="zh-CN" w:bidi="ar"/>
        </w:rPr>
        <w:t>先更新</w:t>
      </w:r>
      <w:r>
        <w:rPr>
          <w:rFonts w:hint="eastAsia" w:ascii="宋体" w:cs="宋体"/>
          <w:b/>
          <w:bCs/>
          <w:color w:val="C00000"/>
          <w:sz w:val="24"/>
          <w:highlight w:val="none"/>
          <w:em w:val="dot"/>
          <w:lang w:bidi="ar"/>
        </w:rPr>
        <w:t>补充资料</w:t>
      </w:r>
      <w:r>
        <w:rPr>
          <w:rFonts w:hint="eastAsia" w:ascii="宋体" w:cs="宋体"/>
          <w:b/>
          <w:bCs/>
          <w:color w:val="C00000"/>
          <w:sz w:val="24"/>
          <w:highlight w:val="none"/>
          <w:em w:val="dot"/>
          <w:lang w:val="en-US" w:eastAsia="zh-CN" w:bidi="ar"/>
        </w:rPr>
        <w:t>再提交应标资料</w:t>
      </w:r>
      <w:r>
        <w:rPr>
          <w:rFonts w:hint="eastAsia" w:ascii="宋体" w:cs="宋体"/>
          <w:b/>
          <w:bCs/>
          <w:color w:val="C00000"/>
          <w:sz w:val="24"/>
          <w:highlight w:val="none"/>
          <w:em w:val="dot"/>
          <w:lang w:bidi="ar"/>
        </w:rPr>
        <w:t>，</w:t>
      </w:r>
      <w:r>
        <w:rPr>
          <w:rFonts w:hint="eastAsia" w:ascii="宋体" w:cs="宋体"/>
          <w:b/>
          <w:bCs/>
          <w:color w:val="C00000"/>
          <w:sz w:val="24"/>
          <w:highlight w:val="none"/>
          <w:em w:val="dot"/>
          <w:lang w:val="en-US" w:eastAsia="zh-CN" w:bidi="ar"/>
        </w:rPr>
        <w:t>否则</w:t>
      </w:r>
      <w:r>
        <w:rPr>
          <w:rFonts w:hint="eastAsia" w:ascii="宋体" w:cs="宋体"/>
          <w:b/>
          <w:bCs/>
          <w:color w:val="C00000"/>
          <w:sz w:val="24"/>
          <w:highlight w:val="none"/>
          <w:em w:val="dot"/>
          <w:lang w:bidi="ar"/>
        </w:rPr>
        <w:t>应标资料</w:t>
      </w:r>
      <w:r>
        <w:rPr>
          <w:rFonts w:hint="eastAsia" w:ascii="宋体" w:cs="宋体"/>
          <w:b/>
          <w:bCs/>
          <w:color w:val="C00000"/>
          <w:sz w:val="24"/>
          <w:highlight w:val="none"/>
          <w:em w:val="dot"/>
          <w:lang w:val="en-US" w:eastAsia="zh-CN" w:bidi="ar"/>
        </w:rPr>
        <w:t>不合格</w:t>
      </w:r>
      <w:r>
        <w:rPr>
          <w:rFonts w:hint="eastAsia" w:ascii="宋体" w:cs="宋体"/>
          <w:b/>
          <w:bCs/>
          <w:color w:val="C00000"/>
          <w:sz w:val="24"/>
          <w:highlight w:val="none"/>
          <w:em w:val="dot"/>
          <w:lang w:bidi="ar"/>
        </w:rPr>
        <w:t>并无法参加投标</w:t>
      </w:r>
      <w:r>
        <w:rPr>
          <w:rFonts w:hint="eastAsia" w:ascii="宋体" w:cs="宋体"/>
          <w:b/>
          <w:bCs/>
          <w:sz w:val="24"/>
          <w:highlight w:val="none"/>
          <w:lang w:bidi="ar"/>
        </w:rPr>
        <w:t>，详见后附说明。</w:t>
      </w:r>
    </w:p>
    <w:p w14:paraId="62087CF4">
      <w:pPr>
        <w:keepNext w:val="0"/>
        <w:keepLines w:val="0"/>
        <w:numPr>
          <w:ilvl w:val="0"/>
          <w:numId w:val="0"/>
        </w:numPr>
        <w:suppressLineNumbers w:val="0"/>
        <w:snapToGrid w:val="0"/>
        <w:spacing w:before="0" w:beforeAutospacing="0" w:after="0" w:afterAutospacing="0" w:line="360" w:lineRule="auto"/>
        <w:ind w:left="0" w:right="0" w:rightChars="0"/>
        <w:rPr>
          <w:rFonts w:hint="eastAsia" w:ascii="宋体" w:hAnsi="宋体" w:eastAsia="宋体" w:cs="宋体"/>
          <w:sz w:val="21"/>
          <w:szCs w:val="21"/>
        </w:rPr>
      </w:pPr>
    </w:p>
    <w:p w14:paraId="3D5FBBA4">
      <w:pPr>
        <w:pStyle w:val="2"/>
        <w:ind w:left="0" w:leftChars="0" w:firstLine="0" w:firstLineChars="0"/>
        <w:rPr>
          <w:rFonts w:hint="eastAsia" w:eastAsia="宋体"/>
          <w:lang w:val="en-US" w:eastAsia="zh-CN"/>
        </w:rPr>
      </w:pPr>
      <w:r>
        <w:rPr>
          <w:rFonts w:hint="eastAsia" w:ascii="宋体" w:hAnsi="宋体" w:cs="宋体"/>
          <w:sz w:val="21"/>
          <w:szCs w:val="21"/>
          <w:lang w:val="en-US" w:eastAsia="zh-CN"/>
        </w:rPr>
        <w:t>提示：</w:t>
      </w:r>
    </w:p>
    <w:p w14:paraId="72DB38FA">
      <w:pPr>
        <w:pStyle w:val="71"/>
        <w:keepNext w:val="0"/>
        <w:keepLines w:val="0"/>
        <w:pageBreakBefore w:val="0"/>
        <w:widowControl w:val="0"/>
        <w:numPr>
          <w:ilvl w:val="0"/>
          <w:numId w:val="0"/>
        </w:numPr>
        <w:kinsoku/>
        <w:wordWrap/>
        <w:overflowPunct/>
        <w:topLinePunct w:val="0"/>
        <w:autoSpaceDE/>
        <w:autoSpaceDN/>
        <w:bidi w:val="0"/>
        <w:adjustRightInd/>
        <w:snapToGrid/>
        <w:ind w:firstLine="440" w:firstLineChars="200"/>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注册成功</w:t>
      </w:r>
      <w:r>
        <w:rPr>
          <w:rFonts w:hint="eastAsia" w:ascii="宋体" w:hAnsi="宋体" w:eastAsia="宋体" w:cs="宋体"/>
          <w:sz w:val="22"/>
          <w:szCs w:val="22"/>
          <w:lang w:val="en-US" w:eastAsia="zh-CN"/>
        </w:rPr>
        <w:t>后会</w:t>
      </w:r>
      <w:r>
        <w:rPr>
          <w:rFonts w:hint="eastAsia" w:ascii="宋体" w:hAnsi="宋体" w:eastAsia="宋体" w:cs="宋体"/>
          <w:sz w:val="22"/>
          <w:szCs w:val="22"/>
        </w:rPr>
        <w:t>收到短信</w:t>
      </w:r>
      <w:r>
        <w:rPr>
          <w:rFonts w:hint="eastAsia" w:ascii="宋体" w:hAnsi="宋体" w:eastAsia="宋体" w:cs="宋体"/>
          <w:sz w:val="22"/>
          <w:szCs w:val="22"/>
          <w:lang w:val="en-US" w:eastAsia="zh-CN"/>
        </w:rPr>
        <w:t>通知</w:t>
      </w:r>
      <w:r>
        <w:rPr>
          <w:rFonts w:hint="eastAsia" w:ascii="宋体" w:hAnsi="宋体" w:eastAsia="宋体" w:cs="宋体"/>
          <w:sz w:val="22"/>
          <w:szCs w:val="22"/>
        </w:rPr>
        <w:t>，</w:t>
      </w:r>
      <w:r>
        <w:rPr>
          <w:rFonts w:hint="eastAsia" w:ascii="宋体" w:hAnsi="宋体" w:eastAsia="宋体" w:cs="宋体"/>
          <w:sz w:val="22"/>
          <w:szCs w:val="22"/>
          <w:lang w:val="en-US" w:eastAsia="zh-CN"/>
        </w:rPr>
        <w:t>用收到的</w:t>
      </w:r>
      <w:r>
        <w:rPr>
          <w:rFonts w:hint="eastAsia" w:ascii="宋体" w:hAnsi="宋体" w:eastAsia="宋体" w:cs="宋体"/>
          <w:sz w:val="22"/>
          <w:szCs w:val="22"/>
        </w:rPr>
        <w:t>供应商账号和密码</w:t>
      </w:r>
      <w:r>
        <w:rPr>
          <w:rFonts w:hint="eastAsia" w:ascii="宋体" w:hAnsi="宋体" w:eastAsia="宋体" w:cs="宋体"/>
          <w:sz w:val="22"/>
          <w:szCs w:val="22"/>
          <w:lang w:val="en-US" w:eastAsia="zh-CN"/>
        </w:rPr>
        <w:t>登录，请牢记。</w:t>
      </w:r>
      <w:r>
        <w:rPr>
          <w:rFonts w:hint="eastAsia" w:ascii="宋体" w:hAnsi="宋体" w:eastAsia="宋体" w:cs="宋体"/>
          <w:color w:val="FF0000"/>
          <w:sz w:val="22"/>
          <w:szCs w:val="22"/>
          <w:lang w:val="en-US" w:eastAsia="zh-CN"/>
        </w:rPr>
        <w:t>已注册过账号密码丢失的或提示用户已失效的，用注册时预留的手机号登录，点击忘记密码，自行重置新密码。</w:t>
      </w:r>
      <w:r>
        <w:rPr>
          <w:rFonts w:hint="eastAsia" w:ascii="宋体" w:hAnsi="宋体" w:eastAsia="宋体" w:cs="宋体"/>
          <w:sz w:val="22"/>
          <w:szCs w:val="22"/>
          <w:lang w:val="en-US" w:eastAsia="zh-CN"/>
        </w:rPr>
        <w:t>修改密码验证手机号时提示“您输入的账号或手机号错误”请联系招标人协调解决。</w:t>
      </w:r>
    </w:p>
    <w:p w14:paraId="077740D5">
      <w:pPr>
        <w:pStyle w:val="71"/>
        <w:keepNext w:val="0"/>
        <w:keepLines w:val="0"/>
        <w:pageBreakBefore w:val="0"/>
        <w:widowControl w:val="0"/>
        <w:numPr>
          <w:ilvl w:val="0"/>
          <w:numId w:val="0"/>
        </w:numPr>
        <w:kinsoku/>
        <w:wordWrap/>
        <w:overflowPunct/>
        <w:topLinePunct w:val="0"/>
        <w:autoSpaceDE/>
        <w:autoSpaceDN/>
        <w:bidi w:val="0"/>
        <w:adjustRightInd/>
        <w:snapToGrid/>
        <w:ind w:firstLine="440" w:firstLineChars="200"/>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投标单位名称带有括号的，应确保括号的样式（区分英文或汉字输入法）与银行预留的、e采通注册的完全一致，不一致的请自行在e采通中修改，否则影响后续退保证金及付款。</w:t>
      </w:r>
    </w:p>
    <w:p w14:paraId="6204FC6F">
      <w:pPr>
        <w:pStyle w:val="71"/>
        <w:keepNext w:val="0"/>
        <w:keepLines w:val="0"/>
        <w:pageBreakBefore w:val="0"/>
        <w:widowControl w:val="0"/>
        <w:numPr>
          <w:ilvl w:val="0"/>
          <w:numId w:val="0"/>
        </w:numPr>
        <w:kinsoku/>
        <w:wordWrap/>
        <w:overflowPunct/>
        <w:topLinePunct w:val="0"/>
        <w:autoSpaceDE/>
        <w:autoSpaceDN/>
        <w:bidi w:val="0"/>
        <w:adjustRightInd/>
        <w:snapToGrid/>
        <w:ind w:firstLine="440" w:firstLineChars="200"/>
        <w:jc w:val="both"/>
        <w:textAlignment w:val="auto"/>
        <w:rPr>
          <w:rFonts w:hint="eastAsia" w:ascii="宋体" w:hAnsi="宋体" w:eastAsia="宋体" w:cs="宋体"/>
          <w:sz w:val="22"/>
          <w:szCs w:val="22"/>
          <w:lang w:val="en-US" w:eastAsia="zh-CN"/>
        </w:rPr>
      </w:pPr>
      <w:bookmarkStart w:id="7" w:name="_Hlk161833507"/>
      <w:r>
        <w:rPr>
          <w:rFonts w:hint="eastAsia" w:ascii="宋体" w:hAnsi="宋体" w:eastAsia="宋体" w:cs="宋体"/>
          <w:sz w:val="22"/>
          <w:szCs w:val="22"/>
          <w:lang w:val="en-US" w:eastAsia="zh-CN"/>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bookmarkEnd w:id="7"/>
    </w:p>
    <w:p w14:paraId="427C9F0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宋体" w:eastAsia="宋体" w:cs="宋体"/>
          <w:b/>
          <w:bCs/>
          <w:color w:val="C00000"/>
          <w:sz w:val="24"/>
          <w:szCs w:val="24"/>
          <w:highlight w:val="none"/>
          <w:em w:val="dot"/>
          <w:lang w:val="en-US" w:eastAsia="zh-CN"/>
        </w:rPr>
      </w:pPr>
      <w:r>
        <w:rPr>
          <w:rFonts w:ascii="宋体" w:hAnsi="宋体" w:eastAsia="宋体" w:cs="宋体"/>
          <w:sz w:val="24"/>
          <w:szCs w:val="24"/>
        </w:rPr>
        <w:br w:type="textWrapping"/>
      </w:r>
      <w:r>
        <w:rPr>
          <w:rFonts w:hint="eastAsia" w:ascii="宋体" w:hAnsi="宋体" w:eastAsia="宋体" w:cs="宋体"/>
          <w:b/>
          <w:bCs/>
          <w:sz w:val="24"/>
          <w:szCs w:val="24"/>
          <w:lang w:val="en-US" w:eastAsia="zh-CN"/>
        </w:rPr>
        <w:t>4.2供应商报名</w:t>
      </w:r>
      <w:r>
        <w:rPr>
          <w:rFonts w:hint="eastAsia" w:hAnsi="宋体" w:cs="宋体"/>
          <w:b/>
          <w:bCs/>
          <w:sz w:val="24"/>
          <w:szCs w:val="24"/>
          <w:highlight w:val="none"/>
          <w:lang w:val="en-US" w:eastAsia="zh-CN"/>
        </w:rPr>
        <w:t>（应标资料需要多个部门审核，</w:t>
      </w:r>
      <w:r>
        <w:rPr>
          <w:rFonts w:hint="eastAsia" w:hAnsi="宋体" w:cs="宋体"/>
          <w:b/>
          <w:bCs/>
          <w:color w:val="C00000"/>
          <w:sz w:val="24"/>
          <w:szCs w:val="24"/>
          <w:highlight w:val="none"/>
          <w:em w:val="dot"/>
          <w:lang w:val="en-US" w:eastAsia="zh-CN"/>
        </w:rPr>
        <w:t>应标截止时间前全部审核通过</w:t>
      </w:r>
      <w:r>
        <w:rPr>
          <w:rFonts w:hint="eastAsia" w:hAnsi="宋体" w:cs="宋体"/>
          <w:b/>
          <w:bCs/>
          <w:color w:val="C00000"/>
          <w:sz w:val="24"/>
          <w:szCs w:val="24"/>
          <w:highlight w:val="none"/>
          <w:lang w:val="en-US" w:eastAsia="zh-CN"/>
        </w:rPr>
        <w:t>方为报名成功</w:t>
      </w:r>
      <w:r>
        <w:rPr>
          <w:rFonts w:hint="eastAsia" w:hAnsi="宋体" w:cs="宋体"/>
          <w:b/>
          <w:bCs/>
          <w:sz w:val="24"/>
          <w:szCs w:val="24"/>
          <w:highlight w:val="none"/>
          <w:lang w:val="en-US" w:eastAsia="zh-CN"/>
        </w:rPr>
        <w:t>，</w:t>
      </w:r>
      <w:r>
        <w:rPr>
          <w:rFonts w:hint="eastAsia" w:ascii="Times New Roman" w:hAnsi="宋体" w:eastAsia="宋体" w:cs="宋体"/>
          <w:b/>
          <w:bCs/>
          <w:color w:val="C00000"/>
          <w:sz w:val="24"/>
          <w:szCs w:val="24"/>
          <w:highlight w:val="none"/>
          <w:em w:val="dot"/>
          <w:lang w:val="en-US" w:eastAsia="zh-CN"/>
        </w:rPr>
        <w:t>报名成功方可参加投标。提交应标资料后请及时查看审批进度，资料不合格退回的需要修改后重新提交审核，未及时整改重新提交的，应标截止时间后将无法再次上传或修改应标文件</w:t>
      </w:r>
      <w:r>
        <w:rPr>
          <w:rFonts w:hint="eastAsia" w:hAnsi="宋体" w:eastAsia="宋体" w:cs="宋体"/>
          <w:b/>
          <w:bCs/>
          <w:sz w:val="24"/>
          <w:szCs w:val="24"/>
          <w:highlight w:val="none"/>
          <w:lang w:val="en-US" w:eastAsia="zh-CN"/>
        </w:rPr>
        <w:t>）</w:t>
      </w:r>
    </w:p>
    <w:p w14:paraId="6662551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cs="宋体"/>
          <w:b/>
          <w:bCs/>
          <w:color w:val="FF0000"/>
          <w:sz w:val="24"/>
          <w:szCs w:val="24"/>
          <w:lang w:bidi="ar"/>
        </w:rPr>
      </w:pPr>
      <w:r>
        <w:rPr>
          <w:rFonts w:hint="eastAsia" w:ascii="宋体" w:cs="宋体"/>
          <w:sz w:val="24"/>
          <w:szCs w:val="24"/>
          <w:lang w:bidi="ar"/>
        </w:rPr>
        <w:t>凡有意参加投标者，请最晚于</w:t>
      </w:r>
      <w:r>
        <w:rPr>
          <w:rFonts w:hint="eastAsia" w:ascii="宋体" w:cs="宋体"/>
          <w:sz w:val="24"/>
          <w:szCs w:val="24"/>
          <w:highlight w:val="none"/>
          <w:lang w:bidi="ar"/>
        </w:rPr>
        <w:t>202</w:t>
      </w:r>
      <w:r>
        <w:rPr>
          <w:rFonts w:hint="eastAsia" w:ascii="宋体" w:cs="宋体"/>
          <w:sz w:val="24"/>
          <w:szCs w:val="24"/>
          <w:highlight w:val="none"/>
          <w:lang w:val="en-US" w:eastAsia="zh-CN" w:bidi="ar"/>
        </w:rPr>
        <w:t>6</w:t>
      </w:r>
      <w:r>
        <w:rPr>
          <w:rFonts w:hint="eastAsia" w:ascii="宋体" w:cs="宋体"/>
          <w:sz w:val="24"/>
          <w:szCs w:val="24"/>
          <w:highlight w:val="none"/>
          <w:lang w:bidi="ar"/>
        </w:rPr>
        <w:t>年</w:t>
      </w:r>
      <w:r>
        <w:rPr>
          <w:rFonts w:hint="eastAsia" w:ascii="宋体" w:cs="宋体"/>
          <w:sz w:val="24"/>
          <w:szCs w:val="24"/>
          <w:highlight w:val="none"/>
          <w:lang w:val="en-US" w:eastAsia="zh-CN" w:bidi="ar"/>
        </w:rPr>
        <w:t>10</w:t>
      </w:r>
      <w:r>
        <w:rPr>
          <w:rFonts w:hint="eastAsia" w:ascii="宋体" w:cs="宋体"/>
          <w:sz w:val="24"/>
          <w:szCs w:val="24"/>
          <w:highlight w:val="none"/>
          <w:lang w:bidi="ar"/>
        </w:rPr>
        <w:t>月</w:t>
      </w:r>
      <w:r>
        <w:rPr>
          <w:rFonts w:hint="eastAsia" w:ascii="宋体" w:cs="宋体"/>
          <w:sz w:val="24"/>
          <w:szCs w:val="24"/>
          <w:highlight w:val="none"/>
          <w:lang w:val="en-US" w:eastAsia="zh-CN" w:bidi="ar"/>
        </w:rPr>
        <w:t>19</w:t>
      </w:r>
      <w:r>
        <w:rPr>
          <w:rFonts w:hint="eastAsia" w:ascii="宋体" w:cs="宋体"/>
          <w:sz w:val="24"/>
          <w:szCs w:val="24"/>
          <w:highlight w:val="none"/>
          <w:lang w:bidi="ar"/>
        </w:rPr>
        <w:t>日</w:t>
      </w:r>
      <w:r>
        <w:rPr>
          <w:rFonts w:hint="eastAsia" w:ascii="宋体" w:cs="宋体"/>
          <w:sz w:val="24"/>
          <w:szCs w:val="24"/>
          <w:highlight w:val="none"/>
          <w:lang w:val="en-US" w:eastAsia="zh-CN" w:bidi="ar"/>
        </w:rPr>
        <w:t>8:00</w:t>
      </w:r>
      <w:r>
        <w:rPr>
          <w:rFonts w:hint="eastAsia" w:ascii="宋体" w:cs="宋体"/>
          <w:sz w:val="24"/>
          <w:szCs w:val="24"/>
          <w:highlight w:val="none"/>
          <w:lang w:bidi="ar"/>
        </w:rPr>
        <w:t>到</w:t>
      </w:r>
      <w:r>
        <w:rPr>
          <w:rFonts w:hint="eastAsia" w:ascii="宋体" w:cs="宋体"/>
          <w:sz w:val="24"/>
          <w:szCs w:val="24"/>
          <w:highlight w:val="none"/>
          <w:lang w:val="en-US" w:eastAsia="zh-CN" w:bidi="ar"/>
        </w:rPr>
        <w:t>10</w:t>
      </w:r>
      <w:r>
        <w:rPr>
          <w:rFonts w:hint="eastAsia" w:ascii="宋体" w:cs="宋体"/>
          <w:sz w:val="24"/>
          <w:szCs w:val="24"/>
          <w:highlight w:val="none"/>
          <w:lang w:bidi="ar"/>
        </w:rPr>
        <w:t>月</w:t>
      </w:r>
      <w:r>
        <w:rPr>
          <w:rFonts w:hint="eastAsia" w:ascii="宋体" w:cs="宋体"/>
          <w:sz w:val="24"/>
          <w:szCs w:val="24"/>
          <w:highlight w:val="none"/>
          <w:lang w:val="en-US" w:eastAsia="zh-CN" w:bidi="ar"/>
        </w:rPr>
        <w:t>23</w:t>
      </w:r>
      <w:r>
        <w:rPr>
          <w:rFonts w:hint="eastAsia" w:ascii="宋体" w:cs="宋体"/>
          <w:sz w:val="24"/>
          <w:szCs w:val="24"/>
          <w:lang w:bidi="ar"/>
        </w:rPr>
        <w:t>日16:</w:t>
      </w:r>
      <w:r>
        <w:rPr>
          <w:rFonts w:hint="eastAsia" w:ascii="宋体" w:cs="宋体"/>
          <w:sz w:val="24"/>
          <w:szCs w:val="24"/>
          <w:lang w:val="en-US" w:eastAsia="zh-CN" w:bidi="ar"/>
        </w:rPr>
        <w:t>0</w:t>
      </w:r>
      <w:r>
        <w:rPr>
          <w:rFonts w:hint="eastAsia" w:ascii="宋体" w:cs="宋体"/>
          <w:sz w:val="24"/>
          <w:szCs w:val="24"/>
          <w:lang w:bidi="ar"/>
        </w:rPr>
        <w:t>0</w:t>
      </w:r>
      <w:r>
        <w:rPr>
          <w:rFonts w:hint="eastAsia" w:ascii="宋体" w:cs="宋体"/>
          <w:sz w:val="24"/>
          <w:szCs w:val="24"/>
          <w:lang w:val="en-US" w:eastAsia="zh-CN" w:bidi="ar"/>
        </w:rPr>
        <w:t>期间</w:t>
      </w:r>
      <w:r>
        <w:rPr>
          <w:rFonts w:hint="eastAsia" w:ascii="宋体" w:cs="宋体"/>
          <w:sz w:val="24"/>
          <w:szCs w:val="24"/>
          <w:lang w:bidi="ar"/>
        </w:rPr>
        <w:t>，按照</w:t>
      </w:r>
      <w:r>
        <w:rPr>
          <w:rFonts w:hint="eastAsia" w:ascii="宋体" w:cs="宋体"/>
          <w:sz w:val="24"/>
          <w:szCs w:val="24"/>
          <w:lang w:val="en-US" w:eastAsia="zh-CN" w:bidi="ar"/>
        </w:rPr>
        <w:t>以下</w:t>
      </w:r>
      <w:r>
        <w:rPr>
          <w:rFonts w:hint="eastAsia" w:ascii="宋体" w:cs="宋体"/>
          <w:sz w:val="24"/>
          <w:szCs w:val="24"/>
          <w:lang w:bidi="ar"/>
        </w:rPr>
        <w:t>顺序及所列项相关资料的</w:t>
      </w:r>
      <w:r>
        <w:rPr>
          <w:rFonts w:hint="eastAsia" w:ascii="宋体" w:eastAsia="宋体" w:cs="宋体"/>
          <w:b/>
          <w:bCs/>
          <w:color w:val="FF0000"/>
          <w:sz w:val="24"/>
          <w:szCs w:val="24"/>
          <w:highlight w:val="yellow"/>
          <w:lang w:bidi="ar"/>
        </w:rPr>
        <w:t>原件</w:t>
      </w:r>
      <w:r>
        <w:rPr>
          <w:rFonts w:hint="eastAsia" w:ascii="宋体" w:eastAsia="宋体" w:cs="宋体"/>
          <w:b/>
          <w:bCs/>
          <w:color w:val="FF0000"/>
          <w:sz w:val="24"/>
          <w:szCs w:val="24"/>
          <w:highlight w:val="yellow"/>
          <w:lang w:val="en-US" w:eastAsia="zh-CN" w:bidi="ar"/>
        </w:rPr>
        <w:t>的</w:t>
      </w:r>
      <w:r>
        <w:rPr>
          <w:rFonts w:hint="eastAsia" w:ascii="宋体" w:eastAsia="宋体" w:cs="宋体"/>
          <w:b/>
          <w:bCs/>
          <w:color w:val="FF0000"/>
          <w:sz w:val="24"/>
          <w:szCs w:val="24"/>
          <w:highlight w:val="yellow"/>
          <w:lang w:bidi="ar"/>
        </w:rPr>
        <w:t>扫描件</w:t>
      </w:r>
      <w:r>
        <w:rPr>
          <w:rFonts w:hint="eastAsia" w:ascii="宋体" w:cs="宋体"/>
          <w:color w:val="FF0000"/>
          <w:sz w:val="24"/>
          <w:szCs w:val="24"/>
          <w:lang w:bidi="ar"/>
        </w:rPr>
        <w:t>（</w:t>
      </w:r>
      <w:r>
        <w:rPr>
          <w:rFonts w:hint="eastAsia" w:ascii="宋体" w:cs="宋体"/>
          <w:b/>
          <w:bCs/>
          <w:color w:val="FF0000"/>
          <w:sz w:val="24"/>
          <w:szCs w:val="24"/>
          <w:lang w:bidi="ar"/>
        </w:rPr>
        <w:t>要求每一页原文件扫描在一页上，扫描文件必须清晰可辨否则影响报名的审核，扫描文件格式为pdf格式，禁止采用压缩文件格式或图片格式，所有扫描文件都集成到1个pdf文档</w:t>
      </w:r>
      <w:r>
        <w:rPr>
          <w:rFonts w:hint="eastAsia" w:ascii="宋体" w:cs="宋体"/>
          <w:color w:val="FF0000"/>
          <w:sz w:val="24"/>
          <w:szCs w:val="24"/>
          <w:lang w:bidi="ar"/>
        </w:rPr>
        <w:t>并设置目录，所有文件要求字体向上，不允许横向扫描）</w:t>
      </w:r>
      <w:r>
        <w:rPr>
          <w:rFonts w:hint="eastAsia" w:ascii="宋体" w:cs="宋体"/>
          <w:b/>
          <w:bCs/>
          <w:color w:val="FF0000"/>
          <w:sz w:val="24"/>
          <w:szCs w:val="24"/>
          <w:lang w:bidi="ar"/>
        </w:rPr>
        <w:t>。</w:t>
      </w:r>
    </w:p>
    <w:p w14:paraId="430C0E7D">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Theme="majorEastAsia" w:hAnsiTheme="majorEastAsia" w:eastAsiaTheme="majorEastAsia" w:cstheme="majorEastAsia"/>
          <w:color w:val="auto"/>
          <w:sz w:val="24"/>
          <w:szCs w:val="24"/>
          <w:lang w:val="en-US" w:eastAsia="zh-CN" w:bidi="ar"/>
        </w:rPr>
      </w:pPr>
      <w:r>
        <w:rPr>
          <w:rFonts w:hint="eastAsia" w:ascii="宋体" w:eastAsia="宋体" w:cs="宋体"/>
          <w:b/>
          <w:bCs/>
          <w:color w:val="FF0000"/>
          <w:sz w:val="24"/>
          <w:szCs w:val="24"/>
          <w:lang w:val="en-US" w:eastAsia="zh-CN" w:bidi="ar"/>
        </w:rPr>
        <w:t>根据招标人在中国重汽官网等公开媒体上发布的招标信息，在“中国重汽e采通”平台报名。</w:t>
      </w:r>
      <w:r>
        <w:rPr>
          <w:rFonts w:hint="eastAsia" w:asciiTheme="majorEastAsia" w:hAnsiTheme="majorEastAsia" w:eastAsiaTheme="majorEastAsia" w:cstheme="majorEastAsia"/>
          <w:color w:val="auto"/>
          <w:sz w:val="24"/>
          <w:szCs w:val="24"/>
          <w:lang w:val="en-US" w:eastAsia="zh-CN" w:bidi="ar"/>
        </w:rPr>
        <w:t>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应标通过即为报名成功；公示期间请尽快报名。</w:t>
      </w:r>
    </w:p>
    <w:p w14:paraId="5F7B98C2">
      <w:pPr>
        <w:widowControl/>
        <w:spacing w:line="360" w:lineRule="auto"/>
        <w:ind w:firstLine="480" w:firstLineChars="200"/>
        <w:rPr>
          <w:rFonts w:hint="eastAsia" w:ascii="Times New Roman" w:hAnsi="Times New Roman" w:cs="Times New Roman" w:eastAsiaTheme="minorHAnsi"/>
          <w:b/>
          <w:bCs/>
          <w:color w:val="C00000"/>
          <w:sz w:val="24"/>
          <w:szCs w:val="24"/>
          <w:lang w:val="en-US" w:eastAsia="zh-CN" w:bidi="ar"/>
        </w:rPr>
      </w:pPr>
      <w:r>
        <w:rPr>
          <w:rFonts w:hint="eastAsia" w:ascii="Times New Roman" w:hAnsi="Times New Roman" w:cs="Times New Roman" w:eastAsiaTheme="minorHAnsi"/>
          <w:b/>
          <w:bCs/>
          <w:color w:val="C00000"/>
          <w:sz w:val="24"/>
          <w:szCs w:val="24"/>
          <w:lang w:val="en-US" w:eastAsia="zh-CN" w:bidi="ar"/>
        </w:rPr>
        <w:t>应标资料不合格的会在系统被驳回，请及时查阅并补齐资料后重新提交审批，不能按时补充资料的视为自动放弃本次投标。</w:t>
      </w:r>
    </w:p>
    <w:p w14:paraId="76A2C8BB">
      <w:pPr>
        <w:widowControl/>
        <w:spacing w:line="360" w:lineRule="auto"/>
        <w:ind w:firstLine="480" w:firstLineChars="200"/>
        <w:rPr>
          <w:rFonts w:hint="eastAsia" w:ascii="Times New Roman" w:hAnsi="Times New Roman" w:cs="Times New Roman" w:eastAsiaTheme="minorHAnsi"/>
          <w:b/>
          <w:bCs/>
          <w:color w:val="auto"/>
          <w:sz w:val="24"/>
          <w:szCs w:val="24"/>
          <w:lang w:val="en-US" w:eastAsia="zh-CN" w:bidi="ar"/>
        </w:rPr>
      </w:pPr>
      <w:r>
        <w:rPr>
          <w:rFonts w:hint="eastAsia" w:ascii="Times New Roman" w:hAnsi="Times New Roman" w:cs="Times New Roman" w:eastAsiaTheme="minorHAnsi"/>
          <w:b/>
          <w:bCs/>
          <w:color w:val="auto"/>
          <w:sz w:val="24"/>
          <w:szCs w:val="24"/>
          <w:lang w:val="en-US" w:eastAsia="zh-CN" w:bidi="ar"/>
        </w:rPr>
        <w:t>请投标人确认中国重汽e采通系统中供应商信息完整、准确，因供应商信息不全或错误导致的报名不成功，由投标人自行承担。</w:t>
      </w:r>
    </w:p>
    <w:p w14:paraId="4E6B7E8B">
      <w:pPr>
        <w:pStyle w:val="38"/>
      </w:pPr>
    </w:p>
    <w:p w14:paraId="027A0CF3">
      <w:pPr>
        <w:widowControl/>
        <w:spacing w:line="360" w:lineRule="auto"/>
        <w:rPr>
          <w:rFonts w:hint="default"/>
          <w:b/>
          <w:kern w:val="0"/>
          <w:szCs w:val="21"/>
          <w:lang w:val="en-US" w:bidi="en-US"/>
        </w:rPr>
      </w:pPr>
      <w:r>
        <w:rPr>
          <w:rFonts w:hint="eastAsia" w:ascii="Times New Roman" w:hAnsi="Times New Roman" w:cs="Times New Roman" w:eastAsiaTheme="minorHAnsi"/>
          <w:b/>
          <w:bCs/>
          <w:color w:val="auto"/>
          <w:sz w:val="24"/>
          <w:szCs w:val="24"/>
          <w:highlight w:val="yellow"/>
          <w:lang w:val="en-US" w:eastAsia="zh-CN" w:bidi="ar"/>
        </w:rPr>
        <w:t>应标时上传的企业资质</w:t>
      </w:r>
    </w:p>
    <w:p w14:paraId="2F133AF3">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营业执照</w:t>
      </w:r>
    </w:p>
    <w:p w14:paraId="7980DBC2">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资质证书；</w:t>
      </w:r>
    </w:p>
    <w:p w14:paraId="7DAC93C9">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近三年财务状况报告（同时填写附件2，数据必须与报告一致）；</w:t>
      </w:r>
    </w:p>
    <w:p w14:paraId="0C48BB69">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企业最近半年完税证明、信用证明材料（中国人民银行</w:t>
      </w:r>
      <w:r>
        <w:rPr>
          <w:rFonts w:hint="eastAsia"/>
          <w:kern w:val="0"/>
          <w:sz w:val="24"/>
          <w:szCs w:val="21"/>
          <w:lang w:bidi="en-US"/>
        </w:rPr>
        <w:t>企业</w:t>
      </w:r>
      <w:r>
        <w:rPr>
          <w:kern w:val="0"/>
          <w:sz w:val="24"/>
          <w:szCs w:val="21"/>
          <w:lang w:bidi="en-US"/>
        </w:rPr>
        <w:t>征信报告）</w:t>
      </w:r>
      <w:r>
        <w:rPr>
          <w:rFonts w:hint="eastAsia"/>
          <w:kern w:val="0"/>
          <w:sz w:val="24"/>
          <w:szCs w:val="21"/>
          <w:lang w:eastAsia="zh-CN" w:bidi="en-US"/>
        </w:rPr>
        <w:t>，</w:t>
      </w:r>
      <w:r>
        <w:rPr>
          <w:rFonts w:hint="eastAsia" w:ascii="宋体" w:hAnsi="宋体"/>
          <w:color w:val="auto"/>
          <w:kern w:val="0"/>
          <w:sz w:val="24"/>
          <w:lang w:bidi="en-US"/>
        </w:rPr>
        <w:t>征信报告查询网址</w:t>
      </w:r>
      <w:r>
        <w:rPr>
          <w:rFonts w:ascii="宋体" w:hAnsi="宋体" w:cs="宋体"/>
          <w:color w:val="auto"/>
          <w:sz w:val="24"/>
        </w:rPr>
        <w:t>http://www.pbccrc.org.cn/zxzx/qyzx/202201/2a31586ca7d240fb8b64cba4b608085e.shtml</w:t>
      </w:r>
      <w:r>
        <w:rPr>
          <w:kern w:val="0"/>
          <w:sz w:val="24"/>
          <w:szCs w:val="21"/>
          <w:lang w:bidi="en-US"/>
        </w:rPr>
        <w:t>；</w:t>
      </w:r>
    </w:p>
    <w:p w14:paraId="76C6485F">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年度纳税信用评价信息（可从电子税务局查询截图，需加盖公章）；</w:t>
      </w:r>
    </w:p>
    <w:p w14:paraId="01124521">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企业对外担保说明（写明贵单位对外有无对外担保和质押业务，需加盖公章）；</w:t>
      </w:r>
    </w:p>
    <w:p w14:paraId="6FF85B39">
      <w:pPr>
        <w:pStyle w:val="41"/>
        <w:widowControl/>
        <w:numPr>
          <w:ilvl w:val="2"/>
          <w:numId w:val="4"/>
        </w:numPr>
        <w:adjustRightInd w:val="0"/>
        <w:snapToGrid w:val="0"/>
        <w:spacing w:line="360" w:lineRule="auto"/>
        <w:ind w:left="0" w:firstLine="397" w:firstLineChars="0"/>
        <w:jc w:val="left"/>
        <w:rPr>
          <w:kern w:val="0"/>
          <w:sz w:val="24"/>
          <w:szCs w:val="21"/>
          <w:lang w:bidi="en-US"/>
        </w:rPr>
      </w:pPr>
      <w:r>
        <w:rPr>
          <w:rFonts w:hint="eastAsia" w:ascii="Times New Roman" w:hAnsi="Times New Roman" w:eastAsia="宋体" w:cs="Times New Roman"/>
          <w:kern w:val="0"/>
          <w:sz w:val="24"/>
          <w:lang w:eastAsia="zh-CN" w:bidi="en-US"/>
        </w:rPr>
        <w:t>“国家企业信用信息公示系统”、“中国执行信息公开网”、“信用中国”、“天眼查”“裁判文书网”等</w:t>
      </w:r>
      <w:r>
        <w:rPr>
          <w:kern w:val="0"/>
          <w:sz w:val="24"/>
          <w:szCs w:val="21"/>
          <w:lang w:bidi="en-US"/>
        </w:rPr>
        <w:t>网站的报名公司的信息截图；</w:t>
      </w:r>
    </w:p>
    <w:p w14:paraId="735E75E2">
      <w:pPr>
        <w:pStyle w:val="41"/>
        <w:widowControl/>
        <w:numPr>
          <w:ilvl w:val="2"/>
          <w:numId w:val="4"/>
        </w:numPr>
        <w:adjustRightInd w:val="0"/>
        <w:snapToGrid w:val="0"/>
        <w:spacing w:line="360" w:lineRule="auto"/>
        <w:ind w:left="0" w:firstLine="397" w:firstLineChars="0"/>
        <w:jc w:val="left"/>
        <w:rPr>
          <w:kern w:val="0"/>
          <w:sz w:val="24"/>
          <w:szCs w:val="21"/>
          <w:lang w:bidi="en-US"/>
        </w:rPr>
      </w:pPr>
      <w:r>
        <w:rPr>
          <w:rFonts w:hint="eastAsia" w:ascii="Times New Roman" w:hAnsi="Times New Roman" w:eastAsia="宋体" w:cs="Times New Roman"/>
          <w:kern w:val="0"/>
          <w:sz w:val="24"/>
          <w:lang w:eastAsia="zh-CN" w:bidi="en-US"/>
        </w:rPr>
        <w:t>无行政处罚及失信记录</w:t>
      </w:r>
      <w:r>
        <w:rPr>
          <w:rFonts w:hint="eastAsia" w:cs="Times New Roman"/>
          <w:kern w:val="0"/>
          <w:sz w:val="24"/>
          <w:lang w:val="en-US" w:eastAsia="zh-CN" w:bidi="en-US"/>
        </w:rPr>
        <w:t>的承诺（格式自拟）</w:t>
      </w:r>
    </w:p>
    <w:p w14:paraId="4CCDB691">
      <w:pPr>
        <w:pStyle w:val="41"/>
        <w:widowControl/>
        <w:numPr>
          <w:ilvl w:val="2"/>
          <w:numId w:val="4"/>
        </w:numPr>
        <w:adjustRightInd w:val="0"/>
        <w:snapToGrid w:val="0"/>
        <w:spacing w:line="360" w:lineRule="auto"/>
        <w:ind w:left="0" w:firstLine="397" w:firstLineChars="0"/>
        <w:jc w:val="left"/>
        <w:rPr>
          <w:kern w:val="0"/>
          <w:sz w:val="24"/>
          <w:szCs w:val="21"/>
          <w:lang w:bidi="en-US"/>
        </w:rPr>
      </w:pPr>
      <w:r>
        <w:rPr>
          <w:kern w:val="0"/>
          <w:sz w:val="24"/>
          <w:szCs w:val="21"/>
          <w:lang w:bidi="en-US"/>
        </w:rPr>
        <w:t>唯一的法人授权委托书（附件</w:t>
      </w:r>
      <w:r>
        <w:rPr>
          <w:rFonts w:hint="eastAsia"/>
          <w:kern w:val="0"/>
          <w:sz w:val="24"/>
          <w:szCs w:val="21"/>
          <w:lang w:val="en-US" w:eastAsia="zh-CN" w:bidi="en-US"/>
        </w:rPr>
        <w:t>3</w:t>
      </w:r>
      <w:r>
        <w:rPr>
          <w:kern w:val="0"/>
          <w:sz w:val="24"/>
          <w:szCs w:val="21"/>
          <w:lang w:bidi="en-US"/>
        </w:rPr>
        <w:t>）及被授权人在报名单位近6个月社保缴纳证明；</w:t>
      </w:r>
    </w:p>
    <w:p w14:paraId="7C62C897">
      <w:pPr>
        <w:pStyle w:val="41"/>
        <w:widowControl/>
        <w:numPr>
          <w:ilvl w:val="2"/>
          <w:numId w:val="4"/>
        </w:numPr>
        <w:adjustRightInd w:val="0"/>
        <w:snapToGrid w:val="0"/>
        <w:spacing w:line="360" w:lineRule="auto"/>
        <w:ind w:left="0" w:firstLine="397" w:firstLineChars="0"/>
        <w:jc w:val="left"/>
        <w:rPr>
          <w:kern w:val="0"/>
          <w:sz w:val="24"/>
          <w:szCs w:val="21"/>
          <w:lang w:bidi="en-US"/>
        </w:rPr>
      </w:pPr>
      <w:r>
        <w:rPr>
          <w:bCs/>
          <w:kern w:val="0"/>
          <w:sz w:val="24"/>
          <w:szCs w:val="21"/>
          <w:lang w:bidi="en-US"/>
        </w:rPr>
        <w:t>联系</w:t>
      </w:r>
      <w:r>
        <w:rPr>
          <w:kern w:val="0"/>
          <w:sz w:val="24"/>
          <w:szCs w:val="21"/>
          <w:lang w:bidi="en-US"/>
        </w:rPr>
        <w:t>人、联系方式、电子邮箱。</w:t>
      </w:r>
    </w:p>
    <w:p w14:paraId="1736B08F">
      <w:pPr>
        <w:pStyle w:val="41"/>
        <w:widowControl/>
        <w:numPr>
          <w:ilvl w:val="0"/>
          <w:numId w:val="0"/>
        </w:numPr>
        <w:adjustRightInd w:val="0"/>
        <w:snapToGrid w:val="0"/>
        <w:spacing w:line="360" w:lineRule="auto"/>
        <w:ind w:left="397" w:leftChars="0"/>
        <w:jc w:val="left"/>
        <w:rPr>
          <w:kern w:val="0"/>
          <w:sz w:val="24"/>
          <w:szCs w:val="21"/>
          <w:lang w:bidi="en-US"/>
        </w:rPr>
      </w:pPr>
    </w:p>
    <w:p w14:paraId="5853D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jc w:val="left"/>
        <w:textAlignment w:val="auto"/>
        <w:rPr>
          <w:rFonts w:hint="default" w:ascii="宋体" w:hAnsi="宋体" w:eastAsia="宋体" w:cs="宋体"/>
          <w:color w:val="C00000"/>
          <w:kern w:val="0"/>
          <w:sz w:val="24"/>
          <w:szCs w:val="24"/>
          <w:lang w:val="en-US" w:eastAsia="zh-CN" w:bidi="en-US"/>
        </w:rPr>
      </w:pPr>
      <w:r>
        <w:rPr>
          <w:rFonts w:hint="eastAsia" w:ascii="宋体" w:hAnsi="宋体" w:cs="宋体"/>
          <w:color w:val="C00000"/>
          <w:kern w:val="0"/>
          <w:sz w:val="24"/>
          <w:szCs w:val="24"/>
          <w:lang w:val="en-US" w:eastAsia="zh-CN" w:bidi="en-US"/>
        </w:rPr>
        <w:t>说明：除项目业绩及企业简介之外的资质文件全部上传到此处，以上未尽之处可自行添加，扫描到一个PDF文件，且字朝上，文件名为“单位简称+资料名称”，下同。</w:t>
      </w:r>
    </w:p>
    <w:p w14:paraId="4695063C">
      <w:pPr>
        <w:pStyle w:val="41"/>
        <w:widowControl/>
        <w:numPr>
          <w:ilvl w:val="0"/>
          <w:numId w:val="0"/>
        </w:numPr>
        <w:adjustRightInd w:val="0"/>
        <w:snapToGrid w:val="0"/>
        <w:spacing w:line="360" w:lineRule="auto"/>
        <w:jc w:val="left"/>
        <w:rPr>
          <w:kern w:val="0"/>
          <w:sz w:val="24"/>
          <w:szCs w:val="21"/>
          <w:lang w:bidi="en-US"/>
        </w:rPr>
      </w:pPr>
    </w:p>
    <w:p w14:paraId="39A198F0">
      <w:pPr>
        <w:widowControl/>
        <w:spacing w:line="360" w:lineRule="auto"/>
        <w:rPr>
          <w:b/>
          <w:kern w:val="0"/>
          <w:szCs w:val="21"/>
          <w:lang w:bidi="en-US"/>
        </w:rPr>
      </w:pPr>
      <w:r>
        <w:rPr>
          <w:rFonts w:hint="eastAsia" w:ascii="Times New Roman" w:hAnsi="Times New Roman" w:cs="Times New Roman" w:eastAsiaTheme="minorHAnsi"/>
          <w:b/>
          <w:bCs/>
          <w:color w:val="auto"/>
          <w:sz w:val="24"/>
          <w:szCs w:val="24"/>
          <w:highlight w:val="yellow"/>
          <w:lang w:val="en-US" w:eastAsia="zh-CN" w:bidi="ar"/>
        </w:rPr>
        <w:t>应标时上传的项目业绩</w:t>
      </w:r>
    </w:p>
    <w:p w14:paraId="7B074A7A">
      <w:pPr>
        <w:pStyle w:val="41"/>
        <w:widowControl/>
        <w:numPr>
          <w:ilvl w:val="0"/>
          <w:numId w:val="0"/>
        </w:numPr>
        <w:adjustRightInd w:val="0"/>
        <w:snapToGrid w:val="0"/>
        <w:spacing w:line="360" w:lineRule="auto"/>
        <w:ind w:left="397" w:leftChars="0"/>
        <w:jc w:val="left"/>
        <w:rPr>
          <w:rFonts w:hint="default" w:eastAsia="宋体"/>
          <w:kern w:val="0"/>
          <w:sz w:val="24"/>
          <w:szCs w:val="21"/>
          <w:lang w:val="en-US" w:eastAsia="zh-CN" w:bidi="en-US"/>
        </w:rPr>
      </w:pPr>
      <w:r>
        <w:rPr>
          <w:rFonts w:hint="eastAsia"/>
          <w:kern w:val="0"/>
          <w:sz w:val="24"/>
          <w:szCs w:val="21"/>
          <w:lang w:val="en-US" w:eastAsia="zh-CN" w:bidi="en-US"/>
        </w:rPr>
        <w:t>详见投标人资格要求</w:t>
      </w:r>
    </w:p>
    <w:p w14:paraId="27DC5527">
      <w:pPr>
        <w:widowControl/>
        <w:spacing w:line="360" w:lineRule="auto"/>
        <w:rPr>
          <w:kern w:val="0"/>
          <w:sz w:val="24"/>
          <w:szCs w:val="21"/>
          <w:lang w:bidi="en-US"/>
        </w:rPr>
      </w:pPr>
      <w:r>
        <w:rPr>
          <w:rFonts w:hint="eastAsia" w:ascii="Times New Roman" w:hAnsi="Times New Roman" w:cs="Times New Roman" w:eastAsiaTheme="minorHAnsi"/>
          <w:b/>
          <w:bCs/>
          <w:color w:val="auto"/>
          <w:sz w:val="24"/>
          <w:szCs w:val="24"/>
          <w:highlight w:val="yellow"/>
          <w:lang w:val="en-US" w:eastAsia="zh-CN" w:bidi="ar"/>
        </w:rPr>
        <w:t>应标时上传的企业简介</w:t>
      </w:r>
    </w:p>
    <w:p w14:paraId="31363995">
      <w:pPr>
        <w:pStyle w:val="41"/>
        <w:widowControl/>
        <w:numPr>
          <w:ilvl w:val="0"/>
          <w:numId w:val="0"/>
        </w:numPr>
        <w:adjustRightInd w:val="0"/>
        <w:snapToGrid w:val="0"/>
        <w:spacing w:line="360" w:lineRule="auto"/>
        <w:ind w:left="397" w:leftChars="0"/>
        <w:jc w:val="left"/>
        <w:rPr>
          <w:kern w:val="0"/>
          <w:sz w:val="24"/>
          <w:szCs w:val="21"/>
          <w:lang w:bidi="en-US"/>
        </w:rPr>
      </w:pPr>
      <w:r>
        <w:rPr>
          <w:kern w:val="0"/>
          <w:sz w:val="24"/>
          <w:szCs w:val="21"/>
          <w:lang w:bidi="en-US"/>
        </w:rPr>
        <w:t>公司简单介绍（包括但不限于公司规模和实力、办公地点、企业荣誉及认证</w:t>
      </w:r>
      <w:r>
        <w:rPr>
          <w:rFonts w:hint="eastAsia"/>
          <w:kern w:val="0"/>
          <w:sz w:val="24"/>
          <w:szCs w:val="21"/>
          <w:lang w:eastAsia="zh-CN" w:bidi="en-US"/>
        </w:rPr>
        <w:t>、</w:t>
      </w:r>
      <w:r>
        <w:rPr>
          <w:rFonts w:hint="eastAsia"/>
          <w:kern w:val="0"/>
          <w:sz w:val="24"/>
          <w:szCs w:val="21"/>
          <w:lang w:val="en-US" w:eastAsia="zh-CN" w:bidi="en-US"/>
        </w:rPr>
        <w:t>设备设施、承揽业绩</w:t>
      </w:r>
      <w:r>
        <w:rPr>
          <w:kern w:val="0"/>
          <w:sz w:val="24"/>
          <w:szCs w:val="21"/>
          <w:lang w:bidi="en-US"/>
        </w:rPr>
        <w:t>等，尽量简洁），附公司内部环境照片；</w:t>
      </w:r>
    </w:p>
    <w:p w14:paraId="7BE122E8">
      <w:pPr>
        <w:adjustRightInd w:val="0"/>
        <w:snapToGrid w:val="0"/>
        <w:spacing w:line="360" w:lineRule="auto"/>
        <w:ind w:firstLine="482" w:firstLineChars="200"/>
        <w:rPr>
          <w:b/>
          <w:bCs/>
          <w:color w:val="000000"/>
          <w:sz w:val="24"/>
          <w:u w:val="single"/>
        </w:rPr>
      </w:pPr>
      <w:r>
        <w:rPr>
          <w:b/>
          <w:bCs/>
          <w:color w:val="000000"/>
          <w:sz w:val="24"/>
          <w:highlight w:val="yellow"/>
          <w:u w:val="single"/>
        </w:rPr>
        <w:t>以上报名资料均要加盖公章。</w:t>
      </w:r>
    </w:p>
    <w:p w14:paraId="1F7BD491">
      <w:pPr>
        <w:widowControl/>
        <w:adjustRightInd w:val="0"/>
        <w:snapToGrid w:val="0"/>
        <w:spacing w:line="360" w:lineRule="auto"/>
        <w:jc w:val="left"/>
        <w:rPr>
          <w:b/>
          <w:bCs/>
          <w:kern w:val="0"/>
          <w:sz w:val="24"/>
          <w:szCs w:val="21"/>
          <w:shd w:val="pct15" w:color="auto" w:fill="FFFFFF"/>
          <w:lang w:bidi="en-US"/>
        </w:rPr>
      </w:pPr>
    </w:p>
    <w:p w14:paraId="4EA1C875">
      <w:pPr>
        <w:widowControl/>
        <w:adjustRightInd w:val="0"/>
        <w:snapToGrid w:val="0"/>
        <w:spacing w:line="360" w:lineRule="auto"/>
        <w:jc w:val="left"/>
        <w:rPr>
          <w:b/>
          <w:bCs/>
          <w:kern w:val="0"/>
          <w:sz w:val="24"/>
          <w:szCs w:val="21"/>
          <w:shd w:val="pct15" w:color="auto" w:fill="FFFFFF"/>
          <w:lang w:bidi="en-US"/>
        </w:rPr>
      </w:pPr>
      <w:r>
        <w:rPr>
          <w:b/>
          <w:bCs/>
          <w:kern w:val="0"/>
          <w:sz w:val="24"/>
          <w:szCs w:val="21"/>
          <w:shd w:val="pct15" w:color="auto" w:fill="FFFFFF"/>
          <w:lang w:bidi="en-US"/>
        </w:rPr>
        <w:t>注意：</w:t>
      </w:r>
    </w:p>
    <w:p w14:paraId="571C3FAA">
      <w:pPr>
        <w:widowControl/>
        <w:adjustRightInd w:val="0"/>
        <w:snapToGrid w:val="0"/>
        <w:spacing w:line="360" w:lineRule="auto"/>
        <w:ind w:firstLine="480" w:firstLineChars="200"/>
        <w:jc w:val="left"/>
        <w:rPr>
          <w:kern w:val="0"/>
          <w:sz w:val="24"/>
          <w:szCs w:val="21"/>
          <w:lang w:bidi="en-US"/>
        </w:rPr>
      </w:pPr>
      <w:r>
        <w:rPr>
          <w:kern w:val="0"/>
          <w:sz w:val="24"/>
          <w:szCs w:val="21"/>
          <w:lang w:bidi="en-US"/>
        </w:rPr>
        <w:t>本项目实行资格预审，报名成功不代表资格审查通过、入围投标名单，发放招标文件前，招标人进行资格审核验证，对报名单位从公司规模实力、业绩、财务状况等多个方面按所提供的报名材料进行考察，根据审查考察结果以合格制或有限数量制确定投标入围名单。开标时，对投标人资格进行再次核验（资格后审）。</w:t>
      </w:r>
    </w:p>
    <w:p w14:paraId="5C0FFBEE">
      <w:pPr>
        <w:widowControl/>
        <w:adjustRightInd w:val="0"/>
        <w:snapToGrid w:val="0"/>
        <w:spacing w:line="360" w:lineRule="auto"/>
        <w:ind w:firstLine="480" w:firstLineChars="200"/>
        <w:jc w:val="left"/>
        <w:rPr>
          <w:kern w:val="0"/>
          <w:sz w:val="24"/>
          <w:lang w:bidi="en-US"/>
        </w:rPr>
      </w:pPr>
      <w:r>
        <w:rPr>
          <w:kern w:val="0"/>
          <w:sz w:val="24"/>
          <w:lang w:bidi="en-US"/>
        </w:rPr>
        <w:t>4.</w:t>
      </w:r>
      <w:r>
        <w:rPr>
          <w:rFonts w:hint="eastAsia"/>
          <w:kern w:val="0"/>
          <w:sz w:val="24"/>
          <w:lang w:val="en-US" w:eastAsia="zh-CN" w:bidi="en-US"/>
        </w:rPr>
        <w:t>3</w:t>
      </w:r>
      <w:r>
        <w:rPr>
          <w:kern w:val="0"/>
          <w:sz w:val="24"/>
          <w:lang w:bidi="en-US"/>
        </w:rPr>
        <w:t>招标文件获取：</w:t>
      </w:r>
      <w:r>
        <w:rPr>
          <w:rFonts w:hint="eastAsia"/>
          <w:kern w:val="0"/>
          <w:sz w:val="24"/>
          <w:lang w:val="en-US" w:eastAsia="zh-CN" w:bidi="en-US"/>
        </w:rPr>
        <w:t>应标</w:t>
      </w:r>
      <w:r>
        <w:rPr>
          <w:kern w:val="0"/>
          <w:sz w:val="24"/>
          <w:lang w:bidi="en-US"/>
        </w:rPr>
        <w:t>通过</w:t>
      </w:r>
      <w:r>
        <w:rPr>
          <w:rFonts w:hint="eastAsia"/>
          <w:kern w:val="0"/>
          <w:sz w:val="24"/>
          <w:lang w:val="en-US" w:eastAsia="zh-CN" w:bidi="en-US"/>
        </w:rPr>
        <w:t>后在</w:t>
      </w:r>
      <w:r>
        <w:rPr>
          <w:kern w:val="0"/>
          <w:sz w:val="24"/>
          <w:lang w:bidi="en-US"/>
        </w:rPr>
        <w:t>重汽e采通平台</w:t>
      </w:r>
      <w:r>
        <w:rPr>
          <w:rFonts w:hint="eastAsia"/>
          <w:kern w:val="0"/>
          <w:sz w:val="24"/>
          <w:lang w:val="en-US" w:eastAsia="zh-CN" w:bidi="en-US"/>
        </w:rPr>
        <w:t>自行</w:t>
      </w:r>
      <w:r>
        <w:rPr>
          <w:kern w:val="0"/>
          <w:sz w:val="24"/>
          <w:lang w:bidi="en-US"/>
        </w:rPr>
        <w:t>获取。</w:t>
      </w:r>
    </w:p>
    <w:p w14:paraId="3D050E97">
      <w:pPr>
        <w:widowControl/>
        <w:adjustRightInd w:val="0"/>
        <w:snapToGrid w:val="0"/>
        <w:spacing w:line="360" w:lineRule="auto"/>
        <w:ind w:firstLine="480" w:firstLineChars="200"/>
        <w:jc w:val="left"/>
        <w:rPr>
          <w:kern w:val="0"/>
          <w:sz w:val="24"/>
          <w:lang w:bidi="en-US"/>
        </w:rPr>
      </w:pPr>
      <w:r>
        <w:rPr>
          <w:kern w:val="0"/>
          <w:sz w:val="24"/>
          <w:lang w:bidi="en-US"/>
        </w:rPr>
        <w:t>4.</w:t>
      </w:r>
      <w:r>
        <w:rPr>
          <w:rFonts w:hint="eastAsia"/>
          <w:kern w:val="0"/>
          <w:sz w:val="24"/>
          <w:lang w:val="en-US" w:eastAsia="zh-CN" w:bidi="en-US"/>
        </w:rPr>
        <w:t>4</w:t>
      </w:r>
      <w:r>
        <w:rPr>
          <w:kern w:val="0"/>
          <w:sz w:val="24"/>
          <w:lang w:bidi="en-US"/>
        </w:rPr>
        <w:t>招标文件工本费：无。</w:t>
      </w:r>
    </w:p>
    <w:p w14:paraId="07483635">
      <w:pPr>
        <w:widowControl/>
        <w:adjustRightInd w:val="0"/>
        <w:snapToGrid w:val="0"/>
        <w:spacing w:line="360" w:lineRule="auto"/>
        <w:ind w:firstLine="480" w:firstLineChars="200"/>
        <w:jc w:val="left"/>
        <w:rPr>
          <w:kern w:val="0"/>
          <w:sz w:val="24"/>
          <w:lang w:bidi="en-US"/>
        </w:rPr>
      </w:pPr>
      <w:r>
        <w:rPr>
          <w:kern w:val="0"/>
          <w:sz w:val="24"/>
          <w:lang w:bidi="en-US"/>
        </w:rPr>
        <w:t>4.</w:t>
      </w:r>
      <w:r>
        <w:rPr>
          <w:rFonts w:hint="eastAsia"/>
          <w:kern w:val="0"/>
          <w:sz w:val="24"/>
          <w:lang w:val="en-US" w:eastAsia="zh-CN" w:bidi="en-US"/>
        </w:rPr>
        <w:t>5</w:t>
      </w:r>
      <w:r>
        <w:rPr>
          <w:kern w:val="0"/>
          <w:sz w:val="24"/>
          <w:lang w:bidi="en-US"/>
        </w:rPr>
        <w:t>投标保证金金额、形式和递交：详见招标文件。</w:t>
      </w:r>
    </w:p>
    <w:p w14:paraId="48458778">
      <w:pPr>
        <w:widowControl/>
        <w:adjustRightInd w:val="0"/>
        <w:snapToGrid w:val="0"/>
        <w:spacing w:line="360" w:lineRule="auto"/>
        <w:ind w:firstLine="480" w:firstLineChars="200"/>
        <w:jc w:val="left"/>
        <w:rPr>
          <w:kern w:val="0"/>
          <w:sz w:val="24"/>
          <w:lang w:bidi="en-US"/>
        </w:rPr>
      </w:pPr>
      <w:r>
        <w:rPr>
          <w:kern w:val="0"/>
          <w:sz w:val="24"/>
          <w:lang w:bidi="en-US"/>
        </w:rPr>
        <w:t>4.</w:t>
      </w:r>
      <w:r>
        <w:rPr>
          <w:rFonts w:hint="eastAsia"/>
          <w:kern w:val="0"/>
          <w:sz w:val="24"/>
          <w:lang w:val="en-US" w:eastAsia="zh-CN" w:bidi="en-US"/>
        </w:rPr>
        <w:t>6</w:t>
      </w:r>
      <w:r>
        <w:rPr>
          <w:kern w:val="0"/>
          <w:sz w:val="24"/>
          <w:lang w:bidi="en-US"/>
        </w:rPr>
        <w:t>中标服务费：无。</w:t>
      </w:r>
    </w:p>
    <w:p w14:paraId="5D47DFE9">
      <w:pPr>
        <w:widowControl/>
        <w:adjustRightInd w:val="0"/>
        <w:snapToGrid w:val="0"/>
        <w:spacing w:line="360" w:lineRule="auto"/>
        <w:jc w:val="left"/>
        <w:rPr>
          <w:b/>
          <w:bCs/>
          <w:kern w:val="0"/>
          <w:sz w:val="24"/>
          <w:lang w:bidi="en-US"/>
        </w:rPr>
      </w:pPr>
      <w:r>
        <w:rPr>
          <w:b/>
          <w:bCs/>
          <w:kern w:val="0"/>
          <w:sz w:val="24"/>
          <w:lang w:bidi="en-US"/>
        </w:rPr>
        <w:t>5．投标文件的递交</w:t>
      </w:r>
    </w:p>
    <w:p w14:paraId="4F8768C0">
      <w:pPr>
        <w:widowControl/>
        <w:adjustRightInd w:val="0"/>
        <w:snapToGrid w:val="0"/>
        <w:spacing w:line="360" w:lineRule="auto"/>
        <w:ind w:firstLine="480" w:firstLineChars="200"/>
        <w:jc w:val="left"/>
        <w:rPr>
          <w:kern w:val="0"/>
          <w:sz w:val="24"/>
          <w:lang w:bidi="en-US"/>
        </w:rPr>
      </w:pPr>
      <w:r>
        <w:rPr>
          <w:kern w:val="0"/>
          <w:sz w:val="24"/>
          <w:lang w:bidi="en-US"/>
        </w:rPr>
        <w:t>5.1 投标文件递交的截止时间详见招标文件。</w:t>
      </w:r>
    </w:p>
    <w:p w14:paraId="131B6AC9">
      <w:pPr>
        <w:widowControl/>
        <w:adjustRightInd w:val="0"/>
        <w:snapToGrid w:val="0"/>
        <w:spacing w:line="360" w:lineRule="auto"/>
        <w:ind w:firstLine="480" w:firstLineChars="200"/>
        <w:jc w:val="left"/>
        <w:rPr>
          <w:kern w:val="0"/>
          <w:sz w:val="24"/>
          <w:lang w:bidi="en-US"/>
        </w:rPr>
      </w:pPr>
      <w:r>
        <w:rPr>
          <w:kern w:val="0"/>
          <w:sz w:val="24"/>
          <w:lang w:bidi="en-US"/>
        </w:rPr>
        <w:t>5.2 逾期送达的或者未送达指定地点的投标文件，招标人不予受理。</w:t>
      </w:r>
    </w:p>
    <w:p w14:paraId="6DC3C550">
      <w:pPr>
        <w:widowControl/>
        <w:adjustRightInd w:val="0"/>
        <w:snapToGrid w:val="0"/>
        <w:spacing w:line="360" w:lineRule="auto"/>
        <w:jc w:val="left"/>
        <w:rPr>
          <w:b/>
          <w:bCs/>
          <w:kern w:val="0"/>
          <w:sz w:val="24"/>
          <w:lang w:bidi="en-US"/>
        </w:rPr>
      </w:pPr>
      <w:r>
        <w:rPr>
          <w:b/>
          <w:bCs/>
          <w:kern w:val="0"/>
          <w:sz w:val="24"/>
          <w:lang w:bidi="en-US"/>
        </w:rPr>
        <w:t>6．招标公告发布媒介</w:t>
      </w:r>
    </w:p>
    <w:p w14:paraId="2123AE63">
      <w:pPr>
        <w:widowControl/>
        <w:adjustRightInd w:val="0"/>
        <w:snapToGrid w:val="0"/>
        <w:spacing w:line="360" w:lineRule="auto"/>
        <w:ind w:firstLine="480" w:firstLineChars="200"/>
        <w:jc w:val="left"/>
        <w:rPr>
          <w:kern w:val="0"/>
          <w:sz w:val="24"/>
          <w:lang w:bidi="en-US"/>
        </w:rPr>
      </w:pPr>
      <w:r>
        <w:rPr>
          <w:kern w:val="0"/>
          <w:sz w:val="24"/>
          <w:lang w:bidi="en-US"/>
        </w:rPr>
        <w:t>本次公告同时在中国重型汽车集团有限公司</w:t>
      </w:r>
      <w:r>
        <w:rPr>
          <w:rFonts w:hint="eastAsia"/>
          <w:kern w:val="0"/>
          <w:sz w:val="24"/>
          <w:lang w:val="en-US" w:eastAsia="zh-CN" w:bidi="en-US"/>
        </w:rPr>
        <w:t>等</w:t>
      </w:r>
      <w:r>
        <w:rPr>
          <w:kern w:val="0"/>
          <w:sz w:val="24"/>
          <w:lang w:bidi="en-US"/>
        </w:rPr>
        <w:t>网站上发布。</w:t>
      </w:r>
    </w:p>
    <w:p w14:paraId="53225F4E">
      <w:pPr>
        <w:widowControl/>
        <w:adjustRightInd w:val="0"/>
        <w:snapToGrid w:val="0"/>
        <w:spacing w:line="360" w:lineRule="auto"/>
        <w:jc w:val="left"/>
        <w:rPr>
          <w:b/>
          <w:bCs/>
          <w:kern w:val="0"/>
          <w:sz w:val="24"/>
          <w:lang w:bidi="en-US"/>
        </w:rPr>
      </w:pPr>
      <w:r>
        <w:rPr>
          <w:b/>
          <w:bCs/>
          <w:kern w:val="0"/>
          <w:sz w:val="24"/>
          <w:lang w:bidi="en-US"/>
        </w:rPr>
        <w:t>7</w:t>
      </w:r>
      <w:bookmarkStart w:id="8" w:name="_Toc234382576"/>
      <w:bookmarkEnd w:id="8"/>
      <w:r>
        <w:rPr>
          <w:b/>
          <w:bCs/>
          <w:kern w:val="0"/>
          <w:sz w:val="24"/>
          <w:lang w:bidi="en-US"/>
        </w:rPr>
        <w:t>．联系方式</w:t>
      </w:r>
    </w:p>
    <w:p w14:paraId="3E082112">
      <w:pPr>
        <w:adjustRightInd w:val="0"/>
        <w:snapToGrid w:val="0"/>
        <w:spacing w:line="360" w:lineRule="auto"/>
        <w:ind w:firstLine="480" w:firstLineChars="200"/>
        <w:rPr>
          <w:rFonts w:hint="eastAsia" w:eastAsia="宋体"/>
          <w:kern w:val="0"/>
          <w:sz w:val="24"/>
          <w:u w:val="single"/>
          <w:lang w:eastAsia="zh-CN" w:bidi="en-US"/>
        </w:rPr>
      </w:pPr>
      <w:r>
        <w:rPr>
          <w:kern w:val="0"/>
          <w:sz w:val="24"/>
          <w:lang w:bidi="en-US"/>
        </w:rPr>
        <w:t>招 标 人：</w:t>
      </w:r>
      <w:r>
        <w:rPr>
          <w:rFonts w:hint="eastAsia"/>
          <w:kern w:val="0"/>
          <w:sz w:val="24"/>
          <w:lang w:eastAsia="zh-CN" w:bidi="en-US"/>
        </w:rPr>
        <w:t>中国重汽集团济南动力有限公司</w:t>
      </w:r>
    </w:p>
    <w:p w14:paraId="7CD5D4EA">
      <w:pPr>
        <w:widowControl/>
        <w:adjustRightInd w:val="0"/>
        <w:snapToGrid w:val="0"/>
        <w:spacing w:line="360" w:lineRule="auto"/>
        <w:ind w:firstLine="480" w:firstLineChars="200"/>
        <w:jc w:val="left"/>
        <w:rPr>
          <w:rFonts w:hint="default" w:eastAsia="宋体"/>
          <w:kern w:val="0"/>
          <w:sz w:val="24"/>
          <w:lang w:val="en-US" w:eastAsia="zh-CN" w:bidi="en-US"/>
        </w:rPr>
      </w:pPr>
      <w:r>
        <w:rPr>
          <w:kern w:val="0"/>
          <w:sz w:val="24"/>
          <w:lang w:bidi="en-US"/>
        </w:rPr>
        <w:t>地    址：济南市高新区华奥路777号</w:t>
      </w:r>
      <w:r>
        <w:rPr>
          <w:rFonts w:hint="eastAsia"/>
          <w:kern w:val="0"/>
          <w:sz w:val="24"/>
          <w:lang w:val="en-US" w:eastAsia="zh-CN" w:bidi="en-US"/>
        </w:rPr>
        <w:t>重汽科技大厦</w:t>
      </w:r>
    </w:p>
    <w:p w14:paraId="2ECB7AFF">
      <w:pPr>
        <w:widowControl/>
        <w:adjustRightInd w:val="0"/>
        <w:snapToGrid w:val="0"/>
        <w:spacing w:line="360" w:lineRule="auto"/>
        <w:ind w:firstLine="480" w:firstLineChars="200"/>
        <w:jc w:val="left"/>
        <w:rPr>
          <w:rFonts w:hint="default" w:eastAsia="宋体"/>
          <w:kern w:val="0"/>
          <w:sz w:val="24"/>
          <w:lang w:val="en-US" w:eastAsia="zh-CN" w:bidi="en-US"/>
        </w:rPr>
      </w:pPr>
      <w:r>
        <w:rPr>
          <w:kern w:val="0"/>
          <w:sz w:val="24"/>
          <w:lang w:bidi="en-US"/>
        </w:rPr>
        <w:t>联系人</w:t>
      </w:r>
      <w:r>
        <w:rPr>
          <w:rFonts w:hint="eastAsia"/>
          <w:kern w:val="0"/>
          <w:sz w:val="24"/>
          <w:lang w:val="en-US" w:eastAsia="zh-CN" w:bidi="en-US"/>
        </w:rPr>
        <w:t>及联系方式</w:t>
      </w:r>
      <w:r>
        <w:rPr>
          <w:kern w:val="0"/>
          <w:sz w:val="24"/>
          <w:lang w:bidi="en-US"/>
        </w:rPr>
        <w:t>：</w:t>
      </w:r>
      <w:r>
        <w:rPr>
          <w:rFonts w:hint="eastAsia"/>
          <w:kern w:val="0"/>
          <w:sz w:val="24"/>
          <w:lang w:val="en-US" w:eastAsia="zh-CN" w:bidi="en-US"/>
        </w:rPr>
        <w:t>孙老师13573163465</w:t>
      </w:r>
    </w:p>
    <w:p w14:paraId="791D42EE">
      <w:pPr>
        <w:widowControl/>
        <w:adjustRightInd w:val="0"/>
        <w:snapToGrid w:val="0"/>
        <w:spacing w:line="360" w:lineRule="auto"/>
        <w:ind w:firstLine="480" w:firstLineChars="200"/>
        <w:jc w:val="left"/>
        <w:rPr>
          <w:rFonts w:hint="eastAsia"/>
          <w:kern w:val="0"/>
          <w:sz w:val="24"/>
          <w:lang w:bidi="en-US"/>
        </w:rPr>
      </w:pPr>
      <w:r>
        <w:rPr>
          <w:kern w:val="0"/>
          <w:sz w:val="24"/>
          <w:lang w:bidi="en-US"/>
        </w:rPr>
        <w:t>电子邮件：</w:t>
      </w:r>
      <w:r>
        <w:rPr>
          <w:rFonts w:hint="eastAsia"/>
          <w:kern w:val="0"/>
          <w:sz w:val="24"/>
          <w:lang w:bidi="en-US"/>
        </w:rPr>
        <w:fldChar w:fldCharType="begin"/>
      </w:r>
      <w:r>
        <w:rPr>
          <w:rFonts w:hint="eastAsia"/>
          <w:kern w:val="0"/>
          <w:sz w:val="24"/>
          <w:lang w:bidi="en-US"/>
        </w:rPr>
        <w:instrText xml:space="preserve"> HYPERLINK "mailto:suncuifeng@sinotruk.com" </w:instrText>
      </w:r>
      <w:r>
        <w:rPr>
          <w:rFonts w:hint="eastAsia"/>
          <w:kern w:val="0"/>
          <w:sz w:val="24"/>
          <w:lang w:bidi="en-US"/>
        </w:rPr>
        <w:fldChar w:fldCharType="separate"/>
      </w:r>
      <w:r>
        <w:rPr>
          <w:rStyle w:val="36"/>
          <w:rFonts w:hint="eastAsia"/>
          <w:kern w:val="0"/>
          <w:sz w:val="24"/>
          <w:lang w:bidi="en-US"/>
        </w:rPr>
        <w:t>suncuifeng@sinotruk.com</w:t>
      </w:r>
      <w:r>
        <w:rPr>
          <w:rFonts w:hint="eastAsia"/>
          <w:kern w:val="0"/>
          <w:sz w:val="24"/>
          <w:lang w:bidi="en-US"/>
        </w:rPr>
        <w:fldChar w:fldCharType="end"/>
      </w:r>
    </w:p>
    <w:p w14:paraId="294F3863">
      <w:pPr>
        <w:pStyle w:val="2"/>
        <w:rPr>
          <w:rFonts w:hint="default"/>
          <w:lang w:val="en-US" w:eastAsia="zh-CN"/>
        </w:rPr>
      </w:pPr>
    </w:p>
    <w:p w14:paraId="0DD8B1EC">
      <w:pPr>
        <w:widowControl/>
        <w:adjustRightInd w:val="0"/>
        <w:snapToGrid w:val="0"/>
        <w:spacing w:line="360" w:lineRule="auto"/>
        <w:ind w:firstLine="480" w:firstLineChars="200"/>
        <w:jc w:val="right"/>
        <w:rPr>
          <w:kern w:val="0"/>
          <w:sz w:val="24"/>
          <w:szCs w:val="21"/>
          <w:highlight w:val="none"/>
          <w:u w:val="none"/>
          <w:lang w:bidi="en-US"/>
        </w:rPr>
      </w:pPr>
      <w:r>
        <w:rPr>
          <w:kern w:val="0"/>
          <w:sz w:val="24"/>
          <w:szCs w:val="21"/>
          <w:highlight w:val="none"/>
          <w:u w:val="none"/>
          <w:lang w:bidi="en-US"/>
        </w:rPr>
        <w:t>202</w:t>
      </w:r>
      <w:r>
        <w:rPr>
          <w:rFonts w:hint="eastAsia"/>
          <w:kern w:val="0"/>
          <w:sz w:val="24"/>
          <w:szCs w:val="21"/>
          <w:highlight w:val="none"/>
          <w:u w:val="none"/>
          <w:lang w:val="en-US" w:eastAsia="zh-CN" w:bidi="en-US"/>
        </w:rPr>
        <w:t>6</w:t>
      </w:r>
      <w:r>
        <w:rPr>
          <w:kern w:val="0"/>
          <w:sz w:val="24"/>
          <w:szCs w:val="21"/>
          <w:highlight w:val="none"/>
          <w:u w:val="none"/>
          <w:lang w:bidi="en-US"/>
        </w:rPr>
        <w:t>年</w:t>
      </w:r>
      <w:r>
        <w:rPr>
          <w:rFonts w:hint="eastAsia"/>
          <w:kern w:val="0"/>
          <w:sz w:val="24"/>
          <w:szCs w:val="21"/>
          <w:highlight w:val="none"/>
          <w:u w:val="none"/>
          <w:lang w:val="en-US" w:eastAsia="zh-CN" w:bidi="en-US"/>
        </w:rPr>
        <w:t>10</w:t>
      </w:r>
      <w:r>
        <w:rPr>
          <w:kern w:val="0"/>
          <w:sz w:val="24"/>
          <w:szCs w:val="21"/>
          <w:highlight w:val="none"/>
          <w:u w:val="none"/>
          <w:lang w:bidi="en-US"/>
        </w:rPr>
        <w:t>月</w:t>
      </w:r>
      <w:r>
        <w:rPr>
          <w:rFonts w:hint="eastAsia"/>
          <w:kern w:val="0"/>
          <w:sz w:val="24"/>
          <w:szCs w:val="21"/>
          <w:highlight w:val="none"/>
          <w:u w:val="none"/>
          <w:lang w:val="en-US" w:eastAsia="zh-CN" w:bidi="en-US"/>
        </w:rPr>
        <w:t>19</w:t>
      </w:r>
      <w:r>
        <w:rPr>
          <w:kern w:val="0"/>
          <w:sz w:val="24"/>
          <w:szCs w:val="21"/>
          <w:highlight w:val="none"/>
          <w:u w:val="none"/>
          <w:lang w:bidi="en-US"/>
        </w:rPr>
        <w:t>日</w:t>
      </w:r>
      <w:bookmarkEnd w:id="1"/>
    </w:p>
    <w:p w14:paraId="0EDF3AC2">
      <w:pPr>
        <w:widowControl/>
        <w:jc w:val="left"/>
        <w:rPr>
          <w:b/>
          <w:sz w:val="24"/>
          <w:lang w:bidi="en-US"/>
        </w:rPr>
      </w:pPr>
    </w:p>
    <w:p w14:paraId="191B8273">
      <w:pPr>
        <w:pStyle w:val="24"/>
        <w:ind w:firstLine="560"/>
        <w:rPr>
          <w:lang w:bidi="en-US"/>
        </w:rPr>
      </w:pPr>
    </w:p>
    <w:p w14:paraId="7DCAB14A">
      <w:pPr>
        <w:autoSpaceDE w:val="0"/>
        <w:autoSpaceDN w:val="0"/>
        <w:rPr>
          <w:sz w:val="30"/>
          <w:szCs w:val="30"/>
        </w:rPr>
      </w:pPr>
      <w:r>
        <w:rPr>
          <w:sz w:val="30"/>
          <w:szCs w:val="30"/>
        </w:rPr>
        <w:t>附件1</w:t>
      </w:r>
    </w:p>
    <w:tbl>
      <w:tblPr>
        <w:tblStyle w:val="31"/>
        <w:tblW w:w="9819"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268"/>
        <w:gridCol w:w="1187"/>
        <w:gridCol w:w="2727"/>
        <w:gridCol w:w="1268"/>
        <w:gridCol w:w="1241"/>
        <w:gridCol w:w="1474"/>
      </w:tblGrid>
      <w:tr w14:paraId="0FB3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9" w:type="dxa"/>
            <w:gridSpan w:val="7"/>
            <w:tcBorders>
              <w:top w:val="single" w:color="auto" w:sz="4" w:space="0"/>
              <w:left w:val="single" w:color="auto" w:sz="4" w:space="0"/>
              <w:bottom w:val="single" w:color="auto" w:sz="4" w:space="0"/>
              <w:right w:val="single" w:color="auto" w:sz="4" w:space="0"/>
            </w:tcBorders>
            <w:noWrap/>
          </w:tcPr>
          <w:p w14:paraId="70A4078B">
            <w:pPr>
              <w:autoSpaceDE w:val="0"/>
              <w:autoSpaceDN w:val="0"/>
              <w:jc w:val="center"/>
              <w:rPr>
                <w:rFonts w:eastAsia="宋体"/>
                <w:b/>
                <w:bCs/>
                <w:sz w:val="30"/>
                <w:szCs w:val="30"/>
                <w:lang w:val="en-US" w:eastAsia="zh-CN"/>
              </w:rPr>
            </w:pPr>
            <w:r>
              <w:rPr>
                <w:b/>
                <w:bCs/>
                <w:sz w:val="30"/>
                <w:szCs w:val="30"/>
              </w:rPr>
              <w:t>近三年符合报名资格要求的业绩列表</w:t>
            </w:r>
          </w:p>
        </w:tc>
      </w:tr>
      <w:tr w14:paraId="30F5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Borders>
              <w:top w:val="single" w:color="auto" w:sz="4" w:space="0"/>
              <w:left w:val="single" w:color="auto" w:sz="4" w:space="0"/>
              <w:bottom w:val="single" w:color="auto" w:sz="4" w:space="0"/>
              <w:right w:val="single" w:color="auto" w:sz="4" w:space="0"/>
            </w:tcBorders>
            <w:noWrap/>
            <w:vAlign w:val="center"/>
          </w:tcPr>
          <w:p w14:paraId="4FAD2F40">
            <w:pPr>
              <w:autoSpaceDE w:val="0"/>
              <w:autoSpaceDN w:val="0"/>
              <w:jc w:val="center"/>
              <w:rPr>
                <w:sz w:val="24"/>
              </w:rPr>
            </w:pPr>
            <w:r>
              <w:rPr>
                <w:sz w:val="24"/>
              </w:rPr>
              <w:t>序号</w:t>
            </w:r>
          </w:p>
        </w:tc>
        <w:tc>
          <w:tcPr>
            <w:tcW w:w="1268" w:type="dxa"/>
            <w:tcBorders>
              <w:top w:val="single" w:color="auto" w:sz="4" w:space="0"/>
              <w:left w:val="single" w:color="auto" w:sz="4" w:space="0"/>
              <w:bottom w:val="single" w:color="auto" w:sz="4" w:space="0"/>
              <w:right w:val="single" w:color="auto" w:sz="4" w:space="0"/>
            </w:tcBorders>
            <w:noWrap/>
            <w:vAlign w:val="center"/>
          </w:tcPr>
          <w:p w14:paraId="530F66FE">
            <w:pPr>
              <w:autoSpaceDE w:val="0"/>
              <w:autoSpaceDN w:val="0"/>
              <w:jc w:val="center"/>
              <w:rPr>
                <w:sz w:val="24"/>
              </w:rPr>
            </w:pPr>
            <w:r>
              <w:rPr>
                <w:sz w:val="24"/>
              </w:rPr>
              <w:t>项目/合同</w:t>
            </w:r>
          </w:p>
          <w:p w14:paraId="5BD02557">
            <w:pPr>
              <w:autoSpaceDE w:val="0"/>
              <w:autoSpaceDN w:val="0"/>
              <w:jc w:val="center"/>
              <w:rPr>
                <w:sz w:val="24"/>
              </w:rPr>
            </w:pPr>
            <w:r>
              <w:rPr>
                <w:sz w:val="24"/>
              </w:rPr>
              <w:t>名称</w:t>
            </w:r>
          </w:p>
        </w:tc>
        <w:tc>
          <w:tcPr>
            <w:tcW w:w="1187" w:type="dxa"/>
            <w:tcBorders>
              <w:top w:val="single" w:color="auto" w:sz="4" w:space="0"/>
              <w:left w:val="single" w:color="auto" w:sz="4" w:space="0"/>
              <w:bottom w:val="single" w:color="auto" w:sz="4" w:space="0"/>
              <w:right w:val="single" w:color="auto" w:sz="4" w:space="0"/>
            </w:tcBorders>
            <w:noWrap/>
            <w:vAlign w:val="center"/>
          </w:tcPr>
          <w:p w14:paraId="1F0376F1">
            <w:pPr>
              <w:autoSpaceDE w:val="0"/>
              <w:autoSpaceDN w:val="0"/>
              <w:jc w:val="center"/>
              <w:rPr>
                <w:sz w:val="24"/>
              </w:rPr>
            </w:pPr>
            <w:r>
              <w:rPr>
                <w:sz w:val="24"/>
              </w:rPr>
              <w:t>项目地点</w:t>
            </w:r>
          </w:p>
        </w:tc>
        <w:tc>
          <w:tcPr>
            <w:tcW w:w="2727" w:type="dxa"/>
            <w:tcBorders>
              <w:top w:val="single" w:color="auto" w:sz="4" w:space="0"/>
              <w:left w:val="single" w:color="auto" w:sz="4" w:space="0"/>
              <w:bottom w:val="single" w:color="auto" w:sz="4" w:space="0"/>
              <w:right w:val="single" w:color="auto" w:sz="4" w:space="0"/>
            </w:tcBorders>
            <w:noWrap/>
            <w:vAlign w:val="center"/>
          </w:tcPr>
          <w:p w14:paraId="60C05E15">
            <w:pPr>
              <w:autoSpaceDE w:val="0"/>
              <w:autoSpaceDN w:val="0"/>
              <w:jc w:val="center"/>
              <w:rPr>
                <w:sz w:val="24"/>
              </w:rPr>
            </w:pPr>
            <w:r>
              <w:rPr>
                <w:sz w:val="24"/>
              </w:rPr>
              <w:t>项目简介</w:t>
            </w:r>
          </w:p>
          <w:p w14:paraId="13D3A317">
            <w:pPr>
              <w:autoSpaceDE w:val="0"/>
              <w:autoSpaceDN w:val="0"/>
              <w:jc w:val="center"/>
              <w:rPr>
                <w:sz w:val="24"/>
              </w:rPr>
            </w:pPr>
            <w:r>
              <w:rPr>
                <w:sz w:val="24"/>
              </w:rPr>
              <w:t>（</w:t>
            </w:r>
            <w:r>
              <w:rPr>
                <w:rFonts w:hint="eastAsia"/>
                <w:sz w:val="24"/>
              </w:rPr>
              <w:t>建筑面积</w:t>
            </w:r>
            <w:r>
              <w:rPr>
                <w:sz w:val="24"/>
              </w:rPr>
              <w:t>、</w:t>
            </w:r>
            <w:r>
              <w:rPr>
                <w:rFonts w:hint="eastAsia"/>
                <w:sz w:val="24"/>
              </w:rPr>
              <w:t>投资金额</w:t>
            </w:r>
            <w:r>
              <w:rPr>
                <w:sz w:val="24"/>
              </w:rPr>
              <w:t>）</w:t>
            </w:r>
          </w:p>
        </w:tc>
        <w:tc>
          <w:tcPr>
            <w:tcW w:w="1268" w:type="dxa"/>
            <w:tcBorders>
              <w:top w:val="single" w:color="auto" w:sz="4" w:space="0"/>
              <w:left w:val="single" w:color="auto" w:sz="4" w:space="0"/>
              <w:bottom w:val="single" w:color="auto" w:sz="4" w:space="0"/>
              <w:right w:val="single" w:color="auto" w:sz="4" w:space="0"/>
            </w:tcBorders>
            <w:noWrap/>
            <w:vAlign w:val="center"/>
          </w:tcPr>
          <w:p w14:paraId="2912780E">
            <w:pPr>
              <w:autoSpaceDE w:val="0"/>
              <w:autoSpaceDN w:val="0"/>
              <w:jc w:val="center"/>
              <w:rPr>
                <w:sz w:val="24"/>
              </w:rPr>
            </w:pPr>
            <w:r>
              <w:rPr>
                <w:sz w:val="24"/>
              </w:rPr>
              <w:t>合同额</w:t>
            </w:r>
          </w:p>
        </w:tc>
        <w:tc>
          <w:tcPr>
            <w:tcW w:w="1241" w:type="dxa"/>
            <w:tcBorders>
              <w:top w:val="single" w:color="auto" w:sz="4" w:space="0"/>
              <w:left w:val="single" w:color="auto" w:sz="4" w:space="0"/>
              <w:bottom w:val="single" w:color="auto" w:sz="4" w:space="0"/>
              <w:right w:val="single" w:color="auto" w:sz="4" w:space="0"/>
            </w:tcBorders>
            <w:noWrap/>
            <w:vAlign w:val="center"/>
          </w:tcPr>
          <w:p w14:paraId="77BE7442">
            <w:pPr>
              <w:autoSpaceDE w:val="0"/>
              <w:autoSpaceDN w:val="0"/>
              <w:jc w:val="center"/>
              <w:rPr>
                <w:rFonts w:eastAsia="宋体"/>
                <w:sz w:val="24"/>
                <w:lang w:val="en-US" w:eastAsia="zh-CN"/>
              </w:rPr>
            </w:pPr>
            <w:r>
              <w:rPr>
                <w:rFonts w:hint="eastAsia"/>
                <w:sz w:val="24"/>
                <w:lang w:val="en-US" w:eastAsia="zh-CN"/>
              </w:rPr>
              <w:t>检测内容</w:t>
            </w:r>
          </w:p>
        </w:tc>
        <w:tc>
          <w:tcPr>
            <w:tcW w:w="1474" w:type="dxa"/>
            <w:tcBorders>
              <w:top w:val="single" w:color="auto" w:sz="4" w:space="0"/>
              <w:left w:val="single" w:color="auto" w:sz="4" w:space="0"/>
              <w:bottom w:val="single" w:color="auto" w:sz="4" w:space="0"/>
              <w:right w:val="single" w:color="auto" w:sz="4" w:space="0"/>
            </w:tcBorders>
            <w:noWrap/>
            <w:vAlign w:val="center"/>
          </w:tcPr>
          <w:p w14:paraId="1548DB70">
            <w:pPr>
              <w:autoSpaceDE w:val="0"/>
              <w:autoSpaceDN w:val="0"/>
              <w:jc w:val="center"/>
              <w:rPr>
                <w:rFonts w:hint="eastAsia"/>
                <w:sz w:val="24"/>
                <w:lang w:val="en-US" w:eastAsia="zh-CN"/>
              </w:rPr>
            </w:pPr>
            <w:r>
              <w:rPr>
                <w:rFonts w:hint="eastAsia"/>
                <w:b w:val="0"/>
                <w:bCs w:val="0"/>
                <w:sz w:val="24"/>
                <w:szCs w:val="24"/>
                <w:lang w:val="en-US" w:eastAsia="zh-CN"/>
              </w:rPr>
              <w:t>建设单位</w:t>
            </w:r>
          </w:p>
        </w:tc>
      </w:tr>
      <w:tr w14:paraId="295D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54" w:type="dxa"/>
            <w:tcBorders>
              <w:top w:val="single" w:color="auto" w:sz="4" w:space="0"/>
              <w:left w:val="single" w:color="auto" w:sz="4" w:space="0"/>
              <w:bottom w:val="single" w:color="auto" w:sz="4" w:space="0"/>
              <w:right w:val="single" w:color="auto" w:sz="4" w:space="0"/>
            </w:tcBorders>
            <w:noWrap/>
            <w:vAlign w:val="center"/>
          </w:tcPr>
          <w:p w14:paraId="2FCE2C16">
            <w:pPr>
              <w:autoSpaceDE w:val="0"/>
              <w:autoSpaceDN w:val="0"/>
              <w:jc w:val="center"/>
              <w:rPr>
                <w:sz w:val="24"/>
              </w:rPr>
            </w:pPr>
            <w:r>
              <w:rPr>
                <w:sz w:val="24"/>
              </w:rPr>
              <w:t>1</w:t>
            </w:r>
          </w:p>
        </w:tc>
        <w:tc>
          <w:tcPr>
            <w:tcW w:w="1268" w:type="dxa"/>
            <w:tcBorders>
              <w:top w:val="single" w:color="auto" w:sz="4" w:space="0"/>
              <w:left w:val="single" w:color="auto" w:sz="4" w:space="0"/>
              <w:bottom w:val="single" w:color="auto" w:sz="4" w:space="0"/>
              <w:right w:val="single" w:color="auto" w:sz="4" w:space="0"/>
            </w:tcBorders>
            <w:noWrap/>
          </w:tcPr>
          <w:p w14:paraId="0CFE2DFC">
            <w:pPr>
              <w:autoSpaceDE w:val="0"/>
              <w:autoSpaceDN w:val="0"/>
              <w:rPr>
                <w:sz w:val="24"/>
              </w:rPr>
            </w:pPr>
          </w:p>
        </w:tc>
        <w:tc>
          <w:tcPr>
            <w:tcW w:w="1187" w:type="dxa"/>
            <w:tcBorders>
              <w:top w:val="single" w:color="auto" w:sz="4" w:space="0"/>
              <w:left w:val="single" w:color="auto" w:sz="4" w:space="0"/>
              <w:bottom w:val="single" w:color="auto" w:sz="4" w:space="0"/>
              <w:right w:val="single" w:color="auto" w:sz="4" w:space="0"/>
            </w:tcBorders>
            <w:noWrap/>
          </w:tcPr>
          <w:p w14:paraId="28113761">
            <w:pPr>
              <w:autoSpaceDE w:val="0"/>
              <w:autoSpaceDN w:val="0"/>
              <w:rPr>
                <w:sz w:val="24"/>
              </w:rPr>
            </w:pPr>
          </w:p>
        </w:tc>
        <w:tc>
          <w:tcPr>
            <w:tcW w:w="2727" w:type="dxa"/>
            <w:tcBorders>
              <w:top w:val="single" w:color="auto" w:sz="4" w:space="0"/>
              <w:left w:val="single" w:color="auto" w:sz="4" w:space="0"/>
              <w:bottom w:val="single" w:color="auto" w:sz="4" w:space="0"/>
              <w:right w:val="single" w:color="auto" w:sz="4" w:space="0"/>
            </w:tcBorders>
            <w:noWrap/>
          </w:tcPr>
          <w:p w14:paraId="762AA602">
            <w:pPr>
              <w:autoSpaceDE w:val="0"/>
              <w:autoSpaceDN w:val="0"/>
              <w:rPr>
                <w:sz w:val="24"/>
              </w:rPr>
            </w:pPr>
          </w:p>
        </w:tc>
        <w:tc>
          <w:tcPr>
            <w:tcW w:w="1268" w:type="dxa"/>
            <w:tcBorders>
              <w:top w:val="single" w:color="auto" w:sz="4" w:space="0"/>
              <w:left w:val="single" w:color="auto" w:sz="4" w:space="0"/>
              <w:bottom w:val="single" w:color="auto" w:sz="4" w:space="0"/>
              <w:right w:val="single" w:color="auto" w:sz="4" w:space="0"/>
            </w:tcBorders>
            <w:noWrap/>
          </w:tcPr>
          <w:p w14:paraId="3CD0FB5E">
            <w:pPr>
              <w:autoSpaceDE w:val="0"/>
              <w:autoSpaceDN w:val="0"/>
              <w:rPr>
                <w:sz w:val="24"/>
              </w:rPr>
            </w:pPr>
          </w:p>
        </w:tc>
        <w:tc>
          <w:tcPr>
            <w:tcW w:w="1241" w:type="dxa"/>
            <w:tcBorders>
              <w:top w:val="single" w:color="auto" w:sz="4" w:space="0"/>
              <w:left w:val="single" w:color="auto" w:sz="4" w:space="0"/>
              <w:bottom w:val="single" w:color="auto" w:sz="4" w:space="0"/>
              <w:right w:val="single" w:color="auto" w:sz="4" w:space="0"/>
            </w:tcBorders>
            <w:noWrap/>
          </w:tcPr>
          <w:p w14:paraId="65F6C7B6">
            <w:pPr>
              <w:autoSpaceDE w:val="0"/>
              <w:autoSpaceDN w:val="0"/>
              <w:rPr>
                <w:sz w:val="24"/>
              </w:rPr>
            </w:pPr>
          </w:p>
        </w:tc>
        <w:tc>
          <w:tcPr>
            <w:tcW w:w="1474" w:type="dxa"/>
            <w:tcBorders>
              <w:top w:val="single" w:color="auto" w:sz="4" w:space="0"/>
              <w:left w:val="single" w:color="auto" w:sz="4" w:space="0"/>
              <w:bottom w:val="single" w:color="auto" w:sz="4" w:space="0"/>
              <w:right w:val="single" w:color="auto" w:sz="4" w:space="0"/>
            </w:tcBorders>
            <w:noWrap/>
          </w:tcPr>
          <w:p w14:paraId="666726FD">
            <w:pPr>
              <w:autoSpaceDE w:val="0"/>
              <w:autoSpaceDN w:val="0"/>
              <w:rPr>
                <w:sz w:val="24"/>
              </w:rPr>
            </w:pPr>
          </w:p>
        </w:tc>
      </w:tr>
      <w:tr w14:paraId="1A8C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54" w:type="dxa"/>
            <w:tcBorders>
              <w:top w:val="single" w:color="auto" w:sz="4" w:space="0"/>
              <w:left w:val="single" w:color="auto" w:sz="4" w:space="0"/>
              <w:bottom w:val="single" w:color="auto" w:sz="4" w:space="0"/>
              <w:right w:val="single" w:color="auto" w:sz="4" w:space="0"/>
            </w:tcBorders>
            <w:noWrap/>
            <w:vAlign w:val="center"/>
          </w:tcPr>
          <w:p w14:paraId="2B0EA661">
            <w:pPr>
              <w:autoSpaceDE w:val="0"/>
              <w:autoSpaceDN w:val="0"/>
              <w:jc w:val="center"/>
              <w:rPr>
                <w:sz w:val="24"/>
              </w:rPr>
            </w:pPr>
            <w:r>
              <w:rPr>
                <w:sz w:val="24"/>
              </w:rPr>
              <w:t>2</w:t>
            </w:r>
          </w:p>
        </w:tc>
        <w:tc>
          <w:tcPr>
            <w:tcW w:w="1268" w:type="dxa"/>
            <w:tcBorders>
              <w:top w:val="single" w:color="auto" w:sz="4" w:space="0"/>
              <w:left w:val="single" w:color="auto" w:sz="4" w:space="0"/>
              <w:bottom w:val="single" w:color="auto" w:sz="4" w:space="0"/>
              <w:right w:val="single" w:color="auto" w:sz="4" w:space="0"/>
            </w:tcBorders>
            <w:noWrap/>
          </w:tcPr>
          <w:p w14:paraId="5F4BC3DB">
            <w:pPr>
              <w:autoSpaceDE w:val="0"/>
              <w:autoSpaceDN w:val="0"/>
              <w:rPr>
                <w:sz w:val="24"/>
              </w:rPr>
            </w:pPr>
          </w:p>
        </w:tc>
        <w:tc>
          <w:tcPr>
            <w:tcW w:w="1187" w:type="dxa"/>
            <w:tcBorders>
              <w:top w:val="single" w:color="auto" w:sz="4" w:space="0"/>
              <w:left w:val="single" w:color="auto" w:sz="4" w:space="0"/>
              <w:bottom w:val="single" w:color="auto" w:sz="4" w:space="0"/>
              <w:right w:val="single" w:color="auto" w:sz="4" w:space="0"/>
            </w:tcBorders>
            <w:noWrap/>
          </w:tcPr>
          <w:p w14:paraId="61CA16B7">
            <w:pPr>
              <w:autoSpaceDE w:val="0"/>
              <w:autoSpaceDN w:val="0"/>
              <w:rPr>
                <w:sz w:val="24"/>
              </w:rPr>
            </w:pPr>
          </w:p>
        </w:tc>
        <w:tc>
          <w:tcPr>
            <w:tcW w:w="2727" w:type="dxa"/>
            <w:tcBorders>
              <w:top w:val="single" w:color="auto" w:sz="4" w:space="0"/>
              <w:left w:val="single" w:color="auto" w:sz="4" w:space="0"/>
              <w:bottom w:val="single" w:color="auto" w:sz="4" w:space="0"/>
              <w:right w:val="single" w:color="auto" w:sz="4" w:space="0"/>
            </w:tcBorders>
            <w:noWrap/>
          </w:tcPr>
          <w:p w14:paraId="3FD6BEA3">
            <w:pPr>
              <w:autoSpaceDE w:val="0"/>
              <w:autoSpaceDN w:val="0"/>
              <w:rPr>
                <w:sz w:val="24"/>
              </w:rPr>
            </w:pPr>
          </w:p>
        </w:tc>
        <w:tc>
          <w:tcPr>
            <w:tcW w:w="1268" w:type="dxa"/>
            <w:tcBorders>
              <w:top w:val="single" w:color="auto" w:sz="4" w:space="0"/>
              <w:left w:val="single" w:color="auto" w:sz="4" w:space="0"/>
              <w:bottom w:val="single" w:color="auto" w:sz="4" w:space="0"/>
              <w:right w:val="single" w:color="auto" w:sz="4" w:space="0"/>
            </w:tcBorders>
            <w:noWrap/>
          </w:tcPr>
          <w:p w14:paraId="3C682391">
            <w:pPr>
              <w:autoSpaceDE w:val="0"/>
              <w:autoSpaceDN w:val="0"/>
              <w:rPr>
                <w:sz w:val="24"/>
              </w:rPr>
            </w:pPr>
          </w:p>
        </w:tc>
        <w:tc>
          <w:tcPr>
            <w:tcW w:w="1241" w:type="dxa"/>
            <w:tcBorders>
              <w:top w:val="single" w:color="auto" w:sz="4" w:space="0"/>
              <w:left w:val="single" w:color="auto" w:sz="4" w:space="0"/>
              <w:bottom w:val="single" w:color="auto" w:sz="4" w:space="0"/>
              <w:right w:val="single" w:color="auto" w:sz="4" w:space="0"/>
            </w:tcBorders>
            <w:noWrap/>
          </w:tcPr>
          <w:p w14:paraId="071828CF">
            <w:pPr>
              <w:autoSpaceDE w:val="0"/>
              <w:autoSpaceDN w:val="0"/>
              <w:jc w:val="center"/>
              <w:rPr>
                <w:sz w:val="24"/>
              </w:rPr>
            </w:pPr>
          </w:p>
        </w:tc>
        <w:tc>
          <w:tcPr>
            <w:tcW w:w="1474" w:type="dxa"/>
            <w:tcBorders>
              <w:top w:val="single" w:color="auto" w:sz="4" w:space="0"/>
              <w:left w:val="single" w:color="auto" w:sz="4" w:space="0"/>
              <w:bottom w:val="single" w:color="auto" w:sz="4" w:space="0"/>
              <w:right w:val="single" w:color="auto" w:sz="4" w:space="0"/>
            </w:tcBorders>
            <w:noWrap/>
          </w:tcPr>
          <w:p w14:paraId="1669F029">
            <w:pPr>
              <w:autoSpaceDE w:val="0"/>
              <w:autoSpaceDN w:val="0"/>
              <w:jc w:val="center"/>
              <w:rPr>
                <w:sz w:val="24"/>
              </w:rPr>
            </w:pPr>
          </w:p>
        </w:tc>
      </w:tr>
      <w:tr w14:paraId="435C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54" w:type="dxa"/>
            <w:tcBorders>
              <w:top w:val="single" w:color="auto" w:sz="4" w:space="0"/>
              <w:left w:val="single" w:color="auto" w:sz="4" w:space="0"/>
              <w:bottom w:val="single" w:color="auto" w:sz="4" w:space="0"/>
              <w:right w:val="single" w:color="auto" w:sz="4" w:space="0"/>
            </w:tcBorders>
            <w:noWrap/>
          </w:tcPr>
          <w:p w14:paraId="756A2F56">
            <w:pPr>
              <w:autoSpaceDE w:val="0"/>
              <w:autoSpaceDN w:val="0"/>
              <w:jc w:val="center"/>
              <w:rPr>
                <w:sz w:val="24"/>
              </w:rPr>
            </w:pPr>
            <w:r>
              <w:rPr>
                <w:sz w:val="24"/>
              </w:rPr>
              <w:t>3</w:t>
            </w:r>
          </w:p>
        </w:tc>
        <w:tc>
          <w:tcPr>
            <w:tcW w:w="1268" w:type="dxa"/>
            <w:tcBorders>
              <w:top w:val="single" w:color="auto" w:sz="4" w:space="0"/>
              <w:left w:val="single" w:color="auto" w:sz="4" w:space="0"/>
              <w:bottom w:val="single" w:color="auto" w:sz="4" w:space="0"/>
              <w:right w:val="single" w:color="auto" w:sz="4" w:space="0"/>
            </w:tcBorders>
            <w:noWrap/>
          </w:tcPr>
          <w:p w14:paraId="56302921">
            <w:pPr>
              <w:autoSpaceDE w:val="0"/>
              <w:autoSpaceDN w:val="0"/>
              <w:rPr>
                <w:sz w:val="24"/>
              </w:rPr>
            </w:pPr>
          </w:p>
        </w:tc>
        <w:tc>
          <w:tcPr>
            <w:tcW w:w="1187" w:type="dxa"/>
            <w:tcBorders>
              <w:top w:val="single" w:color="auto" w:sz="4" w:space="0"/>
              <w:left w:val="single" w:color="auto" w:sz="4" w:space="0"/>
              <w:bottom w:val="single" w:color="auto" w:sz="4" w:space="0"/>
              <w:right w:val="single" w:color="auto" w:sz="4" w:space="0"/>
            </w:tcBorders>
            <w:noWrap/>
          </w:tcPr>
          <w:p w14:paraId="2AF65689">
            <w:pPr>
              <w:autoSpaceDE w:val="0"/>
              <w:autoSpaceDN w:val="0"/>
              <w:rPr>
                <w:sz w:val="24"/>
              </w:rPr>
            </w:pPr>
          </w:p>
        </w:tc>
        <w:tc>
          <w:tcPr>
            <w:tcW w:w="2727" w:type="dxa"/>
            <w:tcBorders>
              <w:top w:val="single" w:color="auto" w:sz="4" w:space="0"/>
              <w:left w:val="single" w:color="auto" w:sz="4" w:space="0"/>
              <w:bottom w:val="single" w:color="auto" w:sz="4" w:space="0"/>
              <w:right w:val="single" w:color="auto" w:sz="4" w:space="0"/>
            </w:tcBorders>
            <w:noWrap/>
          </w:tcPr>
          <w:p w14:paraId="1ACB2C70">
            <w:pPr>
              <w:autoSpaceDE w:val="0"/>
              <w:autoSpaceDN w:val="0"/>
              <w:rPr>
                <w:sz w:val="24"/>
              </w:rPr>
            </w:pPr>
          </w:p>
        </w:tc>
        <w:tc>
          <w:tcPr>
            <w:tcW w:w="1268" w:type="dxa"/>
            <w:tcBorders>
              <w:top w:val="single" w:color="auto" w:sz="4" w:space="0"/>
              <w:left w:val="single" w:color="auto" w:sz="4" w:space="0"/>
              <w:bottom w:val="single" w:color="auto" w:sz="4" w:space="0"/>
              <w:right w:val="single" w:color="auto" w:sz="4" w:space="0"/>
            </w:tcBorders>
            <w:noWrap/>
          </w:tcPr>
          <w:p w14:paraId="34BEBE6E">
            <w:pPr>
              <w:autoSpaceDE w:val="0"/>
              <w:autoSpaceDN w:val="0"/>
              <w:rPr>
                <w:sz w:val="24"/>
              </w:rPr>
            </w:pPr>
          </w:p>
        </w:tc>
        <w:tc>
          <w:tcPr>
            <w:tcW w:w="1241" w:type="dxa"/>
            <w:tcBorders>
              <w:top w:val="single" w:color="auto" w:sz="4" w:space="0"/>
              <w:left w:val="single" w:color="auto" w:sz="4" w:space="0"/>
              <w:bottom w:val="single" w:color="auto" w:sz="4" w:space="0"/>
              <w:right w:val="single" w:color="auto" w:sz="4" w:space="0"/>
            </w:tcBorders>
            <w:noWrap/>
          </w:tcPr>
          <w:p w14:paraId="6E284C23">
            <w:pPr>
              <w:autoSpaceDE w:val="0"/>
              <w:autoSpaceDN w:val="0"/>
              <w:rPr>
                <w:sz w:val="24"/>
              </w:rPr>
            </w:pPr>
          </w:p>
        </w:tc>
        <w:tc>
          <w:tcPr>
            <w:tcW w:w="1474" w:type="dxa"/>
            <w:tcBorders>
              <w:top w:val="single" w:color="auto" w:sz="4" w:space="0"/>
              <w:left w:val="single" w:color="auto" w:sz="4" w:space="0"/>
              <w:bottom w:val="single" w:color="auto" w:sz="4" w:space="0"/>
              <w:right w:val="single" w:color="auto" w:sz="4" w:space="0"/>
            </w:tcBorders>
            <w:noWrap/>
          </w:tcPr>
          <w:p w14:paraId="72E9E647">
            <w:pPr>
              <w:autoSpaceDE w:val="0"/>
              <w:autoSpaceDN w:val="0"/>
              <w:rPr>
                <w:sz w:val="24"/>
              </w:rPr>
            </w:pPr>
          </w:p>
        </w:tc>
      </w:tr>
      <w:tr w14:paraId="56AD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54" w:type="dxa"/>
            <w:tcBorders>
              <w:top w:val="single" w:color="auto" w:sz="4" w:space="0"/>
              <w:left w:val="single" w:color="auto" w:sz="4" w:space="0"/>
              <w:bottom w:val="single" w:color="auto" w:sz="4" w:space="0"/>
              <w:right w:val="single" w:color="auto" w:sz="4" w:space="0"/>
            </w:tcBorders>
            <w:noWrap/>
          </w:tcPr>
          <w:p w14:paraId="76577AC4">
            <w:pPr>
              <w:autoSpaceDE w:val="0"/>
              <w:autoSpaceDN w:val="0"/>
              <w:jc w:val="center"/>
              <w:rPr>
                <w:sz w:val="24"/>
              </w:rPr>
            </w:pPr>
            <w:r>
              <w:rPr>
                <w:sz w:val="24"/>
              </w:rPr>
              <w:t>4</w:t>
            </w:r>
          </w:p>
        </w:tc>
        <w:tc>
          <w:tcPr>
            <w:tcW w:w="1268" w:type="dxa"/>
            <w:tcBorders>
              <w:top w:val="single" w:color="auto" w:sz="4" w:space="0"/>
              <w:left w:val="single" w:color="auto" w:sz="4" w:space="0"/>
              <w:bottom w:val="single" w:color="auto" w:sz="4" w:space="0"/>
              <w:right w:val="single" w:color="auto" w:sz="4" w:space="0"/>
            </w:tcBorders>
            <w:noWrap/>
          </w:tcPr>
          <w:p w14:paraId="5D502BBD">
            <w:pPr>
              <w:autoSpaceDE w:val="0"/>
              <w:autoSpaceDN w:val="0"/>
              <w:rPr>
                <w:sz w:val="24"/>
              </w:rPr>
            </w:pPr>
          </w:p>
        </w:tc>
        <w:tc>
          <w:tcPr>
            <w:tcW w:w="1187" w:type="dxa"/>
            <w:tcBorders>
              <w:top w:val="single" w:color="auto" w:sz="4" w:space="0"/>
              <w:left w:val="single" w:color="auto" w:sz="4" w:space="0"/>
              <w:bottom w:val="single" w:color="auto" w:sz="4" w:space="0"/>
              <w:right w:val="single" w:color="auto" w:sz="4" w:space="0"/>
            </w:tcBorders>
            <w:noWrap/>
          </w:tcPr>
          <w:p w14:paraId="79A22D9A">
            <w:pPr>
              <w:autoSpaceDE w:val="0"/>
              <w:autoSpaceDN w:val="0"/>
              <w:rPr>
                <w:sz w:val="24"/>
              </w:rPr>
            </w:pPr>
          </w:p>
        </w:tc>
        <w:tc>
          <w:tcPr>
            <w:tcW w:w="2727" w:type="dxa"/>
            <w:tcBorders>
              <w:top w:val="single" w:color="auto" w:sz="4" w:space="0"/>
              <w:left w:val="single" w:color="auto" w:sz="4" w:space="0"/>
              <w:bottom w:val="single" w:color="auto" w:sz="4" w:space="0"/>
              <w:right w:val="single" w:color="auto" w:sz="4" w:space="0"/>
            </w:tcBorders>
            <w:noWrap/>
          </w:tcPr>
          <w:p w14:paraId="32849B89">
            <w:pPr>
              <w:autoSpaceDE w:val="0"/>
              <w:autoSpaceDN w:val="0"/>
              <w:rPr>
                <w:sz w:val="24"/>
              </w:rPr>
            </w:pPr>
          </w:p>
        </w:tc>
        <w:tc>
          <w:tcPr>
            <w:tcW w:w="1268" w:type="dxa"/>
            <w:tcBorders>
              <w:top w:val="single" w:color="auto" w:sz="4" w:space="0"/>
              <w:left w:val="single" w:color="auto" w:sz="4" w:space="0"/>
              <w:bottom w:val="single" w:color="auto" w:sz="4" w:space="0"/>
              <w:right w:val="single" w:color="auto" w:sz="4" w:space="0"/>
            </w:tcBorders>
            <w:noWrap/>
          </w:tcPr>
          <w:p w14:paraId="3914B14C">
            <w:pPr>
              <w:autoSpaceDE w:val="0"/>
              <w:autoSpaceDN w:val="0"/>
              <w:rPr>
                <w:sz w:val="24"/>
              </w:rPr>
            </w:pPr>
          </w:p>
        </w:tc>
        <w:tc>
          <w:tcPr>
            <w:tcW w:w="1241" w:type="dxa"/>
            <w:tcBorders>
              <w:top w:val="single" w:color="auto" w:sz="4" w:space="0"/>
              <w:left w:val="single" w:color="auto" w:sz="4" w:space="0"/>
              <w:bottom w:val="single" w:color="auto" w:sz="4" w:space="0"/>
              <w:right w:val="single" w:color="auto" w:sz="4" w:space="0"/>
            </w:tcBorders>
            <w:noWrap/>
          </w:tcPr>
          <w:p w14:paraId="661EA91A">
            <w:pPr>
              <w:autoSpaceDE w:val="0"/>
              <w:autoSpaceDN w:val="0"/>
              <w:rPr>
                <w:sz w:val="24"/>
              </w:rPr>
            </w:pPr>
          </w:p>
        </w:tc>
        <w:tc>
          <w:tcPr>
            <w:tcW w:w="1474" w:type="dxa"/>
            <w:tcBorders>
              <w:top w:val="single" w:color="auto" w:sz="4" w:space="0"/>
              <w:left w:val="single" w:color="auto" w:sz="4" w:space="0"/>
              <w:bottom w:val="single" w:color="auto" w:sz="4" w:space="0"/>
              <w:right w:val="single" w:color="auto" w:sz="4" w:space="0"/>
            </w:tcBorders>
            <w:noWrap/>
          </w:tcPr>
          <w:p w14:paraId="0273CE54">
            <w:pPr>
              <w:autoSpaceDE w:val="0"/>
              <w:autoSpaceDN w:val="0"/>
              <w:rPr>
                <w:sz w:val="24"/>
              </w:rPr>
            </w:pPr>
          </w:p>
        </w:tc>
      </w:tr>
      <w:tr w14:paraId="6589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54" w:type="dxa"/>
            <w:tcBorders>
              <w:top w:val="single" w:color="auto" w:sz="4" w:space="0"/>
              <w:left w:val="single" w:color="auto" w:sz="4" w:space="0"/>
              <w:bottom w:val="single" w:color="auto" w:sz="4" w:space="0"/>
              <w:right w:val="single" w:color="auto" w:sz="4" w:space="0"/>
            </w:tcBorders>
            <w:noWrap/>
          </w:tcPr>
          <w:p w14:paraId="51B5422A">
            <w:pPr>
              <w:autoSpaceDE w:val="0"/>
              <w:autoSpaceDN w:val="0"/>
              <w:jc w:val="center"/>
              <w:rPr>
                <w:sz w:val="24"/>
              </w:rPr>
            </w:pPr>
            <w:r>
              <w:rPr>
                <w:sz w:val="24"/>
              </w:rPr>
              <w:t>5</w:t>
            </w:r>
          </w:p>
        </w:tc>
        <w:tc>
          <w:tcPr>
            <w:tcW w:w="1268" w:type="dxa"/>
            <w:tcBorders>
              <w:top w:val="single" w:color="auto" w:sz="4" w:space="0"/>
              <w:left w:val="single" w:color="auto" w:sz="4" w:space="0"/>
              <w:bottom w:val="single" w:color="auto" w:sz="4" w:space="0"/>
              <w:right w:val="single" w:color="auto" w:sz="4" w:space="0"/>
            </w:tcBorders>
            <w:noWrap/>
          </w:tcPr>
          <w:p w14:paraId="768BFEE6">
            <w:pPr>
              <w:autoSpaceDE w:val="0"/>
              <w:autoSpaceDN w:val="0"/>
              <w:rPr>
                <w:sz w:val="24"/>
              </w:rPr>
            </w:pPr>
          </w:p>
        </w:tc>
        <w:tc>
          <w:tcPr>
            <w:tcW w:w="1187" w:type="dxa"/>
            <w:tcBorders>
              <w:top w:val="single" w:color="auto" w:sz="4" w:space="0"/>
              <w:left w:val="single" w:color="auto" w:sz="4" w:space="0"/>
              <w:bottom w:val="single" w:color="auto" w:sz="4" w:space="0"/>
              <w:right w:val="single" w:color="auto" w:sz="4" w:space="0"/>
            </w:tcBorders>
            <w:noWrap/>
          </w:tcPr>
          <w:p w14:paraId="37E7273A">
            <w:pPr>
              <w:autoSpaceDE w:val="0"/>
              <w:autoSpaceDN w:val="0"/>
              <w:rPr>
                <w:sz w:val="24"/>
              </w:rPr>
            </w:pPr>
          </w:p>
        </w:tc>
        <w:tc>
          <w:tcPr>
            <w:tcW w:w="2727" w:type="dxa"/>
            <w:tcBorders>
              <w:top w:val="single" w:color="auto" w:sz="4" w:space="0"/>
              <w:left w:val="single" w:color="auto" w:sz="4" w:space="0"/>
              <w:bottom w:val="single" w:color="auto" w:sz="4" w:space="0"/>
              <w:right w:val="single" w:color="auto" w:sz="4" w:space="0"/>
            </w:tcBorders>
            <w:noWrap/>
          </w:tcPr>
          <w:p w14:paraId="37AE09F3">
            <w:pPr>
              <w:autoSpaceDE w:val="0"/>
              <w:autoSpaceDN w:val="0"/>
              <w:rPr>
                <w:sz w:val="24"/>
              </w:rPr>
            </w:pPr>
          </w:p>
        </w:tc>
        <w:tc>
          <w:tcPr>
            <w:tcW w:w="1268" w:type="dxa"/>
            <w:tcBorders>
              <w:top w:val="single" w:color="auto" w:sz="4" w:space="0"/>
              <w:left w:val="single" w:color="auto" w:sz="4" w:space="0"/>
              <w:bottom w:val="single" w:color="auto" w:sz="4" w:space="0"/>
              <w:right w:val="single" w:color="auto" w:sz="4" w:space="0"/>
            </w:tcBorders>
            <w:noWrap/>
          </w:tcPr>
          <w:p w14:paraId="4A0DE881">
            <w:pPr>
              <w:autoSpaceDE w:val="0"/>
              <w:autoSpaceDN w:val="0"/>
              <w:rPr>
                <w:sz w:val="24"/>
              </w:rPr>
            </w:pPr>
          </w:p>
        </w:tc>
        <w:tc>
          <w:tcPr>
            <w:tcW w:w="1241" w:type="dxa"/>
            <w:tcBorders>
              <w:top w:val="single" w:color="auto" w:sz="4" w:space="0"/>
              <w:left w:val="single" w:color="auto" w:sz="4" w:space="0"/>
              <w:bottom w:val="single" w:color="auto" w:sz="4" w:space="0"/>
              <w:right w:val="single" w:color="auto" w:sz="4" w:space="0"/>
            </w:tcBorders>
            <w:noWrap/>
          </w:tcPr>
          <w:p w14:paraId="748FB3EA">
            <w:pPr>
              <w:autoSpaceDE w:val="0"/>
              <w:autoSpaceDN w:val="0"/>
              <w:rPr>
                <w:sz w:val="24"/>
              </w:rPr>
            </w:pPr>
          </w:p>
        </w:tc>
        <w:tc>
          <w:tcPr>
            <w:tcW w:w="1474" w:type="dxa"/>
            <w:tcBorders>
              <w:top w:val="single" w:color="auto" w:sz="4" w:space="0"/>
              <w:left w:val="single" w:color="auto" w:sz="4" w:space="0"/>
              <w:bottom w:val="single" w:color="auto" w:sz="4" w:space="0"/>
              <w:right w:val="single" w:color="auto" w:sz="4" w:space="0"/>
            </w:tcBorders>
            <w:noWrap/>
          </w:tcPr>
          <w:p w14:paraId="4468C8D0">
            <w:pPr>
              <w:autoSpaceDE w:val="0"/>
              <w:autoSpaceDN w:val="0"/>
              <w:rPr>
                <w:sz w:val="24"/>
              </w:rPr>
            </w:pPr>
          </w:p>
        </w:tc>
      </w:tr>
      <w:tr w14:paraId="04D4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54" w:type="dxa"/>
            <w:tcBorders>
              <w:top w:val="single" w:color="auto" w:sz="4" w:space="0"/>
              <w:left w:val="single" w:color="auto" w:sz="4" w:space="0"/>
              <w:bottom w:val="single" w:color="auto" w:sz="4" w:space="0"/>
              <w:right w:val="single" w:color="auto" w:sz="4" w:space="0"/>
            </w:tcBorders>
            <w:noWrap/>
          </w:tcPr>
          <w:p w14:paraId="1388CBD0">
            <w:pPr>
              <w:autoSpaceDE w:val="0"/>
              <w:autoSpaceDN w:val="0"/>
              <w:rPr>
                <w:sz w:val="24"/>
              </w:rPr>
            </w:pPr>
            <w:r>
              <w:rPr>
                <w:sz w:val="24"/>
              </w:rPr>
              <w:t>…</w:t>
            </w:r>
          </w:p>
        </w:tc>
        <w:tc>
          <w:tcPr>
            <w:tcW w:w="1268" w:type="dxa"/>
            <w:tcBorders>
              <w:top w:val="single" w:color="auto" w:sz="4" w:space="0"/>
              <w:left w:val="single" w:color="auto" w:sz="4" w:space="0"/>
              <w:bottom w:val="single" w:color="auto" w:sz="4" w:space="0"/>
              <w:right w:val="single" w:color="auto" w:sz="4" w:space="0"/>
            </w:tcBorders>
            <w:noWrap/>
          </w:tcPr>
          <w:p w14:paraId="34A13CD6">
            <w:pPr>
              <w:autoSpaceDE w:val="0"/>
              <w:autoSpaceDN w:val="0"/>
              <w:rPr>
                <w:sz w:val="24"/>
              </w:rPr>
            </w:pPr>
          </w:p>
        </w:tc>
        <w:tc>
          <w:tcPr>
            <w:tcW w:w="1187" w:type="dxa"/>
            <w:tcBorders>
              <w:top w:val="single" w:color="auto" w:sz="4" w:space="0"/>
              <w:left w:val="single" w:color="auto" w:sz="4" w:space="0"/>
              <w:bottom w:val="single" w:color="auto" w:sz="4" w:space="0"/>
              <w:right w:val="single" w:color="auto" w:sz="4" w:space="0"/>
            </w:tcBorders>
            <w:noWrap/>
          </w:tcPr>
          <w:p w14:paraId="6AE690BE">
            <w:pPr>
              <w:autoSpaceDE w:val="0"/>
              <w:autoSpaceDN w:val="0"/>
              <w:rPr>
                <w:sz w:val="24"/>
              </w:rPr>
            </w:pPr>
          </w:p>
        </w:tc>
        <w:tc>
          <w:tcPr>
            <w:tcW w:w="2727" w:type="dxa"/>
            <w:tcBorders>
              <w:top w:val="single" w:color="auto" w:sz="4" w:space="0"/>
              <w:left w:val="single" w:color="auto" w:sz="4" w:space="0"/>
              <w:bottom w:val="single" w:color="auto" w:sz="4" w:space="0"/>
              <w:right w:val="single" w:color="auto" w:sz="4" w:space="0"/>
            </w:tcBorders>
            <w:noWrap/>
          </w:tcPr>
          <w:p w14:paraId="510419AF">
            <w:pPr>
              <w:autoSpaceDE w:val="0"/>
              <w:autoSpaceDN w:val="0"/>
              <w:rPr>
                <w:sz w:val="24"/>
              </w:rPr>
            </w:pPr>
          </w:p>
        </w:tc>
        <w:tc>
          <w:tcPr>
            <w:tcW w:w="1268" w:type="dxa"/>
            <w:tcBorders>
              <w:top w:val="single" w:color="auto" w:sz="4" w:space="0"/>
              <w:left w:val="single" w:color="auto" w:sz="4" w:space="0"/>
              <w:bottom w:val="single" w:color="auto" w:sz="4" w:space="0"/>
              <w:right w:val="single" w:color="auto" w:sz="4" w:space="0"/>
            </w:tcBorders>
            <w:noWrap/>
          </w:tcPr>
          <w:p w14:paraId="2505C18C">
            <w:pPr>
              <w:autoSpaceDE w:val="0"/>
              <w:autoSpaceDN w:val="0"/>
              <w:rPr>
                <w:sz w:val="24"/>
              </w:rPr>
            </w:pPr>
          </w:p>
        </w:tc>
        <w:tc>
          <w:tcPr>
            <w:tcW w:w="1241" w:type="dxa"/>
            <w:tcBorders>
              <w:top w:val="single" w:color="auto" w:sz="4" w:space="0"/>
              <w:left w:val="single" w:color="auto" w:sz="4" w:space="0"/>
              <w:bottom w:val="single" w:color="auto" w:sz="4" w:space="0"/>
              <w:right w:val="single" w:color="auto" w:sz="4" w:space="0"/>
            </w:tcBorders>
            <w:noWrap/>
          </w:tcPr>
          <w:p w14:paraId="2D09D348">
            <w:pPr>
              <w:autoSpaceDE w:val="0"/>
              <w:autoSpaceDN w:val="0"/>
              <w:rPr>
                <w:sz w:val="24"/>
              </w:rPr>
            </w:pPr>
          </w:p>
        </w:tc>
        <w:tc>
          <w:tcPr>
            <w:tcW w:w="1474" w:type="dxa"/>
            <w:tcBorders>
              <w:top w:val="single" w:color="auto" w:sz="4" w:space="0"/>
              <w:left w:val="single" w:color="auto" w:sz="4" w:space="0"/>
              <w:bottom w:val="single" w:color="auto" w:sz="4" w:space="0"/>
              <w:right w:val="single" w:color="auto" w:sz="4" w:space="0"/>
            </w:tcBorders>
            <w:noWrap/>
          </w:tcPr>
          <w:p w14:paraId="3FF0324D">
            <w:pPr>
              <w:autoSpaceDE w:val="0"/>
              <w:autoSpaceDN w:val="0"/>
              <w:rPr>
                <w:sz w:val="24"/>
              </w:rPr>
            </w:pPr>
          </w:p>
        </w:tc>
      </w:tr>
    </w:tbl>
    <w:p w14:paraId="7EF440F0">
      <w:pPr>
        <w:jc w:val="left"/>
        <w:rPr>
          <w:sz w:val="24"/>
        </w:rPr>
      </w:pPr>
    </w:p>
    <w:p w14:paraId="36932653">
      <w:pPr>
        <w:autoSpaceDE w:val="0"/>
        <w:autoSpaceDN w:val="0"/>
        <w:rPr>
          <w:sz w:val="24"/>
        </w:rPr>
      </w:pPr>
      <w:r>
        <w:rPr>
          <w:sz w:val="24"/>
        </w:rPr>
        <w:br w:type="page"/>
      </w:r>
    </w:p>
    <w:p w14:paraId="4779E9A2">
      <w:pPr>
        <w:rPr>
          <w:sz w:val="30"/>
          <w:szCs w:val="30"/>
        </w:rPr>
      </w:pPr>
      <w:r>
        <w:rPr>
          <w:sz w:val="30"/>
          <w:szCs w:val="30"/>
        </w:rPr>
        <w:t>附件2</w:t>
      </w:r>
    </w:p>
    <w:p w14:paraId="585DCD6C">
      <w:pPr>
        <w:spacing w:line="440" w:lineRule="exact"/>
        <w:ind w:firstLine="420" w:firstLineChars="200"/>
      </w:pPr>
      <w:r>
        <w:rPr>
          <w:rStyle w:val="40"/>
        </w:rPr>
        <w:t>请按以下表格内容如实填写，提供经会计师事务所审计且出具无保留意见的</w:t>
      </w:r>
      <w:r>
        <w:rPr>
          <w:rStyle w:val="40"/>
          <w:b/>
          <w:bCs/>
        </w:rPr>
        <w:t>近三年（近三年指202</w:t>
      </w:r>
      <w:r>
        <w:rPr>
          <w:rStyle w:val="40"/>
          <w:rFonts w:hint="eastAsia"/>
          <w:b/>
          <w:bCs/>
          <w:lang w:val="en-US" w:eastAsia="zh-CN"/>
        </w:rPr>
        <w:t>3</w:t>
      </w:r>
      <w:r>
        <w:rPr>
          <w:rStyle w:val="40"/>
          <w:b/>
          <w:bCs/>
        </w:rPr>
        <w:t>、202</w:t>
      </w:r>
      <w:r>
        <w:rPr>
          <w:rStyle w:val="40"/>
          <w:rFonts w:hint="eastAsia"/>
          <w:b/>
          <w:bCs/>
          <w:lang w:val="en-US" w:eastAsia="zh-CN"/>
        </w:rPr>
        <w:t>4</w:t>
      </w:r>
      <w:r>
        <w:rPr>
          <w:rStyle w:val="40"/>
          <w:b/>
          <w:bCs/>
        </w:rPr>
        <w:t>、202</w:t>
      </w:r>
      <w:r>
        <w:rPr>
          <w:rStyle w:val="40"/>
          <w:rFonts w:hint="eastAsia"/>
          <w:b/>
          <w:bCs/>
          <w:lang w:val="en-US" w:eastAsia="zh-CN"/>
        </w:rPr>
        <w:t>5</w:t>
      </w:r>
      <w:r>
        <w:rPr>
          <w:rStyle w:val="40"/>
          <w:b/>
          <w:bCs/>
        </w:rPr>
        <w:t>年）的财务审计报告</w:t>
      </w:r>
      <w:r>
        <w:rPr>
          <w:rStyle w:val="40"/>
        </w:rPr>
        <w:t>，并</w:t>
      </w:r>
      <w:r>
        <w:rPr>
          <w:rStyle w:val="40"/>
          <w:b/>
          <w:bCs/>
        </w:rPr>
        <w:t>加盖公章</w:t>
      </w:r>
      <w:r>
        <w:rPr>
          <w:rStyle w:val="40"/>
        </w:rPr>
        <w:t>（包括但不限于报告页、经审计的资产负债表、利润表、现金流量表及报表附注）。如投标人公司没有经审计的财务报告，可提供</w:t>
      </w:r>
      <w:r>
        <w:rPr>
          <w:rStyle w:val="40"/>
          <w:b/>
          <w:bCs/>
        </w:rPr>
        <w:t>加盖公章</w:t>
      </w:r>
      <w:r>
        <w:rPr>
          <w:rStyle w:val="40"/>
        </w:rPr>
        <w:t>的近三年财务报表，包括但不限于资产负债表、利润表、现金流量表。应提供中文版本的审计报告或财务报表。</w:t>
      </w:r>
      <w:r>
        <w:rPr>
          <w:rStyle w:val="40"/>
          <w:b/>
          <w:bCs/>
        </w:rPr>
        <w:t>要求汇总表与财务报告（表）数据必须一致。</w:t>
      </w:r>
    </w:p>
    <w:p w14:paraId="3A9E6CCE">
      <w:pPr>
        <w:pStyle w:val="24"/>
        <w:ind w:firstLine="560"/>
      </w:pPr>
    </w:p>
    <w:tbl>
      <w:tblPr>
        <w:tblStyle w:val="31"/>
        <w:tblW w:w="9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2"/>
        <w:gridCol w:w="1997"/>
        <w:gridCol w:w="1725"/>
        <w:gridCol w:w="2067"/>
      </w:tblGrid>
      <w:tr w14:paraId="002E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21" w:type="dxa"/>
            <w:gridSpan w:val="4"/>
            <w:tcBorders>
              <w:top w:val="single" w:color="auto" w:sz="4" w:space="0"/>
              <w:left w:val="single" w:color="auto" w:sz="4" w:space="0"/>
              <w:bottom w:val="single" w:color="auto" w:sz="4" w:space="0"/>
              <w:right w:val="single" w:color="auto" w:sz="4" w:space="0"/>
            </w:tcBorders>
            <w:noWrap/>
            <w:vAlign w:val="center"/>
          </w:tcPr>
          <w:p w14:paraId="47AA0B62">
            <w:pPr>
              <w:adjustRightInd w:val="0"/>
              <w:snapToGrid w:val="0"/>
              <w:spacing w:line="440" w:lineRule="exact"/>
              <w:jc w:val="center"/>
              <w:rPr>
                <w:rStyle w:val="40"/>
                <w:b/>
                <w:bCs/>
              </w:rPr>
            </w:pPr>
            <w:r>
              <w:rPr>
                <w:rStyle w:val="40"/>
                <w:b/>
                <w:bCs/>
                <w:sz w:val="28"/>
                <w:szCs w:val="36"/>
              </w:rPr>
              <w:t>投标单位资产情况汇总表</w:t>
            </w:r>
          </w:p>
        </w:tc>
      </w:tr>
      <w:tr w14:paraId="3DFE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67827617">
            <w:pPr>
              <w:spacing w:line="440" w:lineRule="exact"/>
              <w:jc w:val="center"/>
              <w:rPr>
                <w:rStyle w:val="40"/>
              </w:rPr>
            </w:pPr>
            <w:r>
              <w:rPr>
                <w:rStyle w:val="40"/>
              </w:rPr>
              <w:t>注册资金（万元）</w:t>
            </w:r>
          </w:p>
        </w:tc>
        <w:tc>
          <w:tcPr>
            <w:tcW w:w="5789" w:type="dxa"/>
            <w:gridSpan w:val="3"/>
            <w:tcBorders>
              <w:top w:val="single" w:color="auto" w:sz="4" w:space="0"/>
              <w:left w:val="single" w:color="auto" w:sz="4" w:space="0"/>
              <w:bottom w:val="single" w:color="auto" w:sz="4" w:space="0"/>
              <w:right w:val="single" w:color="auto" w:sz="4" w:space="0"/>
            </w:tcBorders>
            <w:noWrap/>
          </w:tcPr>
          <w:p w14:paraId="1ADB55C1">
            <w:pPr>
              <w:spacing w:line="440" w:lineRule="exact"/>
              <w:jc w:val="center"/>
              <w:rPr>
                <w:rStyle w:val="40"/>
              </w:rPr>
            </w:pPr>
          </w:p>
        </w:tc>
      </w:tr>
      <w:tr w14:paraId="0720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72301ABD">
            <w:pPr>
              <w:spacing w:line="440" w:lineRule="exact"/>
              <w:jc w:val="center"/>
              <w:rPr>
                <w:rStyle w:val="40"/>
              </w:rPr>
            </w:pPr>
            <w:r>
              <w:rPr>
                <w:rStyle w:val="40"/>
              </w:rPr>
              <w:t>实收资金（万元）</w:t>
            </w:r>
          </w:p>
        </w:tc>
        <w:tc>
          <w:tcPr>
            <w:tcW w:w="5789" w:type="dxa"/>
            <w:gridSpan w:val="3"/>
            <w:tcBorders>
              <w:top w:val="single" w:color="auto" w:sz="4" w:space="0"/>
              <w:left w:val="single" w:color="auto" w:sz="4" w:space="0"/>
              <w:bottom w:val="single" w:color="auto" w:sz="4" w:space="0"/>
              <w:right w:val="single" w:color="auto" w:sz="4" w:space="0"/>
            </w:tcBorders>
            <w:noWrap/>
          </w:tcPr>
          <w:p w14:paraId="42BF329D">
            <w:pPr>
              <w:spacing w:line="440" w:lineRule="exact"/>
              <w:jc w:val="center"/>
              <w:rPr>
                <w:rStyle w:val="40"/>
              </w:rPr>
            </w:pPr>
          </w:p>
        </w:tc>
      </w:tr>
      <w:tr w14:paraId="0AAA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2ED12F91">
            <w:pPr>
              <w:spacing w:line="440" w:lineRule="exact"/>
              <w:jc w:val="center"/>
              <w:rPr>
                <w:rStyle w:val="40"/>
              </w:rPr>
            </w:pPr>
            <w:r>
              <w:rPr>
                <w:rStyle w:val="40"/>
              </w:rPr>
              <w:t>年度资产情况</w:t>
            </w:r>
          </w:p>
        </w:tc>
        <w:tc>
          <w:tcPr>
            <w:tcW w:w="1997" w:type="dxa"/>
            <w:tcBorders>
              <w:top w:val="single" w:color="auto" w:sz="4" w:space="0"/>
              <w:left w:val="single" w:color="auto" w:sz="4" w:space="0"/>
              <w:bottom w:val="single" w:color="auto" w:sz="4" w:space="0"/>
              <w:right w:val="single" w:color="auto" w:sz="4" w:space="0"/>
            </w:tcBorders>
            <w:noWrap/>
          </w:tcPr>
          <w:p w14:paraId="100FACD8">
            <w:pPr>
              <w:spacing w:line="440" w:lineRule="exact"/>
              <w:jc w:val="center"/>
              <w:rPr>
                <w:rStyle w:val="40"/>
              </w:rPr>
            </w:pPr>
            <w:r>
              <w:rPr>
                <w:rStyle w:val="40"/>
              </w:rPr>
              <w:t>202</w:t>
            </w:r>
            <w:r>
              <w:rPr>
                <w:rStyle w:val="40"/>
                <w:rFonts w:hint="eastAsia"/>
                <w:lang w:val="en-US" w:eastAsia="zh-CN"/>
              </w:rPr>
              <w:t>3</w:t>
            </w:r>
            <w:r>
              <w:rPr>
                <w:rStyle w:val="40"/>
              </w:rPr>
              <w:t>年</w:t>
            </w:r>
          </w:p>
        </w:tc>
        <w:tc>
          <w:tcPr>
            <w:tcW w:w="1725" w:type="dxa"/>
            <w:tcBorders>
              <w:top w:val="single" w:color="auto" w:sz="4" w:space="0"/>
              <w:left w:val="single" w:color="auto" w:sz="4" w:space="0"/>
              <w:bottom w:val="single" w:color="auto" w:sz="4" w:space="0"/>
              <w:right w:val="single" w:color="auto" w:sz="4" w:space="0"/>
            </w:tcBorders>
            <w:noWrap/>
          </w:tcPr>
          <w:p w14:paraId="024821EF">
            <w:pPr>
              <w:spacing w:line="440" w:lineRule="exact"/>
              <w:jc w:val="center"/>
              <w:rPr>
                <w:rStyle w:val="40"/>
              </w:rPr>
            </w:pPr>
            <w:r>
              <w:rPr>
                <w:rStyle w:val="40"/>
              </w:rPr>
              <w:t>202</w:t>
            </w:r>
            <w:r>
              <w:rPr>
                <w:rStyle w:val="40"/>
                <w:rFonts w:hint="eastAsia"/>
                <w:lang w:val="en-US" w:eastAsia="zh-CN"/>
              </w:rPr>
              <w:t>4</w:t>
            </w:r>
            <w:r>
              <w:rPr>
                <w:rStyle w:val="40"/>
              </w:rPr>
              <w:t>年</w:t>
            </w:r>
          </w:p>
        </w:tc>
        <w:tc>
          <w:tcPr>
            <w:tcW w:w="2067" w:type="dxa"/>
            <w:tcBorders>
              <w:top w:val="single" w:color="auto" w:sz="4" w:space="0"/>
              <w:left w:val="single" w:color="auto" w:sz="4" w:space="0"/>
              <w:bottom w:val="single" w:color="auto" w:sz="4" w:space="0"/>
              <w:right w:val="single" w:color="auto" w:sz="4" w:space="0"/>
            </w:tcBorders>
            <w:noWrap/>
          </w:tcPr>
          <w:p w14:paraId="0329A07F">
            <w:pPr>
              <w:spacing w:line="440" w:lineRule="exact"/>
              <w:jc w:val="center"/>
              <w:rPr>
                <w:rStyle w:val="40"/>
              </w:rPr>
            </w:pPr>
            <w:r>
              <w:rPr>
                <w:rStyle w:val="40"/>
              </w:rPr>
              <w:t>202</w:t>
            </w:r>
            <w:r>
              <w:rPr>
                <w:rStyle w:val="40"/>
                <w:rFonts w:hint="eastAsia"/>
                <w:lang w:val="en-US" w:eastAsia="zh-CN"/>
              </w:rPr>
              <w:t>5</w:t>
            </w:r>
            <w:r>
              <w:rPr>
                <w:rStyle w:val="40"/>
              </w:rPr>
              <w:t>年</w:t>
            </w:r>
          </w:p>
        </w:tc>
      </w:tr>
      <w:tr w14:paraId="4016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08864E46">
            <w:pPr>
              <w:spacing w:line="440" w:lineRule="exact"/>
              <w:jc w:val="center"/>
              <w:rPr>
                <w:rStyle w:val="40"/>
              </w:rPr>
            </w:pPr>
            <w:r>
              <w:rPr>
                <w:rStyle w:val="40"/>
              </w:rPr>
              <w:t>流动资产（万元）</w:t>
            </w:r>
          </w:p>
        </w:tc>
        <w:tc>
          <w:tcPr>
            <w:tcW w:w="1997" w:type="dxa"/>
            <w:tcBorders>
              <w:top w:val="single" w:color="auto" w:sz="4" w:space="0"/>
              <w:left w:val="single" w:color="auto" w:sz="4" w:space="0"/>
              <w:bottom w:val="single" w:color="auto" w:sz="4" w:space="0"/>
              <w:right w:val="single" w:color="auto" w:sz="4" w:space="0"/>
            </w:tcBorders>
            <w:noWrap/>
          </w:tcPr>
          <w:p w14:paraId="4C6B7972">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41F1E894">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204CD713">
            <w:pPr>
              <w:spacing w:line="440" w:lineRule="exact"/>
              <w:jc w:val="center"/>
              <w:rPr>
                <w:rStyle w:val="40"/>
              </w:rPr>
            </w:pPr>
          </w:p>
        </w:tc>
      </w:tr>
      <w:tr w14:paraId="2B18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14179116">
            <w:pPr>
              <w:spacing w:line="440" w:lineRule="exact"/>
              <w:jc w:val="center"/>
              <w:rPr>
                <w:rStyle w:val="40"/>
              </w:rPr>
            </w:pPr>
            <w:r>
              <w:rPr>
                <w:rStyle w:val="40"/>
              </w:rPr>
              <w:t>非流动资产（万元）</w:t>
            </w:r>
          </w:p>
        </w:tc>
        <w:tc>
          <w:tcPr>
            <w:tcW w:w="1997" w:type="dxa"/>
            <w:tcBorders>
              <w:top w:val="single" w:color="auto" w:sz="4" w:space="0"/>
              <w:left w:val="single" w:color="auto" w:sz="4" w:space="0"/>
              <w:bottom w:val="single" w:color="auto" w:sz="4" w:space="0"/>
              <w:right w:val="single" w:color="auto" w:sz="4" w:space="0"/>
            </w:tcBorders>
            <w:noWrap/>
          </w:tcPr>
          <w:p w14:paraId="6CDDA45E">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0D7FA672">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198F12F3">
            <w:pPr>
              <w:spacing w:line="440" w:lineRule="exact"/>
              <w:jc w:val="center"/>
              <w:rPr>
                <w:rStyle w:val="40"/>
              </w:rPr>
            </w:pPr>
          </w:p>
        </w:tc>
      </w:tr>
      <w:tr w14:paraId="2261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74E83D27">
            <w:pPr>
              <w:spacing w:line="440" w:lineRule="exact"/>
              <w:jc w:val="center"/>
              <w:rPr>
                <w:rStyle w:val="40"/>
              </w:rPr>
            </w:pPr>
            <w:r>
              <w:rPr>
                <w:rStyle w:val="40"/>
              </w:rPr>
              <w:t>营业收入（万元）</w:t>
            </w:r>
          </w:p>
        </w:tc>
        <w:tc>
          <w:tcPr>
            <w:tcW w:w="1997" w:type="dxa"/>
            <w:tcBorders>
              <w:top w:val="single" w:color="auto" w:sz="4" w:space="0"/>
              <w:left w:val="single" w:color="auto" w:sz="4" w:space="0"/>
              <w:bottom w:val="single" w:color="auto" w:sz="4" w:space="0"/>
              <w:right w:val="single" w:color="auto" w:sz="4" w:space="0"/>
            </w:tcBorders>
            <w:noWrap/>
          </w:tcPr>
          <w:p w14:paraId="5FE3E9A6">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2F3F28FB">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1D87988E">
            <w:pPr>
              <w:spacing w:line="440" w:lineRule="exact"/>
              <w:jc w:val="center"/>
              <w:rPr>
                <w:rStyle w:val="40"/>
              </w:rPr>
            </w:pPr>
          </w:p>
        </w:tc>
      </w:tr>
      <w:tr w14:paraId="7CEF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71B648BC">
            <w:pPr>
              <w:spacing w:line="440" w:lineRule="exact"/>
              <w:jc w:val="center"/>
              <w:rPr>
                <w:rStyle w:val="40"/>
              </w:rPr>
            </w:pPr>
            <w:r>
              <w:rPr>
                <w:rStyle w:val="40"/>
              </w:rPr>
              <w:t>年底资产总值（万元）</w:t>
            </w:r>
          </w:p>
        </w:tc>
        <w:tc>
          <w:tcPr>
            <w:tcW w:w="1997" w:type="dxa"/>
            <w:tcBorders>
              <w:top w:val="single" w:color="auto" w:sz="4" w:space="0"/>
              <w:left w:val="single" w:color="auto" w:sz="4" w:space="0"/>
              <w:bottom w:val="single" w:color="auto" w:sz="4" w:space="0"/>
              <w:right w:val="single" w:color="auto" w:sz="4" w:space="0"/>
            </w:tcBorders>
            <w:noWrap/>
          </w:tcPr>
          <w:p w14:paraId="3EE819F4">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26C35718">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07D316CC">
            <w:pPr>
              <w:spacing w:line="440" w:lineRule="exact"/>
              <w:jc w:val="center"/>
              <w:rPr>
                <w:rStyle w:val="40"/>
              </w:rPr>
            </w:pPr>
          </w:p>
        </w:tc>
      </w:tr>
      <w:tr w14:paraId="5C86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6B5909DD">
            <w:pPr>
              <w:spacing w:line="440" w:lineRule="exact"/>
              <w:jc w:val="center"/>
              <w:rPr>
                <w:rStyle w:val="40"/>
              </w:rPr>
            </w:pPr>
            <w:r>
              <w:rPr>
                <w:rStyle w:val="40"/>
              </w:rPr>
              <w:t>年底负债总值（万元）</w:t>
            </w:r>
          </w:p>
        </w:tc>
        <w:tc>
          <w:tcPr>
            <w:tcW w:w="1997" w:type="dxa"/>
            <w:tcBorders>
              <w:top w:val="single" w:color="auto" w:sz="4" w:space="0"/>
              <w:left w:val="single" w:color="auto" w:sz="4" w:space="0"/>
              <w:bottom w:val="single" w:color="auto" w:sz="4" w:space="0"/>
              <w:right w:val="single" w:color="auto" w:sz="4" w:space="0"/>
            </w:tcBorders>
            <w:noWrap/>
          </w:tcPr>
          <w:p w14:paraId="0A1FF4DC">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6A9B2FEF">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6BD7E102">
            <w:pPr>
              <w:spacing w:line="440" w:lineRule="exact"/>
              <w:jc w:val="center"/>
              <w:rPr>
                <w:rStyle w:val="40"/>
              </w:rPr>
            </w:pPr>
          </w:p>
        </w:tc>
      </w:tr>
      <w:tr w14:paraId="51F1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01C2D558">
            <w:pPr>
              <w:spacing w:line="440" w:lineRule="exact"/>
              <w:jc w:val="center"/>
              <w:rPr>
                <w:rStyle w:val="40"/>
              </w:rPr>
            </w:pPr>
            <w:r>
              <w:rPr>
                <w:rStyle w:val="40"/>
              </w:rPr>
              <w:t>资产负债率（**.**%）</w:t>
            </w:r>
          </w:p>
        </w:tc>
        <w:tc>
          <w:tcPr>
            <w:tcW w:w="1997" w:type="dxa"/>
            <w:tcBorders>
              <w:top w:val="single" w:color="auto" w:sz="4" w:space="0"/>
              <w:left w:val="single" w:color="auto" w:sz="4" w:space="0"/>
              <w:bottom w:val="single" w:color="auto" w:sz="4" w:space="0"/>
              <w:right w:val="single" w:color="auto" w:sz="4" w:space="0"/>
            </w:tcBorders>
            <w:noWrap/>
          </w:tcPr>
          <w:p w14:paraId="08847AD9">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74E6FEDB">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3A7523F2">
            <w:pPr>
              <w:spacing w:line="440" w:lineRule="exact"/>
              <w:jc w:val="center"/>
              <w:rPr>
                <w:rStyle w:val="40"/>
              </w:rPr>
            </w:pPr>
          </w:p>
        </w:tc>
      </w:tr>
      <w:tr w14:paraId="2374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441BCDBA">
            <w:pPr>
              <w:spacing w:line="440" w:lineRule="exact"/>
              <w:jc w:val="center"/>
              <w:rPr>
                <w:rStyle w:val="40"/>
              </w:rPr>
            </w:pPr>
            <w:r>
              <w:rPr>
                <w:rStyle w:val="40"/>
              </w:rPr>
              <w:t>净利润（万元）</w:t>
            </w:r>
          </w:p>
        </w:tc>
        <w:tc>
          <w:tcPr>
            <w:tcW w:w="1997" w:type="dxa"/>
            <w:tcBorders>
              <w:top w:val="single" w:color="auto" w:sz="4" w:space="0"/>
              <w:left w:val="single" w:color="auto" w:sz="4" w:space="0"/>
              <w:bottom w:val="single" w:color="auto" w:sz="4" w:space="0"/>
              <w:right w:val="single" w:color="auto" w:sz="4" w:space="0"/>
            </w:tcBorders>
            <w:noWrap/>
          </w:tcPr>
          <w:p w14:paraId="467C28D1">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3E240DC6">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167BC0B1">
            <w:pPr>
              <w:spacing w:line="440" w:lineRule="exact"/>
              <w:jc w:val="center"/>
              <w:rPr>
                <w:rStyle w:val="40"/>
              </w:rPr>
            </w:pPr>
          </w:p>
        </w:tc>
      </w:tr>
      <w:tr w14:paraId="5F3A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443FC45A">
            <w:pPr>
              <w:spacing w:line="440" w:lineRule="exact"/>
              <w:jc w:val="center"/>
              <w:rPr>
                <w:rStyle w:val="40"/>
              </w:rPr>
            </w:pPr>
            <w:r>
              <w:rPr>
                <w:rStyle w:val="40"/>
              </w:rPr>
              <w:t>未分配利润（万元）</w:t>
            </w:r>
          </w:p>
        </w:tc>
        <w:tc>
          <w:tcPr>
            <w:tcW w:w="1997" w:type="dxa"/>
            <w:tcBorders>
              <w:top w:val="single" w:color="auto" w:sz="4" w:space="0"/>
              <w:left w:val="single" w:color="auto" w:sz="4" w:space="0"/>
              <w:bottom w:val="single" w:color="auto" w:sz="4" w:space="0"/>
              <w:right w:val="single" w:color="auto" w:sz="4" w:space="0"/>
            </w:tcBorders>
            <w:noWrap/>
          </w:tcPr>
          <w:p w14:paraId="0D8408E7">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4664B3E2">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6209A4CF">
            <w:pPr>
              <w:spacing w:line="440" w:lineRule="exact"/>
              <w:jc w:val="center"/>
              <w:rPr>
                <w:rStyle w:val="40"/>
              </w:rPr>
            </w:pPr>
          </w:p>
        </w:tc>
      </w:tr>
      <w:tr w14:paraId="10BA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770DF7ED">
            <w:pPr>
              <w:spacing w:line="440" w:lineRule="exact"/>
              <w:jc w:val="center"/>
            </w:pPr>
            <w:r>
              <w:t>营运资金</w:t>
            </w:r>
            <w:r>
              <w:rPr>
                <w:rStyle w:val="40"/>
              </w:rPr>
              <w:t>（万元）</w:t>
            </w:r>
          </w:p>
        </w:tc>
        <w:tc>
          <w:tcPr>
            <w:tcW w:w="1997" w:type="dxa"/>
            <w:tcBorders>
              <w:top w:val="single" w:color="auto" w:sz="4" w:space="0"/>
              <w:left w:val="single" w:color="auto" w:sz="4" w:space="0"/>
              <w:bottom w:val="single" w:color="auto" w:sz="4" w:space="0"/>
              <w:right w:val="single" w:color="auto" w:sz="4" w:space="0"/>
            </w:tcBorders>
            <w:noWrap/>
          </w:tcPr>
          <w:p w14:paraId="3BB95B79">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1D012CF1">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60A73FF8">
            <w:pPr>
              <w:spacing w:line="440" w:lineRule="exact"/>
              <w:jc w:val="center"/>
              <w:rPr>
                <w:rStyle w:val="40"/>
              </w:rPr>
            </w:pPr>
          </w:p>
        </w:tc>
      </w:tr>
      <w:tr w14:paraId="3803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34BF4962">
            <w:pPr>
              <w:spacing w:line="440" w:lineRule="exact"/>
              <w:jc w:val="center"/>
              <w:rPr>
                <w:rStyle w:val="40"/>
              </w:rPr>
            </w:pPr>
            <w:r>
              <w:rPr>
                <w:rStyle w:val="40"/>
              </w:rPr>
              <w:t>发展能力状况</w:t>
            </w:r>
          </w:p>
          <w:p w14:paraId="2FD3F544">
            <w:pPr>
              <w:spacing w:line="440" w:lineRule="exact"/>
              <w:jc w:val="center"/>
            </w:pPr>
            <w:r>
              <w:rPr>
                <w:rStyle w:val="40"/>
              </w:rPr>
              <w:t>（本年营业收入-上年营业收入）÷上年营业收入</w:t>
            </w:r>
          </w:p>
        </w:tc>
        <w:tc>
          <w:tcPr>
            <w:tcW w:w="1997" w:type="dxa"/>
            <w:tcBorders>
              <w:top w:val="single" w:color="auto" w:sz="4" w:space="0"/>
              <w:left w:val="single" w:color="auto" w:sz="4" w:space="0"/>
              <w:bottom w:val="single" w:color="auto" w:sz="4" w:space="0"/>
              <w:right w:val="single" w:color="auto" w:sz="4" w:space="0"/>
            </w:tcBorders>
            <w:noWrap/>
          </w:tcPr>
          <w:p w14:paraId="7DBD8D1F">
            <w:pPr>
              <w:spacing w:line="440" w:lineRule="exact"/>
              <w:jc w:val="center"/>
              <w:rPr>
                <w:rStyle w:val="40"/>
              </w:rPr>
            </w:pPr>
          </w:p>
        </w:tc>
        <w:tc>
          <w:tcPr>
            <w:tcW w:w="1725" w:type="dxa"/>
            <w:tcBorders>
              <w:top w:val="single" w:color="auto" w:sz="4" w:space="0"/>
              <w:left w:val="single" w:color="auto" w:sz="4" w:space="0"/>
              <w:bottom w:val="single" w:color="auto" w:sz="4" w:space="0"/>
              <w:right w:val="single" w:color="auto" w:sz="4" w:space="0"/>
            </w:tcBorders>
            <w:noWrap/>
          </w:tcPr>
          <w:p w14:paraId="3EA3A6DD">
            <w:pPr>
              <w:spacing w:line="440" w:lineRule="exact"/>
              <w:jc w:val="center"/>
              <w:rPr>
                <w:rStyle w:val="40"/>
              </w:rPr>
            </w:pPr>
          </w:p>
        </w:tc>
        <w:tc>
          <w:tcPr>
            <w:tcW w:w="2067" w:type="dxa"/>
            <w:tcBorders>
              <w:top w:val="single" w:color="auto" w:sz="4" w:space="0"/>
              <w:left w:val="single" w:color="auto" w:sz="4" w:space="0"/>
              <w:bottom w:val="single" w:color="auto" w:sz="4" w:space="0"/>
              <w:right w:val="single" w:color="auto" w:sz="4" w:space="0"/>
            </w:tcBorders>
            <w:noWrap/>
          </w:tcPr>
          <w:p w14:paraId="0C4F85C2">
            <w:pPr>
              <w:spacing w:line="440" w:lineRule="exact"/>
              <w:jc w:val="center"/>
              <w:rPr>
                <w:rStyle w:val="40"/>
              </w:rPr>
            </w:pPr>
          </w:p>
        </w:tc>
      </w:tr>
    </w:tbl>
    <w:p w14:paraId="18A0D9BF">
      <w:pPr>
        <w:jc w:val="left"/>
        <w:rPr>
          <w:sz w:val="24"/>
        </w:rPr>
      </w:pPr>
    </w:p>
    <w:p w14:paraId="30AB258E">
      <w:pPr>
        <w:jc w:val="left"/>
        <w:rPr>
          <w:sz w:val="24"/>
        </w:rPr>
      </w:pPr>
    </w:p>
    <w:p w14:paraId="48C206AA">
      <w:pPr>
        <w:jc w:val="left"/>
      </w:pPr>
      <w:r>
        <w:rPr>
          <w:sz w:val="24"/>
        </w:rPr>
        <w:br w:type="page"/>
      </w:r>
    </w:p>
    <w:p w14:paraId="3C48191D">
      <w:pPr>
        <w:autoSpaceDE w:val="0"/>
        <w:autoSpaceDN w:val="0"/>
        <w:rPr>
          <w:rFonts w:hint="eastAsia" w:eastAsia="宋体"/>
          <w:sz w:val="30"/>
          <w:szCs w:val="30"/>
          <w:lang w:eastAsia="zh-CN"/>
        </w:rPr>
      </w:pPr>
      <w:r>
        <w:rPr>
          <w:sz w:val="30"/>
          <w:szCs w:val="30"/>
        </w:rPr>
        <w:t>附件</w:t>
      </w:r>
      <w:r>
        <w:rPr>
          <w:rFonts w:hint="eastAsia"/>
          <w:sz w:val="30"/>
          <w:szCs w:val="30"/>
          <w:lang w:val="en-US" w:eastAsia="zh-CN"/>
        </w:rPr>
        <w:t>3</w:t>
      </w:r>
    </w:p>
    <w:p w14:paraId="787E52A9">
      <w:pPr>
        <w:spacing w:line="360" w:lineRule="auto"/>
        <w:jc w:val="center"/>
        <w:rPr>
          <w:b/>
          <w:sz w:val="32"/>
          <w:szCs w:val="32"/>
        </w:rPr>
      </w:pPr>
      <w:r>
        <w:rPr>
          <w:b/>
          <w:sz w:val="32"/>
          <w:szCs w:val="32"/>
        </w:rPr>
        <w:t>法人授权委托书</w:t>
      </w:r>
    </w:p>
    <w:p w14:paraId="1CEEF48A">
      <w:pPr>
        <w:snapToGrid w:val="0"/>
        <w:spacing w:line="360" w:lineRule="auto"/>
        <w:rPr>
          <w:sz w:val="24"/>
        </w:rPr>
      </w:pPr>
      <w:r>
        <w:rPr>
          <w:sz w:val="24"/>
        </w:rPr>
        <w:t>致:</w:t>
      </w:r>
      <w:r>
        <w:rPr>
          <w:sz w:val="24"/>
          <w:u w:val="single"/>
        </w:rPr>
        <w:t xml:space="preserve">                    </w:t>
      </w:r>
    </w:p>
    <w:p w14:paraId="2A7D9E4E">
      <w:pPr>
        <w:snapToGrid w:val="0"/>
        <w:spacing w:line="360" w:lineRule="auto"/>
        <w:ind w:firstLine="480" w:firstLineChars="200"/>
        <w:rPr>
          <w:sz w:val="24"/>
        </w:rPr>
      </w:pPr>
      <w:r>
        <w:rPr>
          <w:sz w:val="24"/>
        </w:rPr>
        <w:t>本授权书宣告，我单位</w:t>
      </w:r>
      <w:r>
        <w:rPr>
          <w:sz w:val="24"/>
          <w:u w:val="single"/>
        </w:rPr>
        <w:t xml:space="preserve">              </w:t>
      </w:r>
      <w:r>
        <w:rPr>
          <w:sz w:val="24"/>
        </w:rPr>
        <w:t>（以下简称“投标人”）授权</w:t>
      </w:r>
      <w:r>
        <w:rPr>
          <w:sz w:val="24"/>
          <w:u w:val="single"/>
        </w:rPr>
        <w:t xml:space="preserve">   （姓名）</w:t>
      </w:r>
      <w:r>
        <w:rPr>
          <w:sz w:val="24"/>
        </w:rPr>
        <w:t>为本单位的合法代理人，授权其在</w:t>
      </w:r>
      <w:r>
        <w:rPr>
          <w:sz w:val="24"/>
          <w:u w:val="single"/>
        </w:rPr>
        <w:t xml:space="preserve">                     项目</w:t>
      </w:r>
      <w:r>
        <w:rPr>
          <w:sz w:val="24"/>
        </w:rPr>
        <w:t>的投标活动中，以本单位的名义，并代表投标人签署、澄清、说明、补正、递交、撤回、修改文件和处理一切与本项目有关的事务，包括合同签订。代理人在本招标及合同签订活动中的一切行为，均代表本单位，与本人的行为具有同等法律效力。</w:t>
      </w:r>
    </w:p>
    <w:p w14:paraId="2B7A9AE9">
      <w:pPr>
        <w:snapToGrid w:val="0"/>
        <w:spacing w:line="360" w:lineRule="auto"/>
        <w:ind w:firstLine="480"/>
        <w:rPr>
          <w:sz w:val="24"/>
        </w:rPr>
      </w:pPr>
      <w:r>
        <w:rPr>
          <w:sz w:val="24"/>
        </w:rPr>
        <w:t>有效期：</w:t>
      </w:r>
      <w:r>
        <w:rPr>
          <w:sz w:val="24"/>
          <w:u w:val="single"/>
        </w:rPr>
        <w:t xml:space="preserve">             </w:t>
      </w:r>
    </w:p>
    <w:p w14:paraId="352FAE42">
      <w:pPr>
        <w:snapToGrid w:val="0"/>
        <w:spacing w:line="360" w:lineRule="auto"/>
        <w:ind w:firstLine="480"/>
        <w:rPr>
          <w:sz w:val="24"/>
        </w:rPr>
      </w:pPr>
      <w:r>
        <w:rPr>
          <w:sz w:val="24"/>
        </w:rPr>
        <w:t xml:space="preserve">代理人无权转换委托权。特此委托。  </w:t>
      </w:r>
    </w:p>
    <w:tbl>
      <w:tblPr>
        <w:tblStyle w:val="31"/>
        <w:tblW w:w="9210" w:type="dxa"/>
        <w:tblInd w:w="-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214"/>
      </w:tblGrid>
      <w:tr w14:paraId="72865C7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4563" w:hRule="atLeast"/>
        </w:trPr>
        <w:tc>
          <w:tcPr>
            <w:tcW w:w="9214" w:type="dxa"/>
            <w:tcBorders>
              <w:top w:val="dashed" w:color="auto" w:sz="4" w:space="0"/>
              <w:left w:val="dashed" w:color="auto" w:sz="4" w:space="0"/>
              <w:bottom w:val="dashed" w:color="auto" w:sz="4" w:space="0"/>
              <w:right w:val="dashed" w:color="auto" w:sz="4" w:space="0"/>
            </w:tcBorders>
            <w:noWrap/>
          </w:tcPr>
          <w:p w14:paraId="0D385C55">
            <w:pPr>
              <w:snapToGrid w:val="0"/>
              <w:spacing w:line="360" w:lineRule="auto"/>
              <w:ind w:firstLine="480" w:firstLineChars="200"/>
              <w:jc w:val="left"/>
              <w:rPr>
                <w:sz w:val="24"/>
              </w:rPr>
            </w:pPr>
            <w:r>
              <w:rPr>
                <w:sz w:val="24"/>
              </w:rPr>
              <w:t>（法定代表人及委托代理人身份证正、反面复印件）</w:t>
            </w:r>
          </w:p>
          <w:p w14:paraId="5D20E622">
            <w:pPr>
              <w:snapToGrid w:val="0"/>
              <w:spacing w:line="360" w:lineRule="auto"/>
              <w:ind w:firstLine="480"/>
              <w:rPr>
                <w:sz w:val="24"/>
              </w:rPr>
            </w:pPr>
          </w:p>
          <w:p w14:paraId="39ABD6DD">
            <w:pPr>
              <w:pStyle w:val="24"/>
              <w:rPr>
                <w:sz w:val="21"/>
              </w:rPr>
            </w:pPr>
          </w:p>
          <w:p w14:paraId="316EC8B3"/>
          <w:p w14:paraId="05DB4C09">
            <w:pPr>
              <w:pStyle w:val="24"/>
              <w:ind w:firstLine="560"/>
            </w:pPr>
          </w:p>
        </w:tc>
      </w:tr>
    </w:tbl>
    <w:p w14:paraId="3DD9B014">
      <w:pPr>
        <w:snapToGrid w:val="0"/>
        <w:spacing w:line="360" w:lineRule="auto"/>
        <w:rPr>
          <w:sz w:val="24"/>
        </w:rPr>
      </w:pPr>
    </w:p>
    <w:p w14:paraId="13F71CA8">
      <w:pPr>
        <w:snapToGrid w:val="0"/>
        <w:spacing w:line="360" w:lineRule="auto"/>
        <w:rPr>
          <w:sz w:val="24"/>
        </w:rPr>
      </w:pPr>
      <w:r>
        <w:rPr>
          <w:sz w:val="24"/>
        </w:rPr>
        <w:t>代理人姓名：</w:t>
      </w:r>
      <w:r>
        <w:rPr>
          <w:sz w:val="24"/>
          <w:u w:val="single"/>
        </w:rPr>
        <w:t xml:space="preserve">          </w:t>
      </w:r>
      <w:r>
        <w:rPr>
          <w:sz w:val="24"/>
        </w:rPr>
        <w:t xml:space="preserve"> 性别：</w:t>
      </w:r>
      <w:r>
        <w:rPr>
          <w:sz w:val="24"/>
          <w:u w:val="single"/>
        </w:rPr>
        <w:t xml:space="preserve">           </w:t>
      </w:r>
    </w:p>
    <w:p w14:paraId="7AEECA01">
      <w:pPr>
        <w:snapToGrid w:val="0"/>
        <w:spacing w:line="360" w:lineRule="auto"/>
        <w:rPr>
          <w:sz w:val="24"/>
          <w:u w:val="single"/>
        </w:rPr>
      </w:pPr>
      <w:r>
        <w:rPr>
          <w:sz w:val="24"/>
        </w:rPr>
        <w:t xml:space="preserve">年龄： </w:t>
      </w:r>
      <w:r>
        <w:rPr>
          <w:sz w:val="24"/>
          <w:u w:val="single"/>
        </w:rPr>
        <w:t xml:space="preserve">               </w:t>
      </w:r>
      <w:r>
        <w:rPr>
          <w:sz w:val="24"/>
        </w:rPr>
        <w:t xml:space="preserve"> 职务：</w:t>
      </w:r>
      <w:r>
        <w:rPr>
          <w:sz w:val="24"/>
          <w:u w:val="single"/>
        </w:rPr>
        <w:t xml:space="preserve">           </w:t>
      </w:r>
    </w:p>
    <w:p w14:paraId="3E652E63">
      <w:pPr>
        <w:snapToGrid w:val="0"/>
        <w:spacing w:line="360" w:lineRule="auto"/>
        <w:rPr>
          <w:sz w:val="24"/>
        </w:rPr>
      </w:pPr>
      <w:r>
        <w:rPr>
          <w:sz w:val="24"/>
        </w:rPr>
        <w:t>身份证号：</w:t>
      </w:r>
      <w:r>
        <w:rPr>
          <w:sz w:val="24"/>
          <w:u w:val="single"/>
        </w:rPr>
        <w:t xml:space="preserve">                              </w:t>
      </w:r>
    </w:p>
    <w:p w14:paraId="0118ED81">
      <w:pPr>
        <w:snapToGrid w:val="0"/>
        <w:spacing w:line="360" w:lineRule="auto"/>
        <w:ind w:firstLine="4920" w:firstLineChars="2050"/>
        <w:rPr>
          <w:sz w:val="24"/>
        </w:rPr>
      </w:pPr>
    </w:p>
    <w:p w14:paraId="5F017B66">
      <w:pPr>
        <w:tabs>
          <w:tab w:val="left" w:pos="4820"/>
        </w:tabs>
        <w:snapToGrid w:val="0"/>
        <w:spacing w:line="360" w:lineRule="auto"/>
        <w:ind w:right="240"/>
        <w:jc w:val="left"/>
        <w:rPr>
          <w:sz w:val="24"/>
        </w:rPr>
      </w:pPr>
      <w:r>
        <w:rPr>
          <w:sz w:val="24"/>
        </w:rPr>
        <w:tab/>
      </w:r>
      <w:r>
        <w:rPr>
          <w:sz w:val="24"/>
        </w:rPr>
        <w:t xml:space="preserve">投标人（盖章）：                     </w:t>
      </w:r>
    </w:p>
    <w:p w14:paraId="6A676DB0">
      <w:pPr>
        <w:pStyle w:val="15"/>
        <w:rPr>
          <w:sz w:val="24"/>
        </w:rPr>
      </w:pPr>
    </w:p>
    <w:p w14:paraId="39B0D8FC">
      <w:pPr>
        <w:pStyle w:val="15"/>
        <w:tabs>
          <w:tab w:val="left" w:pos="4820"/>
        </w:tabs>
        <w:rPr>
          <w:sz w:val="24"/>
        </w:rPr>
      </w:pPr>
      <w:r>
        <w:rPr>
          <w:sz w:val="24"/>
        </w:rPr>
        <w:tab/>
      </w:r>
      <w:r>
        <w:rPr>
          <w:sz w:val="24"/>
        </w:rPr>
        <w:t>法定代表人（签字或盖章）</w:t>
      </w:r>
    </w:p>
    <w:p w14:paraId="7B27DF52">
      <w:pPr>
        <w:pStyle w:val="15"/>
        <w:tabs>
          <w:tab w:val="left" w:pos="5387"/>
        </w:tabs>
        <w:rPr>
          <w:sz w:val="24"/>
        </w:rPr>
      </w:pPr>
    </w:p>
    <w:p w14:paraId="387F3C53">
      <w:pPr>
        <w:autoSpaceDE w:val="0"/>
        <w:autoSpaceDN w:val="0"/>
        <w:jc w:val="right"/>
        <w:rPr>
          <w:sz w:val="24"/>
        </w:rPr>
      </w:pPr>
      <w:r>
        <w:rPr>
          <w:sz w:val="24"/>
        </w:rPr>
        <w:t>日期：    年   月   日</w:t>
      </w:r>
      <w:r>
        <w:rPr>
          <w:sz w:val="24"/>
        </w:rPr>
        <w:br w:type="page"/>
      </w:r>
    </w:p>
    <w:p w14:paraId="4440FEAC">
      <w:pPr>
        <w:autoSpaceDE w:val="0"/>
        <w:autoSpaceDN w:val="0"/>
        <w:rPr>
          <w:rFonts w:hint="eastAsia" w:eastAsia="宋体"/>
          <w:sz w:val="30"/>
          <w:szCs w:val="30"/>
          <w:lang w:eastAsia="zh-CN"/>
        </w:rPr>
      </w:pPr>
      <w:r>
        <w:rPr>
          <w:sz w:val="30"/>
          <w:szCs w:val="30"/>
        </w:rPr>
        <w:t>附件</w:t>
      </w:r>
      <w:r>
        <w:rPr>
          <w:rFonts w:hint="eastAsia"/>
          <w:sz w:val="30"/>
          <w:szCs w:val="30"/>
          <w:lang w:val="en-US" w:eastAsia="zh-CN"/>
        </w:rPr>
        <w:t>4</w:t>
      </w:r>
    </w:p>
    <w:p w14:paraId="064B2A13">
      <w:pPr>
        <w:pStyle w:val="29"/>
        <w:snapToGrid w:val="0"/>
        <w:rPr>
          <w:b/>
          <w:bCs w:val="0"/>
          <w:sz w:val="44"/>
          <w:szCs w:val="60"/>
        </w:rPr>
      </w:pPr>
      <w:bookmarkStart w:id="9" w:name="_Toc20382"/>
      <w:bookmarkStart w:id="10" w:name="_Toc174713057"/>
      <w:bookmarkStart w:id="11" w:name="_Toc14341835"/>
      <w:r>
        <w:rPr>
          <w:b/>
          <w:bCs w:val="0"/>
          <w:sz w:val="44"/>
          <w:szCs w:val="60"/>
        </w:rPr>
        <w:t>非生产供应商注册操作手册</w:t>
      </w:r>
      <w:bookmarkEnd w:id="9"/>
    </w:p>
    <w:p w14:paraId="4BB59416">
      <w:pPr>
        <w:snapToGrid w:val="0"/>
        <w:spacing w:line="288" w:lineRule="auto"/>
        <w:rPr>
          <w:rFonts w:ascii="宋体" w:hAnsi="宋体" w:cs="宋体"/>
          <w:b/>
          <w:bCs/>
          <w:color w:val="FF0000"/>
          <w:szCs w:val="21"/>
        </w:rPr>
      </w:pPr>
      <w:r>
        <w:rPr>
          <w:rFonts w:hint="eastAsia" w:ascii="宋体" w:hAnsi="宋体" w:cs="宋体"/>
          <w:b/>
          <w:bCs/>
          <w:szCs w:val="21"/>
        </w:rPr>
        <w:t>e采通账号注册</w:t>
      </w:r>
    </w:p>
    <w:p w14:paraId="62CA712A">
      <w:pPr>
        <w:snapToGrid w:val="0"/>
        <w:spacing w:line="288" w:lineRule="auto"/>
        <w:rPr>
          <w:rFonts w:ascii="宋体" w:hAnsi="宋体" w:cs="宋体"/>
          <w:b/>
          <w:bCs/>
          <w:color w:val="FF0000"/>
          <w:szCs w:val="21"/>
        </w:rPr>
      </w:pPr>
      <w:r>
        <w:rPr>
          <w:rFonts w:hint="eastAsia" w:ascii="宋体" w:hAnsi="宋体" w:cs="宋体"/>
          <w:szCs w:val="21"/>
        </w:rPr>
        <w:t>投标人必须在报名时完成账号注册，</w:t>
      </w:r>
      <w:r>
        <w:rPr>
          <w:rFonts w:hint="eastAsia" w:ascii="宋体" w:hAnsi="宋体" w:cs="宋体"/>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14:paraId="61F5D79D">
      <w:pPr>
        <w:snapToGrid w:val="0"/>
        <w:spacing w:line="288" w:lineRule="auto"/>
        <w:rPr>
          <w:rFonts w:ascii="宋体" w:hAnsi="宋体" w:cs="宋体"/>
          <w:b/>
          <w:bCs/>
          <w:szCs w:val="21"/>
        </w:rPr>
      </w:pPr>
      <w:r>
        <w:rPr>
          <w:rFonts w:hint="eastAsia" w:ascii="宋体" w:hAnsi="宋体" w:cs="宋体"/>
          <w:b/>
          <w:bCs/>
          <w:szCs w:val="21"/>
        </w:rPr>
        <w:t>投标单位名称带有括号的，应确保括号的样式（区分英文或汉字输入法）与银行预留的、e采通注册的完全一致，不一致的请自行在e采通中修改，否则影响后续退保证金及付款。</w:t>
      </w:r>
    </w:p>
    <w:p w14:paraId="5F85AEB7">
      <w:pPr>
        <w:snapToGrid w:val="0"/>
        <w:spacing w:line="288" w:lineRule="auto"/>
        <w:rPr>
          <w:rFonts w:hint="eastAsia" w:ascii="宋体" w:hAnsi="宋体" w:cs="宋体"/>
          <w:b/>
          <w:bCs/>
          <w:color w:val="FF0000"/>
          <w:szCs w:val="21"/>
        </w:rPr>
      </w:pPr>
      <w:r>
        <w:rPr>
          <w:rFonts w:hint="eastAsia" w:ascii="宋体" w:hAnsi="宋体" w:cs="宋体"/>
          <w:b/>
          <w:bCs/>
          <w:color w:val="FF0000"/>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6272D55B">
      <w:pPr>
        <w:rPr>
          <w:rFonts w:ascii="宋体" w:cs="宋体"/>
          <w:b/>
          <w:bCs/>
          <w:color w:val="C00000"/>
          <w:lang w:bidi="ar"/>
        </w:rPr>
      </w:pPr>
    </w:p>
    <w:p w14:paraId="43E73F66">
      <w:pPr>
        <w:rPr>
          <w:rFonts w:ascii="宋体" w:cs="宋体"/>
          <w:b/>
          <w:bCs/>
          <w:color w:val="C00000"/>
          <w:lang w:bidi="ar"/>
        </w:rPr>
      </w:pPr>
    </w:p>
    <w:p w14:paraId="5B79C1E6">
      <w:pPr>
        <w:rPr>
          <w:rFonts w:ascii="宋体" w:cs="宋体"/>
          <w:b/>
          <w:bCs/>
          <w:sz w:val="32"/>
          <w:szCs w:val="40"/>
          <w:highlight w:val="yellow"/>
        </w:rPr>
      </w:pPr>
      <w:r>
        <w:rPr>
          <w:rFonts w:hint="eastAsia" w:ascii="宋体" w:cs="宋体"/>
          <w:b/>
          <w:bCs/>
          <w:sz w:val="32"/>
          <w:szCs w:val="40"/>
          <w:highlight w:val="yellow"/>
          <w:lang w:bidi="ar"/>
        </w:rPr>
        <w:t>供应商注册</w:t>
      </w:r>
    </w:p>
    <w:p w14:paraId="6DD45A0D">
      <w:pPr>
        <w:rPr>
          <w:rFonts w:ascii="宋体" w:cs="宋体"/>
          <w:b/>
          <w:bCs/>
          <w:color w:val="C00000"/>
        </w:rPr>
      </w:pPr>
      <w:r>
        <w:rPr>
          <w:rFonts w:hint="eastAsia" w:ascii="宋体" w:cs="宋体"/>
          <w:b/>
          <w:bCs/>
          <w:color w:val="C00000"/>
          <w:lang w:bidi="ar"/>
        </w:rPr>
        <w:t>归口部门选“技术改造部”</w:t>
      </w:r>
    </w:p>
    <w:p w14:paraId="7EE434C0">
      <w:r>
        <w:rPr>
          <w:rFonts w:hint="eastAsia" w:ascii="宋体" w:cs="宋体"/>
          <w:color w:val="000000"/>
          <w:lang w:bidi="ar"/>
        </w:rPr>
        <w:t>浏览器中输入地址</w:t>
      </w:r>
      <w:r>
        <w:rPr>
          <w:rFonts w:ascii="Calibri" w:hAnsi="Calibri" w:eastAsia="Calibri" w:cs="Calibri"/>
          <w:color w:val="000000"/>
          <w:lang w:bidi="ar"/>
        </w:rPr>
        <w:t>;</w:t>
      </w:r>
    </w:p>
    <w:p w14:paraId="50925B1E">
      <w:r>
        <w:fldChar w:fldCharType="begin"/>
      </w:r>
      <w:r>
        <w:instrText xml:space="preserve"> HYPERLINK "http://ecaitong.sinotruk.com:8012/" \l "/login normalLink /tdkey d38o9f /tdfe -10 /tdfu http:/ecaitong.sinotruk.com:8012/#/login /tdlt inline" </w:instrText>
      </w:r>
      <w:r>
        <w:fldChar w:fldCharType="separate"/>
      </w:r>
      <w:r>
        <w:rPr>
          <w:rStyle w:val="36"/>
        </w:rPr>
        <w:t>http</w:t>
      </w:r>
      <w:r>
        <w:rPr>
          <w:rStyle w:val="36"/>
          <w:rFonts w:hint="eastAsia"/>
        </w:rPr>
        <w:t>s</w:t>
      </w:r>
      <w:r>
        <w:rPr>
          <w:rStyle w:val="36"/>
        </w:rPr>
        <w:t>://ecaitong.sinotruk.com:8012/#/login</w:t>
      </w:r>
      <w:r>
        <w:rPr>
          <w:rStyle w:val="36"/>
        </w:rPr>
        <w:fldChar w:fldCharType="end"/>
      </w:r>
    </w:p>
    <w:p w14:paraId="04775672">
      <w:pPr>
        <w:numPr>
          <w:ilvl w:val="0"/>
          <w:numId w:val="5"/>
        </w:numPr>
        <w:rPr>
          <w:rFonts w:ascii="宋体" w:cs="宋体"/>
          <w:color w:val="000000"/>
          <w:lang w:bidi="ar"/>
        </w:rPr>
      </w:pPr>
      <w:r>
        <w:rPr>
          <w:rFonts w:hint="eastAsia" w:ascii="宋体" w:cs="宋体"/>
          <w:color w:val="000000"/>
          <w:lang w:bidi="ar"/>
        </w:rPr>
        <w:t>点击立即注册</w:t>
      </w:r>
    </w:p>
    <w:p w14:paraId="26ABE398">
      <w:pPr>
        <w:rPr>
          <w:sz w:val="13"/>
          <w:szCs w:val="16"/>
          <w:highlight w:val="red"/>
        </w:rPr>
      </w:pPr>
      <w:r>
        <w:rPr>
          <w:rFonts w:hint="eastAsia" w:ascii="宋体" w:cs="宋体"/>
          <w:b/>
          <w:bCs/>
          <w:color w:val="C00000"/>
          <w:sz w:val="28"/>
          <w:szCs w:val="36"/>
          <w:highlight w:val="yellow"/>
          <w:lang w:bidi="ar"/>
        </w:rPr>
        <w:t>新用户注册前请务必仔细阅读系统中的供应商用户手册，根据手册提示进行操作，见下图所示</w:t>
      </w:r>
    </w:p>
    <w:p w14:paraId="2E4BDD03">
      <w:pPr>
        <w:snapToGrid w:val="0"/>
        <w:spacing w:line="312" w:lineRule="auto"/>
      </w:pPr>
      <w:r>
        <w:rPr>
          <w:rFonts w:ascii="宋体" w:hAnsi="宋体" w:cs="宋体"/>
          <w:sz w:val="24"/>
        </w:rPr>
        <w:drawing>
          <wp:inline distT="0" distB="0" distL="114300" distR="114300">
            <wp:extent cx="5605145" cy="2578735"/>
            <wp:effectExtent l="0" t="0" r="5080" b="2540"/>
            <wp:docPr id="2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IMG_256"/>
                    <pic:cNvPicPr>
                      <a:picLocks noChangeAspect="1"/>
                    </pic:cNvPicPr>
                  </pic:nvPicPr>
                  <pic:blipFill>
                    <a:blip r:embed="rId8"/>
                    <a:stretch>
                      <a:fillRect/>
                    </a:stretch>
                  </pic:blipFill>
                  <pic:spPr>
                    <a:xfrm>
                      <a:off x="0" y="0"/>
                      <a:ext cx="5605145" cy="2578735"/>
                    </a:xfrm>
                    <a:prstGeom prst="rect">
                      <a:avLst/>
                    </a:prstGeom>
                    <a:noFill/>
                    <a:ln>
                      <a:noFill/>
                    </a:ln>
                  </pic:spPr>
                </pic:pic>
              </a:graphicData>
            </a:graphic>
          </wp:inline>
        </w:drawing>
      </w:r>
    </w:p>
    <w:p w14:paraId="242A8842">
      <w:r>
        <w:rPr>
          <w:rFonts w:ascii="Calibri" w:hAnsi="Calibri" w:eastAsia="Calibri" w:cs="Calibri"/>
          <w:color w:val="000000"/>
          <w:lang w:bidi="ar"/>
        </w:rPr>
        <w:t xml:space="preserve">2.     </w:t>
      </w:r>
      <w:r>
        <w:rPr>
          <w:rFonts w:hint="eastAsia" w:ascii="宋体" w:cs="宋体"/>
          <w:color w:val="000000"/>
          <w:lang w:bidi="ar"/>
        </w:rPr>
        <w:t>填写手机号码（没有注册过的）</w:t>
      </w:r>
    </w:p>
    <w:p w14:paraId="2B0E3829">
      <w:pPr>
        <w:snapToGrid w:val="0"/>
        <w:spacing w:line="312" w:lineRule="auto"/>
      </w:pPr>
      <w:r>
        <w:drawing>
          <wp:inline distT="0" distB="0" distL="114300" distR="114300">
            <wp:extent cx="5758180" cy="2765425"/>
            <wp:effectExtent l="0" t="0" r="4445" b="6350"/>
            <wp:docPr id="24" name="图片 2" descr="descript"/>
            <wp:cNvGraphicFramePr/>
            <a:graphic xmlns:a="http://schemas.openxmlformats.org/drawingml/2006/main">
              <a:graphicData uri="http://schemas.openxmlformats.org/drawingml/2006/picture">
                <pic:pic xmlns:pic="http://schemas.openxmlformats.org/drawingml/2006/picture">
                  <pic:nvPicPr>
                    <pic:cNvPr id="24" name="图片 2" descr="descript"/>
                    <pic:cNvPicPr/>
                  </pic:nvPicPr>
                  <pic:blipFill>
                    <a:blip r:embed="rId9"/>
                    <a:stretch>
                      <a:fillRect/>
                    </a:stretch>
                  </pic:blipFill>
                  <pic:spPr>
                    <a:xfrm>
                      <a:off x="0" y="0"/>
                      <a:ext cx="5758180" cy="2765425"/>
                    </a:xfrm>
                    <a:prstGeom prst="rect">
                      <a:avLst/>
                    </a:prstGeom>
                    <a:noFill/>
                    <a:ln>
                      <a:noFill/>
                    </a:ln>
                  </pic:spPr>
                </pic:pic>
              </a:graphicData>
            </a:graphic>
          </wp:inline>
        </w:drawing>
      </w:r>
    </w:p>
    <w:p w14:paraId="0534FEA0">
      <w:pPr>
        <w:rPr>
          <w:b/>
          <w:bCs/>
        </w:rPr>
      </w:pPr>
      <w:r>
        <w:rPr>
          <w:rFonts w:ascii="Calibri" w:hAnsi="Calibri" w:eastAsia="Calibri" w:cs="Calibri"/>
          <w:b/>
          <w:bCs/>
          <w:color w:val="000000"/>
          <w:lang w:bidi="ar"/>
        </w:rPr>
        <w:t xml:space="preserve">3.     </w:t>
      </w:r>
      <w:r>
        <w:rPr>
          <w:rFonts w:hint="eastAsia" w:ascii="宋体" w:cs="宋体"/>
          <w:b/>
          <w:bCs/>
          <w:color w:val="000000"/>
          <w:lang w:bidi="ar"/>
        </w:rPr>
        <w:t>注册成功登录这个手机号码的账号进入系统，点击供应商注册</w:t>
      </w:r>
    </w:p>
    <w:p w14:paraId="19967EF5">
      <w:pPr>
        <w:snapToGrid w:val="0"/>
        <w:spacing w:line="312" w:lineRule="auto"/>
      </w:pPr>
      <w:r>
        <w:drawing>
          <wp:inline distT="0" distB="0" distL="114300" distR="114300">
            <wp:extent cx="5760085" cy="2867025"/>
            <wp:effectExtent l="0" t="0" r="2540" b="0"/>
            <wp:docPr id="25" name="图片 3" descr="descript"/>
            <wp:cNvGraphicFramePr/>
            <a:graphic xmlns:a="http://schemas.openxmlformats.org/drawingml/2006/main">
              <a:graphicData uri="http://schemas.openxmlformats.org/drawingml/2006/picture">
                <pic:pic xmlns:pic="http://schemas.openxmlformats.org/drawingml/2006/picture">
                  <pic:nvPicPr>
                    <pic:cNvPr id="25" name="图片 3" descr="descript"/>
                    <pic:cNvPicPr/>
                  </pic:nvPicPr>
                  <pic:blipFill>
                    <a:blip r:embed="rId10"/>
                    <a:stretch>
                      <a:fillRect/>
                    </a:stretch>
                  </pic:blipFill>
                  <pic:spPr>
                    <a:xfrm>
                      <a:off x="0" y="0"/>
                      <a:ext cx="5760085" cy="2867025"/>
                    </a:xfrm>
                    <a:prstGeom prst="rect">
                      <a:avLst/>
                    </a:prstGeom>
                    <a:noFill/>
                    <a:ln>
                      <a:noFill/>
                    </a:ln>
                  </pic:spPr>
                </pic:pic>
              </a:graphicData>
            </a:graphic>
          </wp:inline>
        </w:drawing>
      </w:r>
    </w:p>
    <w:p w14:paraId="723A09D3">
      <w:r>
        <w:rPr>
          <w:rFonts w:ascii="Calibri" w:hAnsi="Calibri" w:eastAsia="Calibri" w:cs="Calibri"/>
          <w:color w:val="000000"/>
          <w:lang w:bidi="ar"/>
        </w:rPr>
        <w:t xml:space="preserve">4.     </w:t>
      </w:r>
      <w:r>
        <w:rPr>
          <w:rFonts w:hint="eastAsia" w:ascii="宋体" w:cs="宋体"/>
          <w:color w:val="000000"/>
          <w:lang w:bidi="ar"/>
        </w:rPr>
        <w:t>点击新增</w:t>
      </w:r>
    </w:p>
    <w:p w14:paraId="6C79EFC1">
      <w:pPr>
        <w:snapToGrid w:val="0"/>
        <w:spacing w:line="312" w:lineRule="auto"/>
      </w:pPr>
      <w:r>
        <w:drawing>
          <wp:inline distT="0" distB="0" distL="114300" distR="114300">
            <wp:extent cx="5758180" cy="2852420"/>
            <wp:effectExtent l="0" t="0" r="4445" b="5080"/>
            <wp:docPr id="22" name="图片 4" descr="descript"/>
            <wp:cNvGraphicFramePr/>
            <a:graphic xmlns:a="http://schemas.openxmlformats.org/drawingml/2006/main">
              <a:graphicData uri="http://schemas.openxmlformats.org/drawingml/2006/picture">
                <pic:pic xmlns:pic="http://schemas.openxmlformats.org/drawingml/2006/picture">
                  <pic:nvPicPr>
                    <pic:cNvPr id="22" name="图片 4" descr="descript"/>
                    <pic:cNvPicPr/>
                  </pic:nvPicPr>
                  <pic:blipFill>
                    <a:blip r:embed="rId11"/>
                    <a:stretch>
                      <a:fillRect/>
                    </a:stretch>
                  </pic:blipFill>
                  <pic:spPr>
                    <a:xfrm>
                      <a:off x="0" y="0"/>
                      <a:ext cx="5758180" cy="2852420"/>
                    </a:xfrm>
                    <a:prstGeom prst="rect">
                      <a:avLst/>
                    </a:prstGeom>
                    <a:noFill/>
                    <a:ln>
                      <a:noFill/>
                    </a:ln>
                  </pic:spPr>
                </pic:pic>
              </a:graphicData>
            </a:graphic>
          </wp:inline>
        </w:drawing>
      </w:r>
    </w:p>
    <w:p w14:paraId="134070A8">
      <w:r>
        <w:rPr>
          <w:lang w:bidi="ar"/>
        </w:rPr>
        <w:t>5</w:t>
      </w:r>
      <w:r>
        <w:rPr>
          <w:rFonts w:ascii="Calibri" w:hAnsi="Calibri" w:eastAsia="Calibri" w:cs="Calibri"/>
          <w:color w:val="000000"/>
          <w:lang w:bidi="ar"/>
        </w:rPr>
        <w:t xml:space="preserve"> </w:t>
      </w:r>
      <w:r>
        <w:rPr>
          <w:rFonts w:hint="eastAsia" w:ascii="宋体" w:cs="宋体"/>
          <w:color w:val="000000"/>
          <w:lang w:bidi="ar"/>
        </w:rPr>
        <w:t>按要求填写所有信息，注意非生产类要填写合作单位，最后提交审批</w:t>
      </w:r>
    </w:p>
    <w:p w14:paraId="78FCEEE3">
      <w:pPr>
        <w:rPr>
          <w:rFonts w:ascii="宋体" w:cs="宋体"/>
          <w:color w:val="000000"/>
        </w:rPr>
      </w:pPr>
      <w:r>
        <w:drawing>
          <wp:inline distT="0" distB="0" distL="114300" distR="114300">
            <wp:extent cx="5760085" cy="2807335"/>
            <wp:effectExtent l="0" t="0" r="2540" b="2540"/>
            <wp:docPr id="18" name="图片 5" descr="descript"/>
            <wp:cNvGraphicFramePr/>
            <a:graphic xmlns:a="http://schemas.openxmlformats.org/drawingml/2006/main">
              <a:graphicData uri="http://schemas.openxmlformats.org/drawingml/2006/picture">
                <pic:pic xmlns:pic="http://schemas.openxmlformats.org/drawingml/2006/picture">
                  <pic:nvPicPr>
                    <pic:cNvPr id="18" name="图片 5" descr="descript"/>
                    <pic:cNvPicPr/>
                  </pic:nvPicPr>
                  <pic:blipFill>
                    <a:blip r:embed="rId12"/>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4445" b="1905"/>
            <wp:docPr id="14" name="图片 6" descr="descript"/>
            <wp:cNvGraphicFramePr/>
            <a:graphic xmlns:a="http://schemas.openxmlformats.org/drawingml/2006/main">
              <a:graphicData uri="http://schemas.openxmlformats.org/drawingml/2006/picture">
                <pic:pic xmlns:pic="http://schemas.openxmlformats.org/drawingml/2006/picture">
                  <pic:nvPicPr>
                    <pic:cNvPr id="14" name="图片 6" descr="descript"/>
                    <pic:cNvPicPr/>
                  </pic:nvPicPr>
                  <pic:blipFill>
                    <a:blip r:embed="rId13"/>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4445" b="1905"/>
            <wp:docPr id="20" name="图片 7" descr="descript"/>
            <wp:cNvGraphicFramePr/>
            <a:graphic xmlns:a="http://schemas.openxmlformats.org/drawingml/2006/main">
              <a:graphicData uri="http://schemas.openxmlformats.org/drawingml/2006/picture">
                <pic:pic xmlns:pic="http://schemas.openxmlformats.org/drawingml/2006/picture">
                  <pic:nvPicPr>
                    <pic:cNvPr id="20" name="图片 7" descr="descript"/>
                    <pic:cNvPicPr/>
                  </pic:nvPicPr>
                  <pic:blipFill>
                    <a:blip r:embed="rId13"/>
                    <a:stretch>
                      <a:fillRect/>
                    </a:stretch>
                  </pic:blipFill>
                  <pic:spPr>
                    <a:xfrm>
                      <a:off x="0" y="0"/>
                      <a:ext cx="5758180" cy="2817495"/>
                    </a:xfrm>
                    <a:prstGeom prst="rect">
                      <a:avLst/>
                    </a:prstGeom>
                    <a:noFill/>
                    <a:ln>
                      <a:noFill/>
                    </a:ln>
                  </pic:spPr>
                </pic:pic>
              </a:graphicData>
            </a:graphic>
          </wp:inline>
        </w:drawing>
      </w:r>
    </w:p>
    <w:p w14:paraId="2ADB43A9"/>
    <w:p w14:paraId="28B923CD">
      <w:pPr>
        <w:snapToGrid w:val="0"/>
        <w:spacing w:line="312" w:lineRule="auto"/>
      </w:pPr>
    </w:p>
    <w:p w14:paraId="40073D76"/>
    <w:p w14:paraId="120EBCB8">
      <w:pPr>
        <w:pStyle w:val="8"/>
        <w:widowControl/>
        <w:rPr>
          <w:rFonts w:ascii="Cambria" w:hAnsi="Cambria" w:cs="Cambria"/>
          <w:highlight w:val="yellow"/>
        </w:rPr>
      </w:pPr>
      <w:r>
        <w:rPr>
          <w:rFonts w:hint="eastAsia" w:ascii="宋体" w:cs="宋体"/>
          <w:highlight w:val="yellow"/>
        </w:rPr>
        <w:t>登录界面</w:t>
      </w:r>
    </w:p>
    <w:p w14:paraId="54DE8B1C">
      <w:pPr>
        <w:spacing w:line="360" w:lineRule="auto"/>
      </w:pPr>
      <w:r>
        <w:rPr>
          <w:lang w:bidi="ar"/>
        </w:rPr>
        <w:t>1</w:t>
      </w:r>
      <w:r>
        <w:rPr>
          <w:rFonts w:hint="eastAsia" w:ascii="宋体" w:cs="宋体"/>
          <w:lang w:bidi="ar"/>
        </w:rPr>
        <w:t>）功能简介</w:t>
      </w:r>
    </w:p>
    <w:p w14:paraId="389D74D3">
      <w:pPr>
        <w:spacing w:line="360" w:lineRule="auto"/>
      </w:pPr>
      <w:r>
        <w:rPr>
          <w:rFonts w:hint="eastAsia" w:ascii="宋体" w:cs="宋体"/>
          <w:lang w:bidi="ar"/>
        </w:rPr>
        <w:t>此页面用于进行账号登录，找回密码。</w:t>
      </w:r>
    </w:p>
    <w:p w14:paraId="32DCB73C">
      <w:pPr>
        <w:numPr>
          <w:ilvl w:val="0"/>
          <w:numId w:val="6"/>
        </w:numPr>
        <w:spacing w:line="360" w:lineRule="auto"/>
      </w:pPr>
      <w:r>
        <w:rPr>
          <w:rFonts w:hint="eastAsia" w:ascii="宋体" w:cs="宋体"/>
          <w:lang w:bidi="ar"/>
        </w:rPr>
        <w:t>界面如下</w:t>
      </w:r>
    </w:p>
    <w:p w14:paraId="46163240">
      <w:r>
        <w:drawing>
          <wp:inline distT="0" distB="0" distL="114300" distR="114300">
            <wp:extent cx="5278120" cy="2660650"/>
            <wp:effectExtent l="0" t="0" r="8255" b="6350"/>
            <wp:docPr id="21" name="图片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descr="7"/>
                    <pic:cNvPicPr>
                      <a:picLocks noChangeAspect="1"/>
                    </pic:cNvPicPr>
                  </pic:nvPicPr>
                  <pic:blipFill>
                    <a:blip r:embed="rId14"/>
                    <a:stretch>
                      <a:fillRect/>
                    </a:stretch>
                  </pic:blipFill>
                  <pic:spPr>
                    <a:xfrm>
                      <a:off x="0" y="0"/>
                      <a:ext cx="5278120" cy="2660650"/>
                    </a:xfrm>
                    <a:prstGeom prst="rect">
                      <a:avLst/>
                    </a:prstGeom>
                    <a:noFill/>
                    <a:ln>
                      <a:noFill/>
                    </a:ln>
                  </pic:spPr>
                </pic:pic>
              </a:graphicData>
            </a:graphic>
          </wp:inline>
        </w:drawing>
      </w:r>
    </w:p>
    <w:p w14:paraId="4BEC8D12">
      <w:pPr>
        <w:pStyle w:val="62"/>
        <w:widowControl/>
        <w:ind w:firstLine="0" w:firstLineChars="0"/>
        <w:rPr>
          <w:kern w:val="2"/>
          <w:sz w:val="21"/>
          <w:szCs w:val="21"/>
        </w:rPr>
      </w:pPr>
      <w:r>
        <w:rPr>
          <w:kern w:val="2"/>
          <w:sz w:val="21"/>
          <w:szCs w:val="21"/>
        </w:rPr>
        <w:t>3</w:t>
      </w:r>
      <w:r>
        <w:rPr>
          <w:rFonts w:hint="eastAsia" w:ascii="宋体" w:cs="宋体"/>
          <w:kern w:val="2"/>
          <w:sz w:val="21"/>
          <w:szCs w:val="21"/>
        </w:rPr>
        <w:t>）页面规则</w:t>
      </w:r>
    </w:p>
    <w:p w14:paraId="4D3CEBC9">
      <w:pPr>
        <w:pStyle w:val="62"/>
        <w:widowControl/>
        <w:ind w:firstLine="0" w:firstLineChars="0"/>
        <w:rPr>
          <w:kern w:val="2"/>
          <w:sz w:val="21"/>
          <w:szCs w:val="21"/>
        </w:rPr>
      </w:pPr>
      <w:r>
        <w:rPr>
          <w:rFonts w:hint="eastAsia" w:ascii="宋体" w:cs="宋体"/>
          <w:b/>
          <w:bCs/>
          <w:kern w:val="2"/>
          <w:sz w:val="21"/>
          <w:szCs w:val="21"/>
        </w:rPr>
        <w:t>重置密码：</w:t>
      </w:r>
      <w:r>
        <w:rPr>
          <w:rFonts w:hint="eastAsia" w:ascii="宋体" w:cs="宋体"/>
          <w:kern w:val="2"/>
          <w:sz w:val="21"/>
          <w:szCs w:val="21"/>
        </w:rPr>
        <w:t>对于新注册的供应商，审批流程结束之后</w:t>
      </w:r>
      <w:r>
        <w:rPr>
          <w:kern w:val="2"/>
          <w:sz w:val="21"/>
          <w:szCs w:val="21"/>
        </w:rPr>
        <w:t>e</w:t>
      </w:r>
      <w:r>
        <w:rPr>
          <w:rFonts w:hint="eastAsia" w:ascii="宋体" w:cs="宋体"/>
          <w:kern w:val="2"/>
          <w:sz w:val="21"/>
          <w:szCs w:val="21"/>
        </w:rPr>
        <w:t>采通系统会发送短信到注册的</w:t>
      </w:r>
      <w:r>
        <w:rPr>
          <w:rFonts w:hint="eastAsia" w:ascii="宋体" w:cs="宋体"/>
          <w:kern w:val="2"/>
          <w:sz w:val="21"/>
          <w:szCs w:val="21"/>
          <w:lang w:val="en-US" w:eastAsia="zh-CN"/>
        </w:rPr>
        <w:t>手机</w:t>
      </w:r>
      <w:r>
        <w:rPr>
          <w:rFonts w:hint="eastAsia" w:ascii="宋体" w:cs="宋体"/>
          <w:kern w:val="2"/>
          <w:sz w:val="21"/>
          <w:szCs w:val="21"/>
        </w:rPr>
        <w:t>号上，会告知登录账号和密码，</w:t>
      </w:r>
      <w:r>
        <w:rPr>
          <w:rFonts w:hint="eastAsia" w:ascii="宋体" w:cs="宋体"/>
          <w:b/>
          <w:bCs/>
          <w:kern w:val="2"/>
          <w:sz w:val="21"/>
          <w:szCs w:val="21"/>
        </w:rPr>
        <w:t>账号为供应商注册完成后发送到手机上的账号密码。</w:t>
      </w:r>
      <w:r>
        <w:rPr>
          <w:rFonts w:hint="eastAsia" w:ascii="宋体" w:cs="宋体"/>
          <w:kern w:val="2"/>
          <w:sz w:val="21"/>
          <w:szCs w:val="21"/>
        </w:rPr>
        <w:t>登录系统之后，立即绑定手机号，后续所有的密码重置都可以在登录界面点击忘记密码按钮，验证手机号码进行重置！</w:t>
      </w:r>
    </w:p>
    <w:p w14:paraId="0921DAF9">
      <w:pPr>
        <w:spacing w:line="360" w:lineRule="auto"/>
      </w:pPr>
      <w:r>
        <w:rPr>
          <w:rFonts w:hint="eastAsia" w:ascii="宋体" w:cs="宋体"/>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7C1816A2">
      <w:pPr>
        <w:pStyle w:val="8"/>
        <w:widowControl/>
        <w:spacing w:line="360" w:lineRule="auto"/>
        <w:rPr>
          <w:rFonts w:ascii="Cambria" w:hAnsi="Cambria" w:cs="Cambria"/>
          <w:highlight w:val="yellow"/>
        </w:rPr>
      </w:pPr>
      <w:r>
        <w:rPr>
          <w:rFonts w:hint="eastAsia" w:ascii="宋体" w:cs="宋体"/>
          <w:highlight w:val="yellow"/>
        </w:rPr>
        <w:t>供应商注册注意事项</w:t>
      </w:r>
    </w:p>
    <w:p w14:paraId="77AF5C3A">
      <w:pPr>
        <w:spacing w:line="360" w:lineRule="auto"/>
      </w:pPr>
      <w:r>
        <w:rPr>
          <w:lang w:bidi="ar"/>
        </w:rPr>
        <w:t>1</w:t>
      </w:r>
      <w:r>
        <w:rPr>
          <w:rFonts w:hint="eastAsia" w:ascii="宋体" w:cs="宋体"/>
          <w:lang w:bidi="ar"/>
        </w:rPr>
        <w:t>）功能简介</w:t>
      </w:r>
    </w:p>
    <w:p w14:paraId="6C67A2A3">
      <w:pPr>
        <w:spacing w:line="360" w:lineRule="auto"/>
      </w:pPr>
      <w:r>
        <w:rPr>
          <w:rFonts w:hint="eastAsia" w:ascii="宋体" w:cs="宋体"/>
          <w:lang w:bidi="ar"/>
        </w:rPr>
        <w:t>此页面用于进行供应商注册</w:t>
      </w:r>
    </w:p>
    <w:p w14:paraId="5B9FC4B5">
      <w:pPr>
        <w:pStyle w:val="62"/>
        <w:widowControl/>
        <w:ind w:firstLine="0" w:firstLineChars="0"/>
        <w:rPr>
          <w:kern w:val="2"/>
          <w:sz w:val="21"/>
          <w:szCs w:val="21"/>
        </w:rPr>
      </w:pPr>
      <w:r>
        <w:rPr>
          <w:kern w:val="2"/>
          <w:sz w:val="21"/>
          <w:szCs w:val="21"/>
        </w:rPr>
        <w:t>2</w:t>
      </w:r>
      <w:r>
        <w:rPr>
          <w:rFonts w:hint="eastAsia" w:ascii="宋体" w:cs="宋体"/>
          <w:kern w:val="2"/>
          <w:sz w:val="21"/>
          <w:szCs w:val="21"/>
        </w:rPr>
        <w:t>）界面如下</w:t>
      </w:r>
    </w:p>
    <w:p w14:paraId="3E734B72">
      <w:r>
        <w:drawing>
          <wp:inline distT="0" distB="0" distL="114300" distR="114300">
            <wp:extent cx="5342255" cy="2485390"/>
            <wp:effectExtent l="0" t="0" r="1270" b="635"/>
            <wp:docPr id="16" name="图片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descr="8"/>
                    <pic:cNvPicPr>
                      <a:picLocks noChangeAspect="1"/>
                    </pic:cNvPicPr>
                  </pic:nvPicPr>
                  <pic:blipFill>
                    <a:blip r:embed="rId15"/>
                    <a:stretch>
                      <a:fillRect/>
                    </a:stretch>
                  </pic:blipFill>
                  <pic:spPr>
                    <a:xfrm>
                      <a:off x="0" y="0"/>
                      <a:ext cx="5342255" cy="2485390"/>
                    </a:xfrm>
                    <a:prstGeom prst="rect">
                      <a:avLst/>
                    </a:prstGeom>
                    <a:noFill/>
                    <a:ln>
                      <a:noFill/>
                    </a:ln>
                  </pic:spPr>
                </pic:pic>
              </a:graphicData>
            </a:graphic>
          </wp:inline>
        </w:drawing>
      </w:r>
    </w:p>
    <w:p w14:paraId="2FFD2E73">
      <w:pPr>
        <w:pStyle w:val="62"/>
        <w:widowControl/>
        <w:tabs>
          <w:tab w:val="left" w:pos="0"/>
        </w:tabs>
        <w:ind w:firstLine="0" w:firstLineChars="0"/>
        <w:rPr>
          <w:kern w:val="2"/>
          <w:sz w:val="21"/>
          <w:szCs w:val="21"/>
        </w:rPr>
      </w:pPr>
      <w:r>
        <w:rPr>
          <w:rFonts w:hint="eastAsia" w:ascii="宋体" w:cs="宋体"/>
          <w:kern w:val="2"/>
          <w:sz w:val="21"/>
          <w:szCs w:val="21"/>
        </w:rPr>
        <w:t>3）页面规则</w:t>
      </w:r>
    </w:p>
    <w:p w14:paraId="1AFBA095">
      <w:pPr>
        <w:pStyle w:val="62"/>
        <w:widowControl/>
        <w:ind w:firstLine="0" w:firstLineChars="0"/>
        <w:rPr>
          <w:kern w:val="2"/>
          <w:sz w:val="21"/>
          <w:szCs w:val="21"/>
        </w:rPr>
      </w:pPr>
      <w:r>
        <w:rPr>
          <w:rFonts w:hint="eastAsia" w:ascii="宋体" w:cs="宋体"/>
          <w:kern w:val="2"/>
          <w:sz w:val="21"/>
          <w:szCs w:val="21"/>
        </w:rPr>
        <w:t>点击新增按钮进入注册界面，如果点击提交，系统报错或者系统没反应请先仔细检查自己的填写数据是否完整正确。</w:t>
      </w:r>
    </w:p>
    <w:p w14:paraId="3C203325">
      <w:pPr>
        <w:spacing w:line="360" w:lineRule="auto"/>
      </w:pPr>
      <w:r>
        <w:rPr>
          <w:rFonts w:hint="eastAsia" w:ascii="宋体" w:cs="宋体"/>
          <w:lang w:bidi="ar"/>
        </w:rPr>
        <w:t>注册信息的字段：尽量把所有信息都填写完整，</w:t>
      </w:r>
    </w:p>
    <w:p w14:paraId="602389F3">
      <w:pPr>
        <w:numPr>
          <w:ilvl w:val="0"/>
          <w:numId w:val="7"/>
        </w:numPr>
        <w:spacing w:line="360" w:lineRule="auto"/>
      </w:pPr>
      <w:r>
        <w:rPr>
          <w:rFonts w:hint="eastAsia" w:ascii="宋体" w:cs="宋体"/>
          <w:lang w:bidi="ar"/>
        </w:rPr>
        <w:t>统一社会信用代码字段，是供应商的唯一标识字段，没有校验规则，如果系统报统一社会信用代码重复则说明此供应商已经在</w:t>
      </w:r>
      <w:r>
        <w:rPr>
          <w:lang w:bidi="ar"/>
        </w:rPr>
        <w:t>e</w:t>
      </w:r>
      <w:r>
        <w:rPr>
          <w:rFonts w:hint="eastAsia" w:ascii="宋体" w:cs="宋体"/>
          <w:lang w:bidi="ar"/>
        </w:rPr>
        <w:t>采通内存在，请咨询对应的采购工程师账号密码。</w:t>
      </w:r>
    </w:p>
    <w:p w14:paraId="4EE7B15F">
      <w:pPr>
        <w:numPr>
          <w:ilvl w:val="0"/>
          <w:numId w:val="7"/>
        </w:numPr>
        <w:spacing w:line="360" w:lineRule="auto"/>
        <w:rPr>
          <w:b/>
          <w:bCs/>
          <w:color w:val="C00000"/>
        </w:rPr>
      </w:pPr>
      <w:r>
        <w:rPr>
          <w:rFonts w:hint="eastAsia" w:ascii="宋体" w:cs="宋体"/>
          <w:b/>
          <w:bCs/>
          <w:color w:val="C00000"/>
          <w:lang w:bidi="ar"/>
        </w:rPr>
        <w:t>采购形式编号和投标项目名称、近三年财务指标情况，对于非生产类供应商都是必填项。</w:t>
      </w:r>
    </w:p>
    <w:p w14:paraId="3A4AEA1E">
      <w:pPr>
        <w:numPr>
          <w:ilvl w:val="0"/>
          <w:numId w:val="7"/>
        </w:numPr>
        <w:spacing w:line="360" w:lineRule="auto"/>
      </w:pPr>
      <w:r>
        <w:rPr>
          <w:rFonts w:hint="eastAsia" w:ascii="宋体" w:cs="宋体"/>
          <w:lang w:bidi="ar"/>
        </w:rPr>
        <w:t>营业执照有效结束日期目前限制在当前日期及之前，应该限制在当前日期之后，最大允许“</w:t>
      </w:r>
      <w:r>
        <w:rPr>
          <w:lang w:bidi="ar"/>
        </w:rPr>
        <w:t>9999-12-31</w:t>
      </w:r>
      <w:r>
        <w:rPr>
          <w:rFonts w:hint="eastAsia" w:ascii="宋体" w:cs="宋体"/>
          <w:lang w:bidi="ar"/>
        </w:rPr>
        <w:t>”，即代表永久有效。</w:t>
      </w:r>
    </w:p>
    <w:p w14:paraId="23D79860">
      <w:pPr>
        <w:numPr>
          <w:ilvl w:val="0"/>
          <w:numId w:val="7"/>
        </w:numPr>
        <w:spacing w:line="360" w:lineRule="auto"/>
      </w:pPr>
      <w:r>
        <w:rPr>
          <w:rFonts w:hint="eastAsia" w:ascii="宋体" w:cs="宋体"/>
          <w:lang w:bidi="ar"/>
        </w:rPr>
        <w:t>提交成功之后进入审批流，每个节点都会由</w:t>
      </w:r>
      <w:r>
        <w:rPr>
          <w:lang w:bidi="ar"/>
        </w:rPr>
        <w:t>1</w:t>
      </w:r>
      <w:r>
        <w:rPr>
          <w:rFonts w:hint="eastAsia" w:ascii="宋体" w:cs="宋体"/>
          <w:lang w:bidi="ar"/>
        </w:rPr>
        <w:t>个或多个负责人审批，</w:t>
      </w:r>
      <w:r>
        <w:rPr>
          <w:rFonts w:hint="eastAsia" w:ascii="宋体" w:cs="宋体"/>
          <w:color w:val="C00000"/>
          <w:em w:val="dot"/>
          <w:lang w:bidi="ar"/>
        </w:rPr>
        <w:t>提交之后需要随时关注审批进度，被驳回的需要修改后重新提交信息。</w:t>
      </w:r>
      <w:r>
        <w:rPr>
          <w:rFonts w:hint="eastAsia" w:ascii="宋体" w:cs="宋体"/>
          <w:b/>
          <w:bCs/>
          <w:color w:val="C00000"/>
          <w:em w:val="dot"/>
          <w:lang w:bidi="ar"/>
        </w:rPr>
        <w:t>审批流程全部走完结束之后，且有短信通知供应商才算注册成功</w:t>
      </w:r>
      <w:r>
        <w:rPr>
          <w:rFonts w:hint="eastAsia" w:ascii="宋体" w:cs="宋体"/>
          <w:b/>
          <w:bCs/>
          <w:lang w:bidi="ar"/>
        </w:rPr>
        <w:t>。</w:t>
      </w:r>
    </w:p>
    <w:p w14:paraId="617EF83A">
      <w:pPr>
        <w:numPr>
          <w:ilvl w:val="0"/>
          <w:numId w:val="7"/>
        </w:numPr>
        <w:spacing w:line="360" w:lineRule="auto"/>
        <w:rPr>
          <w:rFonts w:hint="eastAsia" w:ascii="宋体" w:hAnsi="Times New Roman" w:cs="宋体"/>
          <w:lang w:bidi="ar"/>
        </w:rPr>
      </w:pPr>
      <w:r>
        <w:rPr>
          <w:rFonts w:hint="eastAsia" w:ascii="宋体" w:hAnsi="Times New Roman" w:cs="宋体"/>
          <w:lang w:bidi="ar"/>
        </w:rPr>
        <w:t>点击“查看”按钮可以进行查看注册信息，供应商提交注册之后想查看审批进度，可以点击此按钮。</w:t>
      </w:r>
    </w:p>
    <w:p w14:paraId="1BF03F72">
      <w:pPr>
        <w:pStyle w:val="11"/>
        <w:widowControl/>
        <w:tabs>
          <w:tab w:val="left" w:pos="312"/>
        </w:tabs>
        <w:spacing w:line="360" w:lineRule="auto"/>
        <w:ind w:firstLine="0"/>
        <w:jc w:val="left"/>
        <w:rPr>
          <w:rFonts w:ascii="宋体" w:cs="宋体"/>
          <w:kern w:val="2"/>
          <w:sz w:val="21"/>
          <w:szCs w:val="21"/>
        </w:rPr>
      </w:pPr>
      <w:r>
        <w:rPr>
          <w:rFonts w:hint="eastAsia" w:ascii="宋体" w:hAnsi="宋体" w:cs="宋体"/>
          <w:b/>
          <w:bCs/>
          <w:sz w:val="21"/>
          <w:szCs w:val="21"/>
          <w:lang w:val="de-DE"/>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416AC188">
      <w:pPr>
        <w:pStyle w:val="11"/>
        <w:widowControl/>
        <w:tabs>
          <w:tab w:val="left" w:pos="312"/>
        </w:tabs>
        <w:spacing w:line="360" w:lineRule="auto"/>
        <w:ind w:firstLine="0"/>
        <w:jc w:val="left"/>
        <w:rPr>
          <w:rFonts w:ascii="宋体" w:cs="宋体"/>
          <w:kern w:val="2"/>
        </w:rPr>
      </w:pPr>
    </w:p>
    <w:p w14:paraId="3D1D19CF">
      <w:pPr>
        <w:pStyle w:val="8"/>
        <w:widowControl/>
        <w:rPr>
          <w:highlight w:val="yellow"/>
        </w:rPr>
      </w:pPr>
      <w:r>
        <w:rPr>
          <w:rFonts w:hint="eastAsia" w:eastAsia="黑体" w:cs="黑体"/>
          <w:highlight w:val="yellow"/>
        </w:rPr>
        <w:t>供应商应标</w:t>
      </w:r>
    </w:p>
    <w:p w14:paraId="389D20C0">
      <w:pPr>
        <w:rPr>
          <w:rFonts w:ascii="宋体" w:hAnsi="宋体" w:cs="宋体"/>
          <w:sz w:val="28"/>
          <w:szCs w:val="28"/>
        </w:rPr>
      </w:pPr>
      <w:r>
        <w:rPr>
          <w:rFonts w:hint="eastAsia" w:ascii="宋体" w:hAnsi="宋体" w:cs="宋体"/>
          <w:sz w:val="28"/>
          <w:szCs w:val="28"/>
          <w:lang w:bidi="ar"/>
        </w:rPr>
        <w:t>路径：招投标中心-非生产类招投标-供应商应标</w:t>
      </w:r>
    </w:p>
    <w:p w14:paraId="0FDA9173">
      <w:pPr>
        <w:rPr>
          <w:rFonts w:ascii="宋体" w:hAnsi="宋体" w:cs="宋体"/>
          <w:sz w:val="28"/>
          <w:szCs w:val="28"/>
          <w:lang w:bidi="ar"/>
        </w:rPr>
      </w:pPr>
      <w:r>
        <w:rPr>
          <w:rFonts w:hint="eastAsia" w:ascii="宋体" w:hAnsi="宋体" w:cs="宋体"/>
          <w:sz w:val="28"/>
          <w:szCs w:val="28"/>
          <w:lang w:bidi="ar"/>
        </w:rPr>
        <w:t>e采通发布招标文件后，根据项目编号搜索本项目并点击应标，上传文件之后点击提交。</w:t>
      </w:r>
    </w:p>
    <w:p w14:paraId="3E32E994">
      <w:r>
        <w:rPr>
          <w:rFonts w:hint="eastAsia" w:ascii="宋体" w:hAnsi="宋体" w:cs="宋体"/>
          <w:b/>
          <w:bCs/>
          <w:color w:val="FF0000"/>
          <w:sz w:val="24"/>
        </w:rPr>
        <w:t>此处应标为线上资格审查环节，不是投标环节，不需要上传投标文件。</w:t>
      </w:r>
      <w:r>
        <w:rPr>
          <w:rFonts w:hint="eastAsia" w:ascii="宋体" w:hAnsi="宋体" w:cs="宋体"/>
          <w:b/>
          <w:bCs/>
          <w:sz w:val="24"/>
        </w:rPr>
        <w:t>投标单位应尽快应标以验证e采通账号是否可以正常使用，账号异常的请按下述提示修改账号后提交应标资料，</w:t>
      </w:r>
      <w:r>
        <w:rPr>
          <w:rFonts w:hint="eastAsia" w:ascii="宋体" w:hAnsi="宋体" w:cs="宋体"/>
          <w:b/>
          <w:bCs/>
          <w:color w:val="FF0000"/>
          <w:sz w:val="24"/>
        </w:rPr>
        <w:t>应标审核通过后方可进入投标环节，逾期不应标的无法参与投标</w:t>
      </w:r>
      <w:r>
        <w:rPr>
          <w:rFonts w:hint="eastAsia" w:ascii="宋体" w:hAnsi="宋体" w:cs="宋体"/>
          <w:b/>
          <w:bCs/>
          <w:sz w:val="24"/>
        </w:rPr>
        <w:t>。</w:t>
      </w:r>
    </w:p>
    <w:p w14:paraId="6DE7F7E4">
      <w:r>
        <w:drawing>
          <wp:inline distT="0" distB="0" distL="114300" distR="114300">
            <wp:extent cx="5393690" cy="2126615"/>
            <wp:effectExtent l="0" t="0" r="6985" b="6985"/>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16"/>
                    <a:stretch>
                      <a:fillRect/>
                    </a:stretch>
                  </pic:blipFill>
                  <pic:spPr>
                    <a:xfrm>
                      <a:off x="0" y="0"/>
                      <a:ext cx="5393690" cy="2126615"/>
                    </a:xfrm>
                    <a:prstGeom prst="rect">
                      <a:avLst/>
                    </a:prstGeom>
                    <a:noFill/>
                    <a:ln>
                      <a:noFill/>
                    </a:ln>
                  </pic:spPr>
                </pic:pic>
              </a:graphicData>
            </a:graphic>
          </wp:inline>
        </w:drawing>
      </w:r>
    </w:p>
    <w:p w14:paraId="34261E36">
      <w:pPr>
        <w:rPr>
          <w:rFonts w:cs="宋体"/>
          <w:sz w:val="24"/>
          <w:lang w:bidi="ar"/>
        </w:rPr>
      </w:pPr>
      <w:r>
        <w:rPr>
          <w:rFonts w:hint="eastAsia" w:cs="宋体"/>
          <w:sz w:val="24"/>
          <w:lang w:bidi="ar"/>
        </w:rPr>
        <w:t>注意：</w:t>
      </w:r>
    </w:p>
    <w:p w14:paraId="6039C806">
      <w:pPr>
        <w:ind w:firstLine="480" w:firstLineChars="200"/>
        <w:rPr>
          <w:rFonts w:cs="宋体"/>
          <w:sz w:val="24"/>
          <w:lang w:bidi="ar"/>
        </w:rPr>
      </w:pPr>
      <w:r>
        <w:rPr>
          <w:rFonts w:hint="eastAsia" w:cs="宋体"/>
          <w:sz w:val="24"/>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联系采购中心</w:t>
      </w:r>
      <w:r>
        <w:rPr>
          <w:rFonts w:hint="eastAsia" w:cs="宋体"/>
          <w:sz w:val="24"/>
          <w:lang w:val="en-US" w:eastAsia="zh-CN" w:bidi="ar"/>
        </w:rPr>
        <w:t>商务联系人</w:t>
      </w:r>
      <w:r>
        <w:rPr>
          <w:rFonts w:hint="eastAsia" w:cs="宋体"/>
          <w:sz w:val="24"/>
          <w:lang w:bidi="ar"/>
        </w:rPr>
        <w:t>）</w:t>
      </w:r>
    </w:p>
    <w:p w14:paraId="21FC5FDD">
      <w:pPr>
        <w:ind w:firstLine="480" w:firstLineChars="200"/>
        <w:rPr>
          <w:rFonts w:cs="宋体"/>
          <w:sz w:val="24"/>
          <w:lang w:bidi="ar"/>
        </w:rPr>
      </w:pPr>
      <w:r>
        <w:rPr>
          <w:rFonts w:hint="eastAsia" w:cs="宋体"/>
          <w:sz w:val="24"/>
          <w:lang w:bidi="ar"/>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14:paraId="663C5652">
      <w:pPr>
        <w:ind w:firstLine="480" w:firstLineChars="200"/>
        <w:rPr>
          <w:sz w:val="24"/>
        </w:rPr>
      </w:pPr>
      <w:r>
        <w:rPr>
          <w:rFonts w:hint="eastAsia" w:cs="宋体"/>
          <w:sz w:val="24"/>
          <w:lang w:bidi="ar"/>
        </w:rPr>
        <w:t>按要求填写财务数据，财务数据除长期借款、短期借款、对外担保金额可以为</w:t>
      </w:r>
      <w:r>
        <w:rPr>
          <w:sz w:val="24"/>
          <w:lang w:bidi="ar"/>
        </w:rPr>
        <w:t>0</w:t>
      </w:r>
      <w:r>
        <w:rPr>
          <w:rFonts w:hint="eastAsia" w:cs="宋体"/>
          <w:sz w:val="24"/>
          <w:lang w:bidi="ar"/>
        </w:rPr>
        <w:t>其他数据不允许为空，全部信息补充完整（上面其他的名称、地址、等等其他数据不变更不需要填写）之后选择采购工程师提交，经过审批后后才可以参与招标。</w:t>
      </w:r>
    </w:p>
    <w:p w14:paraId="731D7C59">
      <w:pPr>
        <w:ind w:firstLine="480" w:firstLineChars="200"/>
        <w:rPr>
          <w:sz w:val="24"/>
        </w:rPr>
      </w:pPr>
      <w:r>
        <w:rPr>
          <w:rFonts w:hint="eastAsia" w:cs="宋体"/>
          <w:sz w:val="24"/>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736EFD4C">
      <w:r>
        <w:drawing>
          <wp:inline distT="0" distB="0" distL="114300" distR="114300">
            <wp:extent cx="5426075" cy="2279015"/>
            <wp:effectExtent l="0" t="0" r="3175" b="6985"/>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7"/>
                    <a:stretch>
                      <a:fillRect/>
                    </a:stretch>
                  </pic:blipFill>
                  <pic:spPr>
                    <a:xfrm>
                      <a:off x="0" y="0"/>
                      <a:ext cx="5426075" cy="2279015"/>
                    </a:xfrm>
                    <a:prstGeom prst="rect">
                      <a:avLst/>
                    </a:prstGeom>
                    <a:noFill/>
                    <a:ln>
                      <a:noFill/>
                    </a:ln>
                  </pic:spPr>
                </pic:pic>
              </a:graphicData>
            </a:graphic>
          </wp:inline>
        </w:drawing>
      </w:r>
    </w:p>
    <w:p w14:paraId="46B0D0EB">
      <w:pPr>
        <w:pStyle w:val="11"/>
        <w:widowControl/>
        <w:tabs>
          <w:tab w:val="left" w:pos="312"/>
        </w:tabs>
        <w:spacing w:line="360" w:lineRule="auto"/>
        <w:ind w:firstLine="0"/>
        <w:jc w:val="left"/>
        <w:rPr>
          <w:rFonts w:ascii="宋体" w:cs="宋体"/>
          <w:kern w:val="2"/>
        </w:rPr>
      </w:pPr>
      <w:r>
        <w:drawing>
          <wp:inline distT="0" distB="0" distL="114300" distR="114300">
            <wp:extent cx="5331460" cy="2324100"/>
            <wp:effectExtent l="0" t="0" r="2540" b="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18"/>
                    <a:stretch>
                      <a:fillRect/>
                    </a:stretch>
                  </pic:blipFill>
                  <pic:spPr>
                    <a:xfrm>
                      <a:off x="0" y="0"/>
                      <a:ext cx="5331460" cy="2324100"/>
                    </a:xfrm>
                    <a:prstGeom prst="rect">
                      <a:avLst/>
                    </a:prstGeom>
                    <a:noFill/>
                    <a:ln>
                      <a:noFill/>
                    </a:ln>
                  </pic:spPr>
                </pic:pic>
              </a:graphicData>
            </a:graphic>
          </wp:inline>
        </w:drawing>
      </w:r>
    </w:p>
    <w:p w14:paraId="721FA279">
      <w:pPr>
        <w:rPr>
          <w:rFonts w:ascii="宋体" w:hAnsi="宋体"/>
          <w:kern w:val="0"/>
          <w:sz w:val="24"/>
          <w:szCs w:val="21"/>
          <w:lang w:bidi="en-US"/>
        </w:rPr>
      </w:pPr>
    </w:p>
    <w:p w14:paraId="24E17730">
      <w:pPr>
        <w:rPr>
          <w:rFonts w:hint="eastAsia" w:ascii="宋体" w:cs="宋体"/>
          <w:color w:val="000000"/>
          <w:lang w:bidi="ar-SA"/>
        </w:rPr>
      </w:pPr>
    </w:p>
    <w:p w14:paraId="2968C0F4">
      <w:pPr>
        <w:numPr>
          <w:ilvl w:val="0"/>
          <w:numId w:val="0"/>
        </w:numPr>
        <w:rPr>
          <w:rFonts w:hint="eastAsia" w:ascii="宋体" w:hAnsi="宋体"/>
          <w:b w:val="0"/>
          <w:bCs w:val="0"/>
          <w:color w:val="auto"/>
          <w:kern w:val="0"/>
          <w:sz w:val="24"/>
          <w:szCs w:val="21"/>
          <w:highlight w:val="none"/>
          <w:lang w:bidi="en-US"/>
        </w:rPr>
      </w:pPr>
    </w:p>
    <w:bookmarkEnd w:id="10"/>
    <w:bookmarkEnd w:id="11"/>
    <w:p w14:paraId="33BB952E">
      <w:bookmarkStart w:id="12" w:name="_GoBack"/>
      <w:bookmarkEnd w:id="12"/>
    </w:p>
    <w:sectPr>
      <w:headerReference r:id="rId4" w:type="default"/>
      <w:footerReference r:id="rId5"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System">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MinorBidi">
    <w:altName w:val="Times New Roman"/>
    <w:panose1 w:val="00000000000000000000"/>
    <w:charset w:val="00"/>
    <w:family w:val="roman"/>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9D986">
    <w:pPr>
      <w:pStyle w:val="22"/>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857250" cy="147955"/>
              <wp:effectExtent l="0" t="0" r="0" b="0"/>
              <wp:wrapNone/>
              <wp:docPr id="1" name="文本框 5"/>
              <wp:cNvGraphicFramePr/>
              <a:graphic xmlns:a="http://schemas.openxmlformats.org/drawingml/2006/main">
                <a:graphicData uri="http://schemas.microsoft.com/office/word/2010/wordprocessingShape">
                  <wps:wsp>
                    <wps:cNvSpPr/>
                    <wps:spPr>
                      <a:xfrm>
                        <a:off x="0" y="0"/>
                        <a:ext cx="857248" cy="148018"/>
                      </a:xfrm>
                      <a:prstGeom prst="rect">
                        <a:avLst/>
                      </a:prstGeom>
                      <a:noFill/>
                      <a:ln w="6350" cap="flat" cmpd="sng">
                        <a:noFill/>
                        <a:prstDash val="solid"/>
                        <a:round/>
                      </a:ln>
                    </wps:spPr>
                    <wps:txbx>
                      <w:txbxContent>
                        <w:p w14:paraId="7AD709BC">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1.65pt;width:67.5pt;mso-position-horizontal:center;mso-position-horizontal-relative:margin;mso-wrap-style:none;z-index:251659264;mso-width-relative:page;mso-height-relative:page;" filled="f" stroked="f" coordsize="21600,21600" o:gfxdata="UEsDBAoAAAAAAIdO4kAAAAAAAAAAAAAAAAAEAAAAZHJzL1BLAwQUAAAACACHTuJA8mvGR9cAAAAE&#10;AQAADwAAAGRycy9kb3ducmV2LnhtbE2PQUvDQBCF74L/YRnBS7G7TbBIzKYHpRWkHkyL4G2bnWZD&#10;s7Mxu01qf71bL3p58HjDe9/ki5Nt2YC9bxxJmE0FMKTK6YZqCdvN8u4BmA+KtGodoYRv9LAorq9y&#10;lWk30jsOZahZLCGfKQkmhC7j3FcGrfJT1yHFbO96q0K0fc11r8ZYblueCDHnVjUUF4zq8MlgdSiP&#10;VsL6efX5MTGvInk7T/ZuLLfD18tBytubmXgEFvAU/o7hgh/RoYhMO3ck7VkrIT4SfvWSpffR7iQk&#10;aQq8yPl/+OIHUEsDBBQAAAAIAIdO4kD4nJqSBAIAAPQDAAAOAAAAZHJzL2Uyb0RvYy54bWytU82O&#10;0zAQviPxDpbvNGnZLlXUdIWoFiEhWGnhAVzHaSz5TzNuk/IA8AacuHDnufocjJ12u1oue+CSjO3x&#10;N/N983l5M1jD9gpQe1fz6aTkTDnpG+22Nf/65fbVgjOMwjXCeKdqflDIb1YvXyz7UKmZ77xpFDAC&#10;cVj1oeZdjKEqCpSdsgInPihHh60HKyItYVs0IHpCt6aYleV10XtoAnipEGl3PR7yEyI8B9C3rZZq&#10;7eXOKhdHVFBGRKKEnQ7IV7nbtlUyfm5bVJGZmhPTmL9UhOJN+harpai2IEKn5akF8ZwWnnCyQjsq&#10;+gC1FlGwHeh/oKyW4NG3cSK9LUYiWRFiMS2faHPfiaAyF5Iaw4Po+P9g5af9HTDdkBM4c8LSwI8/&#10;fxx//Tn+/s7mSZ4+YEVZ9+EOTiukMHEdWrDpTyzYkCU9PEiqhsgkbS7mb2ZX5ChJR9OrRTldJMzi&#10;cjkAxvfKW5aCmgNNLAsp9h8xjqnnlFTL+VttDO2LyjjW1/z69ZxmKQU5sSUHUGgDsUG3zTCP8hPM&#10;WmDH9oLMgN7oZhw/+J1rxlLGUXOJ8cgxRXHYDHSYwo1vDqQWPR7qtPPwjbOerFNzRy+FM/PB0WSS&#10;y84BnIPNORBO0sWaU6Nj+C6ObtwF0NuOcMvcN4a3u0hcswSX2qfuyAxZxJNxk9ser3PW5bGu/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ya8ZH1wAAAAQBAAAPAAAAAAAAAAEAIAAAACIAAABkcnMv&#10;ZG93bnJldi54bWxQSwECFAAUAAAACACHTuJA+JyakgQCAAD0AwAADgAAAAAAAAABACAAAAAmAQAA&#10;ZHJzL2Uyb0RvYy54bWxQSwUGAAAAAAYABgBZAQAAnAUAAAAA&#10;">
              <v:fill on="f" focussize="0,0"/>
              <v:stroke on="f" weight="0.5pt" joinstyle="round"/>
              <v:imagedata o:title=""/>
              <o:lock v:ext="edit" aspectratio="f"/>
              <v:textbox inset="0mm,0mm,0mm,0mm" style="mso-fit-shape-to-text:t;">
                <w:txbxContent>
                  <w:p w14:paraId="7AD709BC">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B177B">
    <w:pPr>
      <w:pStyle w:val="22"/>
      <w:jc w:val="center"/>
      <w:rPr>
        <w:rFonts w:ascii="黑体" w:eastAsia="黑体"/>
        <w:sz w:val="21"/>
        <w:szCs w:val="21"/>
      </w:rPr>
    </w:pPr>
    <w:r>
      <w:rPr>
        <w:sz w:val="21"/>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971550" cy="147955"/>
              <wp:effectExtent l="0" t="0" r="0" b="0"/>
              <wp:wrapNone/>
              <wp:docPr id="31" name="文本框 3"/>
              <wp:cNvGraphicFramePr/>
              <a:graphic xmlns:a="http://schemas.openxmlformats.org/drawingml/2006/main">
                <a:graphicData uri="http://schemas.microsoft.com/office/word/2010/wordprocessingShape">
                  <wps:wsp>
                    <wps:cNvSpPr/>
                    <wps:spPr>
                      <a:xfrm>
                        <a:off x="0" y="0"/>
                        <a:ext cx="971546" cy="148018"/>
                      </a:xfrm>
                      <a:prstGeom prst="rect">
                        <a:avLst/>
                      </a:prstGeom>
                      <a:noFill/>
                      <a:ln w="6350" cap="flat" cmpd="sng">
                        <a:noFill/>
                        <a:prstDash val="solid"/>
                        <a:round/>
                      </a:ln>
                    </wps:spPr>
                    <wps:txbx>
                      <w:txbxContent>
                        <w:p w14:paraId="57557669">
                          <w:pPr>
                            <w:pStyle w:val="22"/>
                            <w:jc w:val="center"/>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3" o:spid="_x0000_s1026" o:spt="1" style="position:absolute;left:0pt;margin-top:0pt;height:11.65pt;width:76.5pt;mso-position-horizontal:center;mso-position-horizontal-relative:margin;mso-wrap-style:none;z-index:251659264;mso-width-relative:page;mso-height-relative:page;" filled="f" stroked="f" coordsize="21600,21600" o:gfxdata="UEsDBAoAAAAAAIdO4kAAAAAAAAAAAAAAAAAEAAAAZHJzL1BLAwQUAAAACACHTuJAJbUb09cAAAAE&#10;AQAADwAAAGRycy9kb3ducmV2LnhtbE2PQUvDQBCF74L/YRnBS7G7TbBIzKYHpRWkHkyL4G2bnWZD&#10;s7Mxu01qf71bL3p58HjDe9/ki5Nt2YC9bxxJmE0FMKTK6YZqCdvN8u4BmA+KtGodoYRv9LAorq9y&#10;lWk30jsOZahZLCGfKQkmhC7j3FcGrfJT1yHFbO96q0K0fc11r8ZYblueCDHnVjUUF4zq8MlgdSiP&#10;VsL6efX5MTGvInk7T/ZuLLfD18tBytubmXgEFvAU/o7hgh/RoYhMO3ck7VkrIT4SfvWS3afR7iQk&#10;aQq8yPl/+OIHUEsDBBQAAAAIAIdO4kBMQnoOBQIAAPUDAAAOAAAAZHJzL2Uyb0RvYy54bWytU82O&#10;0zAQviPxDpbvNMl2t5So6QpRLUJCsNLCA7iOk1jynzxuk/IA8AacuHDnufocjJ20XS2XPXBJPtvj&#10;b+b7Zry6HbQie+FBWlPRYpZTIgy3tTRtRb9+uXu1pAQCMzVT1oiKHgTQ2/XLF6veleLKdlbVwhMk&#10;MVD2rqJdCK7MMuCd0Axm1gmDh431mgVc+jarPeuRXavsKs8XWW997bzlAgB3N+MhnRj9cwht00gu&#10;NpbvtDBhZPVCsYCSoJMO6DpV2zSCh89NAyIQVVFUGtIXkyDexm+2XrGy9cx1kk8lsOeU8ESTZtJg&#10;0jPVhgVGdl7+Q6Ul9xZsE2bc6mwUkhxBFUX+xJuHjjmRtKDV4M6mw/+j5Z/2957IuqLzghLDNHb8&#10;+PPH8def4+/vZB796R2UGPbg7v20AoRR7NB4Hf8ogwzJ08PZUzEEwnHzzevi5npBCcej4nqZF8vI&#10;mV0uOw/hvbCaRFBRjy1LTrL9Rwhj6Ckk5jL2TiqF+6xUhvQVXcxvsJmc4Sg2OAIItUM5YNpE8yg+&#10;0mwYdGTPcBrAKlmP/fd2Z+oxlTJYXFQ8aowoDNsBDyPc2vqAduHrwUo7679R0uPsVNTgU6FEfTDY&#10;mjhmJ+BPYHsCzHC8WFEsdITvwjiOO+dl2yFvnuoG93YXUGuy4JJ7qg6nIZk4TW4ct8frFHV5re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bUb09cAAAAEAQAADwAAAAAAAAABACAAAAAiAAAAZHJz&#10;L2Rvd25yZXYueG1sUEsBAhQAFAAAAAgAh07iQExCeg4FAgAA9QMAAA4AAAAAAAAAAQAgAAAAJgEA&#10;AGRycy9lMm9Eb2MueG1sUEsFBgAAAAAGAAYAWQEAAJ0FAAAAAA==&#10;">
              <v:fill on="f" focussize="0,0"/>
              <v:stroke on="f" weight="0.5pt" joinstyle="round"/>
              <v:imagedata o:title=""/>
              <o:lock v:ext="edit" aspectratio="f"/>
              <v:textbox inset="0mm,0mm,0mm,0mm" style="mso-fit-shape-to-text:t;">
                <w:txbxContent>
                  <w:p w14:paraId="57557669">
                    <w:pPr>
                      <w:pStyle w:val="22"/>
                      <w:jc w:val="center"/>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rect>
          </w:pict>
        </mc:Fallback>
      </mc:AlternateContent>
    </w:r>
  </w:p>
  <w:p w14:paraId="2B8CD82D">
    <w:pPr>
      <w:pStyle w:val="2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F3F5E">
    <w:pPr>
      <w:pStyle w:val="23"/>
      <w:pBdr>
        <w:bottom w:val="none" w:color="auto" w:sz="0" w:space="0"/>
      </w:pBdr>
      <w:jc w:val="left"/>
      <w:rPr>
        <w:b/>
        <w:bCs/>
        <w:sz w:val="22"/>
        <w:szCs w:val="22"/>
      </w:rPr>
    </w:pPr>
    <w:r>
      <w:rPr>
        <w:rFonts w:hint="eastAsia"/>
      </w:rPr>
      <w:t xml:space="preserve">                             </w:t>
    </w:r>
    <w:r>
      <w:rPr>
        <w:rFonts w:hint="eastAsia"/>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B1510C"/>
    <w:multiLevelType w:val="singleLevel"/>
    <w:tmpl w:val="E8B1510C"/>
    <w:lvl w:ilvl="0" w:tentative="0">
      <w:start w:val="3"/>
      <w:numFmt w:val="decimal"/>
      <w:suff w:val="nothing"/>
      <w:lvlText w:val="（%1）"/>
      <w:lvlJc w:val="left"/>
    </w:lvl>
  </w:abstractNum>
  <w:abstractNum w:abstractNumId="1">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2">
    <w:nsid w:val="374C2951"/>
    <w:multiLevelType w:val="multilevel"/>
    <w:tmpl w:val="374C295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decimal"/>
      <w:suff w:val="nothing"/>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4">
    <w:nsid w:val="5E2A30D5"/>
    <w:multiLevelType w:val="multilevel"/>
    <w:tmpl w:val="5E2A30D5"/>
    <w:lvl w:ilvl="0" w:tentative="0">
      <w:start w:val="1"/>
      <w:numFmt w:val="none"/>
      <w:lvlText w:val="第 一 条"/>
      <w:lvlJc w:val="left"/>
      <w:pPr>
        <w:ind w:left="-1" w:firstLine="1"/>
      </w:pPr>
      <w:rPr>
        <w:rFonts w:hint="eastAsia"/>
      </w:rPr>
    </w:lvl>
    <w:lvl w:ilvl="1" w:tentative="0">
      <w:start w:val="1"/>
      <w:numFmt w:val="none"/>
      <w:isLgl/>
      <w:lvlText w:val="一"/>
      <w:legacy w:legacy="1" w:legacySpace="0" w:legacyIndent="0"/>
      <w:lvlJc w:val="left"/>
      <w:pPr>
        <w:ind w:left="0" w:firstLine="0"/>
      </w:pPr>
      <w:rPr>
        <w:rFonts w:hint="eastAsia"/>
      </w:rPr>
    </w:lvl>
    <w:lvl w:ilvl="2" w:tentative="0">
      <w:start w:val="1"/>
      <w:numFmt w:val="lowerLetter"/>
      <w:lvlText w:val="(%3)"/>
      <w:lvlJc w:val="left"/>
      <w:pPr>
        <w:ind w:left="720" w:hanging="432"/>
      </w:pPr>
      <w:rPr>
        <w:rFonts w:hint="eastAsia"/>
      </w:rPr>
    </w:lvl>
    <w:lvl w:ilvl="3" w:tentative="0">
      <w:start w:val="1"/>
      <w:numFmt w:val="lowerRoman"/>
      <w:lvlText w:val="(%4)"/>
      <w:lvlJc w:val="right"/>
      <w:pPr>
        <w:ind w:left="864" w:hanging="144"/>
      </w:pPr>
      <w:rPr>
        <w:rFonts w:hint="eastAsia"/>
      </w:rPr>
    </w:lvl>
    <w:lvl w:ilvl="4" w:tentative="0">
      <w:start w:val="1"/>
      <w:numFmt w:val="decimal"/>
      <w:lvlText w:val="%5)"/>
      <w:lvlJc w:val="left"/>
      <w:pPr>
        <w:ind w:left="1008" w:hanging="432"/>
      </w:pPr>
      <w:rPr>
        <w:rFonts w:hint="eastAsia"/>
      </w:rPr>
    </w:lvl>
    <w:lvl w:ilvl="5" w:tentative="0">
      <w:start w:val="1"/>
      <w:numFmt w:val="lowerLetter"/>
      <w:lvlText w:val="%6)"/>
      <w:lvlJc w:val="left"/>
      <w:pPr>
        <w:ind w:left="1152" w:hanging="432"/>
      </w:pPr>
      <w:rPr>
        <w:rFonts w:hint="eastAsia"/>
      </w:rPr>
    </w:lvl>
    <w:lvl w:ilvl="6" w:tentative="0">
      <w:start w:val="1"/>
      <w:numFmt w:val="lowerRoman"/>
      <w:lvlText w:val="%7)"/>
      <w:lvlJc w:val="right"/>
      <w:pPr>
        <w:ind w:left="1296" w:hanging="288"/>
      </w:pPr>
      <w:rPr>
        <w:rFonts w:hint="eastAsia"/>
      </w:rPr>
    </w:lvl>
    <w:lvl w:ilvl="7" w:tentative="0">
      <w:start w:val="1"/>
      <w:numFmt w:val="lowerLetter"/>
      <w:pStyle w:val="10"/>
      <w:lvlText w:val="%8."/>
      <w:lvlJc w:val="left"/>
      <w:pPr>
        <w:ind w:left="1440" w:hanging="432"/>
      </w:pPr>
      <w:rPr>
        <w:rFonts w:hint="eastAsia"/>
      </w:rPr>
    </w:lvl>
    <w:lvl w:ilvl="8" w:tentative="0">
      <w:start w:val="1"/>
      <w:numFmt w:val="lowerRoman"/>
      <w:lvlText w:val="%9."/>
      <w:lvlJc w:val="right"/>
      <w:pPr>
        <w:ind w:left="1584" w:hanging="144"/>
      </w:pPr>
      <w:rPr>
        <w:rFonts w:hint="eastAsia"/>
      </w:rPr>
    </w:lvl>
  </w:abstractNum>
  <w:abstractNum w:abstractNumId="5">
    <w:nsid w:val="7446C7A1"/>
    <w:multiLevelType w:val="singleLevel"/>
    <w:tmpl w:val="7446C7A1"/>
    <w:lvl w:ilvl="0" w:tentative="0">
      <w:start w:val="1"/>
      <w:numFmt w:val="decimal"/>
      <w:lvlText w:val="%1."/>
      <w:lvlJc w:val="left"/>
      <w:pPr>
        <w:tabs>
          <w:tab w:val="left" w:pos="312"/>
        </w:tabs>
      </w:pPr>
    </w:lvl>
  </w:abstractNum>
  <w:abstractNum w:abstractNumId="6">
    <w:nsid w:val="7BC80AEA"/>
    <w:multiLevelType w:val="multilevel"/>
    <w:tmpl w:val="7BC80AEA"/>
    <w:lvl w:ilvl="0" w:tentative="0">
      <w:start w:val="1"/>
      <w:numFmt w:val="decimal"/>
      <w:lvlText w:val="2.%1"/>
      <w:lvlJc w:val="left"/>
      <w:pPr>
        <w:ind w:left="900" w:hanging="420"/>
      </w:pPr>
      <w:rPr>
        <w:rFonts w:hint="eastAsia"/>
      </w:rPr>
    </w:lvl>
    <w:lvl w:ilvl="1" w:tentative="0">
      <w:start w:val="1"/>
      <w:numFmt w:val="decimal"/>
      <w:suff w:val="space"/>
      <w:lvlText w:val="2.%2"/>
      <w:lvlJc w:val="left"/>
      <w:pPr>
        <w:ind w:left="840" w:hanging="420"/>
      </w:pPr>
      <w:rPr>
        <w:rFonts w:hint="eastAsia"/>
      </w:rPr>
    </w:lvl>
    <w:lvl w:ilvl="2" w:tentative="0">
      <w:start w:val="1"/>
      <w:numFmt w:val="decimalEnclosedCircle"/>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6"/>
  </w:num>
  <w:num w:numId="3">
    <w:abstractNumId w:val="0"/>
  </w:num>
  <w:num w:numId="4">
    <w:abstractNumId w:val="2"/>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ZjBlMmI5NTc3M2FkODlmMjMzMjgzN2Y0OGFkYTE4NjYifQ=="/>
  </w:docVars>
  <w:rsids>
    <w:rsidRoot w:val="00000000"/>
    <w:rsid w:val="000118A6"/>
    <w:rsid w:val="003F417C"/>
    <w:rsid w:val="004D5652"/>
    <w:rsid w:val="005C4D2E"/>
    <w:rsid w:val="00816543"/>
    <w:rsid w:val="00867FFD"/>
    <w:rsid w:val="0093774A"/>
    <w:rsid w:val="00A82D6C"/>
    <w:rsid w:val="00B06E28"/>
    <w:rsid w:val="00B07E97"/>
    <w:rsid w:val="00D3188C"/>
    <w:rsid w:val="00ED1E2A"/>
    <w:rsid w:val="00F42F96"/>
    <w:rsid w:val="012670EA"/>
    <w:rsid w:val="012B64AF"/>
    <w:rsid w:val="013B4ECC"/>
    <w:rsid w:val="014D4677"/>
    <w:rsid w:val="016043AA"/>
    <w:rsid w:val="018D33AF"/>
    <w:rsid w:val="01BF5575"/>
    <w:rsid w:val="01D2466D"/>
    <w:rsid w:val="01ED00F5"/>
    <w:rsid w:val="01F24D2C"/>
    <w:rsid w:val="020F7B7E"/>
    <w:rsid w:val="0212507F"/>
    <w:rsid w:val="02301F30"/>
    <w:rsid w:val="02427F54"/>
    <w:rsid w:val="02663C42"/>
    <w:rsid w:val="027125E7"/>
    <w:rsid w:val="02713A03"/>
    <w:rsid w:val="0293255D"/>
    <w:rsid w:val="02AB3D4B"/>
    <w:rsid w:val="02C1531D"/>
    <w:rsid w:val="02C40969"/>
    <w:rsid w:val="02DF57A3"/>
    <w:rsid w:val="02E209F4"/>
    <w:rsid w:val="03011BBD"/>
    <w:rsid w:val="03125B78"/>
    <w:rsid w:val="03201783"/>
    <w:rsid w:val="035A360D"/>
    <w:rsid w:val="035B0276"/>
    <w:rsid w:val="035C3DBC"/>
    <w:rsid w:val="0365214C"/>
    <w:rsid w:val="03B31109"/>
    <w:rsid w:val="040C6A6B"/>
    <w:rsid w:val="046D395F"/>
    <w:rsid w:val="049D5915"/>
    <w:rsid w:val="04BC5D9C"/>
    <w:rsid w:val="04CE3D21"/>
    <w:rsid w:val="04EE6171"/>
    <w:rsid w:val="04F419D9"/>
    <w:rsid w:val="04F95F88"/>
    <w:rsid w:val="050B0AD1"/>
    <w:rsid w:val="052A7023"/>
    <w:rsid w:val="055E2512"/>
    <w:rsid w:val="056D52E8"/>
    <w:rsid w:val="057743B8"/>
    <w:rsid w:val="05917228"/>
    <w:rsid w:val="05A9677C"/>
    <w:rsid w:val="060F0331"/>
    <w:rsid w:val="0620235A"/>
    <w:rsid w:val="064C314F"/>
    <w:rsid w:val="066A1827"/>
    <w:rsid w:val="06824DC3"/>
    <w:rsid w:val="069663F4"/>
    <w:rsid w:val="06DB44D3"/>
    <w:rsid w:val="06EB2968"/>
    <w:rsid w:val="073756D9"/>
    <w:rsid w:val="0744651C"/>
    <w:rsid w:val="07536B19"/>
    <w:rsid w:val="07630750"/>
    <w:rsid w:val="078C5300"/>
    <w:rsid w:val="07B45450"/>
    <w:rsid w:val="07BB6C8C"/>
    <w:rsid w:val="07C82CA9"/>
    <w:rsid w:val="07DA28F3"/>
    <w:rsid w:val="07E55609"/>
    <w:rsid w:val="07F12200"/>
    <w:rsid w:val="07F150FE"/>
    <w:rsid w:val="083D71F3"/>
    <w:rsid w:val="0854453D"/>
    <w:rsid w:val="089963F4"/>
    <w:rsid w:val="08A75B80"/>
    <w:rsid w:val="091C14FF"/>
    <w:rsid w:val="0923288D"/>
    <w:rsid w:val="09773D0A"/>
    <w:rsid w:val="09A80FE4"/>
    <w:rsid w:val="09BF1E8A"/>
    <w:rsid w:val="09C91B1B"/>
    <w:rsid w:val="09E1634A"/>
    <w:rsid w:val="09EB103E"/>
    <w:rsid w:val="0A124F9F"/>
    <w:rsid w:val="0A1626B1"/>
    <w:rsid w:val="0A165F4E"/>
    <w:rsid w:val="0A1903F4"/>
    <w:rsid w:val="0A23066B"/>
    <w:rsid w:val="0A3D172D"/>
    <w:rsid w:val="0A530F50"/>
    <w:rsid w:val="0A5922DF"/>
    <w:rsid w:val="0A670558"/>
    <w:rsid w:val="0A6F565E"/>
    <w:rsid w:val="0A7315F2"/>
    <w:rsid w:val="0AC21C32"/>
    <w:rsid w:val="0AF618DB"/>
    <w:rsid w:val="0B1D155E"/>
    <w:rsid w:val="0B2823DD"/>
    <w:rsid w:val="0B305D2D"/>
    <w:rsid w:val="0B6131F9"/>
    <w:rsid w:val="0B633415"/>
    <w:rsid w:val="0B922D24"/>
    <w:rsid w:val="0BAE21B6"/>
    <w:rsid w:val="0BB661B1"/>
    <w:rsid w:val="0BBF4610"/>
    <w:rsid w:val="0BC01BF6"/>
    <w:rsid w:val="0BD55995"/>
    <w:rsid w:val="0BEF455D"/>
    <w:rsid w:val="0BF142C8"/>
    <w:rsid w:val="0C1B5A9E"/>
    <w:rsid w:val="0C1E733C"/>
    <w:rsid w:val="0C5D60B6"/>
    <w:rsid w:val="0C8F3D96"/>
    <w:rsid w:val="0C915D60"/>
    <w:rsid w:val="0CC634A7"/>
    <w:rsid w:val="0CCE0D62"/>
    <w:rsid w:val="0D07165E"/>
    <w:rsid w:val="0D105628"/>
    <w:rsid w:val="0D1E7FA4"/>
    <w:rsid w:val="0D2546FA"/>
    <w:rsid w:val="0D2C3CDA"/>
    <w:rsid w:val="0D34620A"/>
    <w:rsid w:val="0D3D30EB"/>
    <w:rsid w:val="0D5A43A4"/>
    <w:rsid w:val="0D9553DC"/>
    <w:rsid w:val="0DB31D06"/>
    <w:rsid w:val="0DB8556E"/>
    <w:rsid w:val="0DBA3094"/>
    <w:rsid w:val="0DD57ECE"/>
    <w:rsid w:val="0DDC300B"/>
    <w:rsid w:val="0DF2618C"/>
    <w:rsid w:val="0E3957FF"/>
    <w:rsid w:val="0E3E5A73"/>
    <w:rsid w:val="0E5B6625"/>
    <w:rsid w:val="0E925DBF"/>
    <w:rsid w:val="0EF83E74"/>
    <w:rsid w:val="0EFB1BB6"/>
    <w:rsid w:val="0F2C1D70"/>
    <w:rsid w:val="0F3E3367"/>
    <w:rsid w:val="0F4B669A"/>
    <w:rsid w:val="0F6A299C"/>
    <w:rsid w:val="0F705AE6"/>
    <w:rsid w:val="0F8751F8"/>
    <w:rsid w:val="0FAD1102"/>
    <w:rsid w:val="0FC218C2"/>
    <w:rsid w:val="0FCE1079"/>
    <w:rsid w:val="0FD7617F"/>
    <w:rsid w:val="0FE00D89"/>
    <w:rsid w:val="0FED14FF"/>
    <w:rsid w:val="100E1475"/>
    <w:rsid w:val="10156CA8"/>
    <w:rsid w:val="101A1EAF"/>
    <w:rsid w:val="103E1D5B"/>
    <w:rsid w:val="108B7452"/>
    <w:rsid w:val="109522BA"/>
    <w:rsid w:val="10AA3894"/>
    <w:rsid w:val="10BE10ED"/>
    <w:rsid w:val="10C34956"/>
    <w:rsid w:val="10C36704"/>
    <w:rsid w:val="10DE52EC"/>
    <w:rsid w:val="10FB7C4C"/>
    <w:rsid w:val="112076B2"/>
    <w:rsid w:val="112A6783"/>
    <w:rsid w:val="112C150D"/>
    <w:rsid w:val="11315BCB"/>
    <w:rsid w:val="1138564F"/>
    <w:rsid w:val="11472E91"/>
    <w:rsid w:val="116A6B7F"/>
    <w:rsid w:val="116F4196"/>
    <w:rsid w:val="11BF6ECB"/>
    <w:rsid w:val="11ED1CC8"/>
    <w:rsid w:val="129C55A9"/>
    <w:rsid w:val="12A00F82"/>
    <w:rsid w:val="12C624DB"/>
    <w:rsid w:val="12CA5B28"/>
    <w:rsid w:val="12D44BF8"/>
    <w:rsid w:val="131A640E"/>
    <w:rsid w:val="13280AA0"/>
    <w:rsid w:val="133E1B96"/>
    <w:rsid w:val="13405DEA"/>
    <w:rsid w:val="1360023A"/>
    <w:rsid w:val="13653BC2"/>
    <w:rsid w:val="13893C35"/>
    <w:rsid w:val="13A10F7E"/>
    <w:rsid w:val="13BA0A4B"/>
    <w:rsid w:val="13C927E6"/>
    <w:rsid w:val="13D6674E"/>
    <w:rsid w:val="13DD5D2E"/>
    <w:rsid w:val="1404150D"/>
    <w:rsid w:val="14353475"/>
    <w:rsid w:val="14373691"/>
    <w:rsid w:val="148B578A"/>
    <w:rsid w:val="14AA20B4"/>
    <w:rsid w:val="14B940A6"/>
    <w:rsid w:val="14CA0061"/>
    <w:rsid w:val="14CF1B1B"/>
    <w:rsid w:val="14E153AA"/>
    <w:rsid w:val="14F1386F"/>
    <w:rsid w:val="154222ED"/>
    <w:rsid w:val="1559034B"/>
    <w:rsid w:val="155E2E9F"/>
    <w:rsid w:val="157466D4"/>
    <w:rsid w:val="15765710"/>
    <w:rsid w:val="157D052D"/>
    <w:rsid w:val="158905AA"/>
    <w:rsid w:val="15D53161"/>
    <w:rsid w:val="15DF5D8E"/>
    <w:rsid w:val="15FF3D3A"/>
    <w:rsid w:val="160A26DF"/>
    <w:rsid w:val="161D2412"/>
    <w:rsid w:val="163A7468"/>
    <w:rsid w:val="16493207"/>
    <w:rsid w:val="165247B2"/>
    <w:rsid w:val="16797F90"/>
    <w:rsid w:val="169E65FC"/>
    <w:rsid w:val="16B32D77"/>
    <w:rsid w:val="16CB1E6E"/>
    <w:rsid w:val="16D06D5B"/>
    <w:rsid w:val="16EB42BE"/>
    <w:rsid w:val="16EE3348"/>
    <w:rsid w:val="171B1048"/>
    <w:rsid w:val="1768590F"/>
    <w:rsid w:val="176A1687"/>
    <w:rsid w:val="17B60D70"/>
    <w:rsid w:val="17B6615A"/>
    <w:rsid w:val="17C23271"/>
    <w:rsid w:val="183323C1"/>
    <w:rsid w:val="1840063A"/>
    <w:rsid w:val="18422604"/>
    <w:rsid w:val="185D2F9A"/>
    <w:rsid w:val="18622CA6"/>
    <w:rsid w:val="1869193F"/>
    <w:rsid w:val="18A46E1B"/>
    <w:rsid w:val="18B66808"/>
    <w:rsid w:val="18BE5641"/>
    <w:rsid w:val="18E5190D"/>
    <w:rsid w:val="18E90898"/>
    <w:rsid w:val="18F41B50"/>
    <w:rsid w:val="19185113"/>
    <w:rsid w:val="192C753C"/>
    <w:rsid w:val="193006AE"/>
    <w:rsid w:val="19372530"/>
    <w:rsid w:val="19393A07"/>
    <w:rsid w:val="19404D95"/>
    <w:rsid w:val="194A1770"/>
    <w:rsid w:val="196229FF"/>
    <w:rsid w:val="19AE61A3"/>
    <w:rsid w:val="19CC03D7"/>
    <w:rsid w:val="19D62E5F"/>
    <w:rsid w:val="19E82D37"/>
    <w:rsid w:val="1A564145"/>
    <w:rsid w:val="1A606D71"/>
    <w:rsid w:val="1A6A1554"/>
    <w:rsid w:val="1A6A7BF0"/>
    <w:rsid w:val="1A8A3DEE"/>
    <w:rsid w:val="1AB8245A"/>
    <w:rsid w:val="1AE856E5"/>
    <w:rsid w:val="1B055E37"/>
    <w:rsid w:val="1B440441"/>
    <w:rsid w:val="1B9273FE"/>
    <w:rsid w:val="1BAD5FE6"/>
    <w:rsid w:val="1BDB0DA5"/>
    <w:rsid w:val="1BF41E67"/>
    <w:rsid w:val="1BF9122C"/>
    <w:rsid w:val="1BF9747E"/>
    <w:rsid w:val="1C13053F"/>
    <w:rsid w:val="1C1366CD"/>
    <w:rsid w:val="1C313BDC"/>
    <w:rsid w:val="1C3D55BC"/>
    <w:rsid w:val="1C6635DD"/>
    <w:rsid w:val="1C746B04"/>
    <w:rsid w:val="1C782A98"/>
    <w:rsid w:val="1C856F63"/>
    <w:rsid w:val="1C9C6787"/>
    <w:rsid w:val="1CB5080D"/>
    <w:rsid w:val="1CB54E52"/>
    <w:rsid w:val="1CB6536F"/>
    <w:rsid w:val="1CB810E7"/>
    <w:rsid w:val="1CC21F65"/>
    <w:rsid w:val="1CDA72AF"/>
    <w:rsid w:val="1CE8205F"/>
    <w:rsid w:val="1CFD2F9D"/>
    <w:rsid w:val="1D2247B2"/>
    <w:rsid w:val="1D2422D8"/>
    <w:rsid w:val="1D383FD6"/>
    <w:rsid w:val="1D4209B0"/>
    <w:rsid w:val="1D436C02"/>
    <w:rsid w:val="1D50131F"/>
    <w:rsid w:val="1D65301C"/>
    <w:rsid w:val="1D663A27"/>
    <w:rsid w:val="1D7E40DE"/>
    <w:rsid w:val="1D823A40"/>
    <w:rsid w:val="1D8965DF"/>
    <w:rsid w:val="1D8F1E47"/>
    <w:rsid w:val="1D976F4E"/>
    <w:rsid w:val="1DAD0520"/>
    <w:rsid w:val="1DB4365C"/>
    <w:rsid w:val="1DD43CFE"/>
    <w:rsid w:val="1DF24184"/>
    <w:rsid w:val="1E036392"/>
    <w:rsid w:val="1E236A34"/>
    <w:rsid w:val="1E2E1F24"/>
    <w:rsid w:val="1E4A3FC0"/>
    <w:rsid w:val="1E9A4F48"/>
    <w:rsid w:val="1EAC4C7B"/>
    <w:rsid w:val="1EAD6437"/>
    <w:rsid w:val="1EBF050A"/>
    <w:rsid w:val="1EC619DD"/>
    <w:rsid w:val="1EDB2E6A"/>
    <w:rsid w:val="1F08515F"/>
    <w:rsid w:val="1F0C372C"/>
    <w:rsid w:val="1F316F2E"/>
    <w:rsid w:val="1F4D1FBA"/>
    <w:rsid w:val="1F5211D5"/>
    <w:rsid w:val="1F533349"/>
    <w:rsid w:val="1F70574E"/>
    <w:rsid w:val="1FBF0084"/>
    <w:rsid w:val="1FDC2058"/>
    <w:rsid w:val="1FEB22AC"/>
    <w:rsid w:val="20104D96"/>
    <w:rsid w:val="2015246E"/>
    <w:rsid w:val="204326FB"/>
    <w:rsid w:val="20987265"/>
    <w:rsid w:val="209B0B03"/>
    <w:rsid w:val="20CE0ED9"/>
    <w:rsid w:val="20DA1BEE"/>
    <w:rsid w:val="20EC75B1"/>
    <w:rsid w:val="20FD17BE"/>
    <w:rsid w:val="20FF72E4"/>
    <w:rsid w:val="21020B82"/>
    <w:rsid w:val="211C2557"/>
    <w:rsid w:val="21313216"/>
    <w:rsid w:val="213A47C0"/>
    <w:rsid w:val="21A1039B"/>
    <w:rsid w:val="21A84153"/>
    <w:rsid w:val="21CD73E2"/>
    <w:rsid w:val="21D7200F"/>
    <w:rsid w:val="21D97416"/>
    <w:rsid w:val="21DF2C72"/>
    <w:rsid w:val="220C7B1C"/>
    <w:rsid w:val="2216214D"/>
    <w:rsid w:val="22486A69"/>
    <w:rsid w:val="228026A7"/>
    <w:rsid w:val="22C2681B"/>
    <w:rsid w:val="22EC4045"/>
    <w:rsid w:val="23082320"/>
    <w:rsid w:val="232B2BE4"/>
    <w:rsid w:val="23502079"/>
    <w:rsid w:val="23556165"/>
    <w:rsid w:val="23582CDC"/>
    <w:rsid w:val="235E3598"/>
    <w:rsid w:val="237D6BE6"/>
    <w:rsid w:val="23957A8C"/>
    <w:rsid w:val="239D2DE4"/>
    <w:rsid w:val="23FB6A9C"/>
    <w:rsid w:val="240E783E"/>
    <w:rsid w:val="240F5A90"/>
    <w:rsid w:val="24257273"/>
    <w:rsid w:val="24537B29"/>
    <w:rsid w:val="246E7136"/>
    <w:rsid w:val="246E7D69"/>
    <w:rsid w:val="24741D97"/>
    <w:rsid w:val="247955FF"/>
    <w:rsid w:val="24B85758"/>
    <w:rsid w:val="24BE3012"/>
    <w:rsid w:val="24C34ACD"/>
    <w:rsid w:val="24CF521F"/>
    <w:rsid w:val="24D64800"/>
    <w:rsid w:val="24D779FF"/>
    <w:rsid w:val="24E07736"/>
    <w:rsid w:val="254A2AF8"/>
    <w:rsid w:val="254B6F9C"/>
    <w:rsid w:val="255B4D05"/>
    <w:rsid w:val="257302A1"/>
    <w:rsid w:val="25750EDD"/>
    <w:rsid w:val="257D2F2B"/>
    <w:rsid w:val="258673AF"/>
    <w:rsid w:val="259F1096"/>
    <w:rsid w:val="259F4367"/>
    <w:rsid w:val="26031625"/>
    <w:rsid w:val="262D176D"/>
    <w:rsid w:val="2650413E"/>
    <w:rsid w:val="265A6D6B"/>
    <w:rsid w:val="26942FFE"/>
    <w:rsid w:val="26976211"/>
    <w:rsid w:val="26C2328E"/>
    <w:rsid w:val="26D94133"/>
    <w:rsid w:val="26EC030B"/>
    <w:rsid w:val="272B168E"/>
    <w:rsid w:val="275B2D9A"/>
    <w:rsid w:val="2767173F"/>
    <w:rsid w:val="27716A62"/>
    <w:rsid w:val="27E55EA8"/>
    <w:rsid w:val="281C4C20"/>
    <w:rsid w:val="2826784C"/>
    <w:rsid w:val="28297ADC"/>
    <w:rsid w:val="283F090E"/>
    <w:rsid w:val="28413ED6"/>
    <w:rsid w:val="28551EE0"/>
    <w:rsid w:val="2866592B"/>
    <w:rsid w:val="28C81EEA"/>
    <w:rsid w:val="28F91EE5"/>
    <w:rsid w:val="291458F7"/>
    <w:rsid w:val="29361D11"/>
    <w:rsid w:val="293B0E26"/>
    <w:rsid w:val="294A756A"/>
    <w:rsid w:val="29752839"/>
    <w:rsid w:val="29B50E88"/>
    <w:rsid w:val="29BA07EA"/>
    <w:rsid w:val="29BA46F0"/>
    <w:rsid w:val="29CF181E"/>
    <w:rsid w:val="29F6324E"/>
    <w:rsid w:val="29F714A0"/>
    <w:rsid w:val="2A067935"/>
    <w:rsid w:val="2A0E0598"/>
    <w:rsid w:val="2A157B78"/>
    <w:rsid w:val="2A1831C5"/>
    <w:rsid w:val="2A1E6E30"/>
    <w:rsid w:val="2A3224D8"/>
    <w:rsid w:val="2A3B6409"/>
    <w:rsid w:val="2AAE58D7"/>
    <w:rsid w:val="2AB253C7"/>
    <w:rsid w:val="2AC53287"/>
    <w:rsid w:val="2AD27817"/>
    <w:rsid w:val="2B485D2C"/>
    <w:rsid w:val="2B4A3852"/>
    <w:rsid w:val="2B520958"/>
    <w:rsid w:val="2B821C36"/>
    <w:rsid w:val="2B8F395A"/>
    <w:rsid w:val="2B996587"/>
    <w:rsid w:val="2BA016C4"/>
    <w:rsid w:val="2BA2368E"/>
    <w:rsid w:val="2BA51C2E"/>
    <w:rsid w:val="2BB602B0"/>
    <w:rsid w:val="2BB86A0D"/>
    <w:rsid w:val="2BD66E93"/>
    <w:rsid w:val="2C0C60C9"/>
    <w:rsid w:val="2C3B13EC"/>
    <w:rsid w:val="2C3F712F"/>
    <w:rsid w:val="2C44309A"/>
    <w:rsid w:val="2C673F8F"/>
    <w:rsid w:val="2C9375D9"/>
    <w:rsid w:val="2CA174A1"/>
    <w:rsid w:val="2CAE7E10"/>
    <w:rsid w:val="2CB9697F"/>
    <w:rsid w:val="2CB96DB1"/>
    <w:rsid w:val="2CCD64E8"/>
    <w:rsid w:val="2CD47877"/>
    <w:rsid w:val="2CF00429"/>
    <w:rsid w:val="2CFF066C"/>
    <w:rsid w:val="2D0068BE"/>
    <w:rsid w:val="2D1C4D7A"/>
    <w:rsid w:val="2D1F758D"/>
    <w:rsid w:val="2D3F7B01"/>
    <w:rsid w:val="2D5409B8"/>
    <w:rsid w:val="2D6F5BAF"/>
    <w:rsid w:val="2D720E3E"/>
    <w:rsid w:val="2D7E5A35"/>
    <w:rsid w:val="2D820E12"/>
    <w:rsid w:val="2D945258"/>
    <w:rsid w:val="2DB94CBF"/>
    <w:rsid w:val="2DBD47AF"/>
    <w:rsid w:val="2DCC7F60"/>
    <w:rsid w:val="2DD815E9"/>
    <w:rsid w:val="2DE57862"/>
    <w:rsid w:val="2DEC299E"/>
    <w:rsid w:val="2E083E2E"/>
    <w:rsid w:val="2E0A72C8"/>
    <w:rsid w:val="2E132621"/>
    <w:rsid w:val="2E954DE4"/>
    <w:rsid w:val="2E9D638E"/>
    <w:rsid w:val="2EB37960"/>
    <w:rsid w:val="2EBF4557"/>
    <w:rsid w:val="2EC2325C"/>
    <w:rsid w:val="2ECB4CA9"/>
    <w:rsid w:val="2ED81174"/>
    <w:rsid w:val="2EDC6EB7"/>
    <w:rsid w:val="2EFC30B5"/>
    <w:rsid w:val="2F146650"/>
    <w:rsid w:val="2F205073"/>
    <w:rsid w:val="2F2F43B2"/>
    <w:rsid w:val="2F4B1946"/>
    <w:rsid w:val="2F4B4BBE"/>
    <w:rsid w:val="2F4F4B8D"/>
    <w:rsid w:val="2F64046F"/>
    <w:rsid w:val="2FB90FA6"/>
    <w:rsid w:val="2FBD0A5E"/>
    <w:rsid w:val="2FD7142C"/>
    <w:rsid w:val="2FE778C1"/>
    <w:rsid w:val="303B7C0D"/>
    <w:rsid w:val="30515682"/>
    <w:rsid w:val="30550CCF"/>
    <w:rsid w:val="307F7AFA"/>
    <w:rsid w:val="3087739D"/>
    <w:rsid w:val="30A752A2"/>
    <w:rsid w:val="30D43AD4"/>
    <w:rsid w:val="30FF1C70"/>
    <w:rsid w:val="31012C04"/>
    <w:rsid w:val="31293F09"/>
    <w:rsid w:val="31310E06"/>
    <w:rsid w:val="316118F5"/>
    <w:rsid w:val="3172765E"/>
    <w:rsid w:val="31C14142"/>
    <w:rsid w:val="31C53C32"/>
    <w:rsid w:val="31C75B74"/>
    <w:rsid w:val="31D64091"/>
    <w:rsid w:val="3203475A"/>
    <w:rsid w:val="32072C23"/>
    <w:rsid w:val="32476D3D"/>
    <w:rsid w:val="32572665"/>
    <w:rsid w:val="327B02A1"/>
    <w:rsid w:val="32AC094E"/>
    <w:rsid w:val="32DD31FD"/>
    <w:rsid w:val="33633703"/>
    <w:rsid w:val="3364301C"/>
    <w:rsid w:val="336D0DF3"/>
    <w:rsid w:val="339935C8"/>
    <w:rsid w:val="33B91574"/>
    <w:rsid w:val="33BC72B7"/>
    <w:rsid w:val="33BE39A7"/>
    <w:rsid w:val="33E32A95"/>
    <w:rsid w:val="33F95E15"/>
    <w:rsid w:val="340E1ED8"/>
    <w:rsid w:val="342F5CDB"/>
    <w:rsid w:val="343030EC"/>
    <w:rsid w:val="345179FF"/>
    <w:rsid w:val="34543921"/>
    <w:rsid w:val="34591F52"/>
    <w:rsid w:val="345A2D11"/>
    <w:rsid w:val="34645984"/>
    <w:rsid w:val="34677222"/>
    <w:rsid w:val="346D235F"/>
    <w:rsid w:val="348845FB"/>
    <w:rsid w:val="34A264AC"/>
    <w:rsid w:val="34C71A6F"/>
    <w:rsid w:val="34F860CC"/>
    <w:rsid w:val="350916C1"/>
    <w:rsid w:val="3538471B"/>
    <w:rsid w:val="3542559A"/>
    <w:rsid w:val="354D5BFB"/>
    <w:rsid w:val="356D6ABA"/>
    <w:rsid w:val="35753BC1"/>
    <w:rsid w:val="3576221D"/>
    <w:rsid w:val="35774E5C"/>
    <w:rsid w:val="357C7EED"/>
    <w:rsid w:val="35BF6BEA"/>
    <w:rsid w:val="35C661CB"/>
    <w:rsid w:val="35C80195"/>
    <w:rsid w:val="35D72186"/>
    <w:rsid w:val="36010F99"/>
    <w:rsid w:val="36090981"/>
    <w:rsid w:val="360B4679"/>
    <w:rsid w:val="36171AA8"/>
    <w:rsid w:val="361909F0"/>
    <w:rsid w:val="364D14B0"/>
    <w:rsid w:val="36525CB0"/>
    <w:rsid w:val="365C64C8"/>
    <w:rsid w:val="367E6394"/>
    <w:rsid w:val="36826596"/>
    <w:rsid w:val="36AB0043"/>
    <w:rsid w:val="36DE6870"/>
    <w:rsid w:val="36E36908"/>
    <w:rsid w:val="36FF7BE6"/>
    <w:rsid w:val="37166CDE"/>
    <w:rsid w:val="373D3D74"/>
    <w:rsid w:val="377203B8"/>
    <w:rsid w:val="378C0D4E"/>
    <w:rsid w:val="378F77CA"/>
    <w:rsid w:val="37955E55"/>
    <w:rsid w:val="37976BCB"/>
    <w:rsid w:val="37A97B52"/>
    <w:rsid w:val="37B3452D"/>
    <w:rsid w:val="37D73BD3"/>
    <w:rsid w:val="37DF17C6"/>
    <w:rsid w:val="37E312B6"/>
    <w:rsid w:val="37FC5ED4"/>
    <w:rsid w:val="38003C16"/>
    <w:rsid w:val="38066D52"/>
    <w:rsid w:val="3821593A"/>
    <w:rsid w:val="38363E2C"/>
    <w:rsid w:val="38376F0C"/>
    <w:rsid w:val="383E734F"/>
    <w:rsid w:val="38402264"/>
    <w:rsid w:val="38417D8A"/>
    <w:rsid w:val="384A30E3"/>
    <w:rsid w:val="384D5DAC"/>
    <w:rsid w:val="387C0DC3"/>
    <w:rsid w:val="38A00F55"/>
    <w:rsid w:val="38A10829"/>
    <w:rsid w:val="38A60DFB"/>
    <w:rsid w:val="38DF7CCF"/>
    <w:rsid w:val="38E70932"/>
    <w:rsid w:val="38F65019"/>
    <w:rsid w:val="3902576C"/>
    <w:rsid w:val="39292CF8"/>
    <w:rsid w:val="392C4597"/>
    <w:rsid w:val="39335925"/>
    <w:rsid w:val="394144E6"/>
    <w:rsid w:val="397D4DF2"/>
    <w:rsid w:val="398120AD"/>
    <w:rsid w:val="39842625"/>
    <w:rsid w:val="39BA53ED"/>
    <w:rsid w:val="39D65645"/>
    <w:rsid w:val="39DE1D35"/>
    <w:rsid w:val="39E82BB3"/>
    <w:rsid w:val="39FE23D7"/>
    <w:rsid w:val="3A25027C"/>
    <w:rsid w:val="3A79752B"/>
    <w:rsid w:val="3A886145"/>
    <w:rsid w:val="3A8A5A19"/>
    <w:rsid w:val="3A8F1281"/>
    <w:rsid w:val="3AA81AEC"/>
    <w:rsid w:val="3AA96086"/>
    <w:rsid w:val="3B1874C8"/>
    <w:rsid w:val="3B1F2605"/>
    <w:rsid w:val="3B2E0A9A"/>
    <w:rsid w:val="3B495853"/>
    <w:rsid w:val="3B673FAC"/>
    <w:rsid w:val="3B6E70E8"/>
    <w:rsid w:val="3B787F67"/>
    <w:rsid w:val="3B7D557D"/>
    <w:rsid w:val="3BAC7C11"/>
    <w:rsid w:val="3BB0325D"/>
    <w:rsid w:val="3BC66F24"/>
    <w:rsid w:val="3BE251FF"/>
    <w:rsid w:val="3C0358C7"/>
    <w:rsid w:val="3C1F6635"/>
    <w:rsid w:val="3C2B322B"/>
    <w:rsid w:val="3C5966E7"/>
    <w:rsid w:val="3C687FDC"/>
    <w:rsid w:val="3C920BB5"/>
    <w:rsid w:val="3C986DEA"/>
    <w:rsid w:val="3CCD770B"/>
    <w:rsid w:val="3CDC1B7D"/>
    <w:rsid w:val="3CE60CB4"/>
    <w:rsid w:val="3D094C04"/>
    <w:rsid w:val="3D1E069A"/>
    <w:rsid w:val="3D4240D5"/>
    <w:rsid w:val="3D5642D8"/>
    <w:rsid w:val="3D6C7658"/>
    <w:rsid w:val="3D9A41C5"/>
    <w:rsid w:val="3DB01C3A"/>
    <w:rsid w:val="3DF37D79"/>
    <w:rsid w:val="3E1F291C"/>
    <w:rsid w:val="3E203475"/>
    <w:rsid w:val="3E285C74"/>
    <w:rsid w:val="3E3D2DA2"/>
    <w:rsid w:val="3E530817"/>
    <w:rsid w:val="3E553950"/>
    <w:rsid w:val="3E90381A"/>
    <w:rsid w:val="3EA66B99"/>
    <w:rsid w:val="3EBC460F"/>
    <w:rsid w:val="3ECA78AB"/>
    <w:rsid w:val="3EED2C3E"/>
    <w:rsid w:val="3F1E0E25"/>
    <w:rsid w:val="3F310B59"/>
    <w:rsid w:val="3F422D66"/>
    <w:rsid w:val="3F52287D"/>
    <w:rsid w:val="3F6C06EE"/>
    <w:rsid w:val="3FA250D1"/>
    <w:rsid w:val="3FA87ED6"/>
    <w:rsid w:val="3FAA090B"/>
    <w:rsid w:val="3FDF1E0B"/>
    <w:rsid w:val="400A488F"/>
    <w:rsid w:val="40154B29"/>
    <w:rsid w:val="40314B39"/>
    <w:rsid w:val="40396BF8"/>
    <w:rsid w:val="405745EF"/>
    <w:rsid w:val="4069405F"/>
    <w:rsid w:val="40A62E81"/>
    <w:rsid w:val="40D043A1"/>
    <w:rsid w:val="40DE6ABE"/>
    <w:rsid w:val="40E6603B"/>
    <w:rsid w:val="40F167F2"/>
    <w:rsid w:val="41037890"/>
    <w:rsid w:val="41055792"/>
    <w:rsid w:val="411C75E7"/>
    <w:rsid w:val="411F7DD9"/>
    <w:rsid w:val="41540B2E"/>
    <w:rsid w:val="41820937"/>
    <w:rsid w:val="41C21F3C"/>
    <w:rsid w:val="41F836BE"/>
    <w:rsid w:val="42277FF1"/>
    <w:rsid w:val="42297B87"/>
    <w:rsid w:val="424C765C"/>
    <w:rsid w:val="42BC698B"/>
    <w:rsid w:val="42D96731"/>
    <w:rsid w:val="42E3660E"/>
    <w:rsid w:val="42F83F42"/>
    <w:rsid w:val="430D2AC7"/>
    <w:rsid w:val="43192030"/>
    <w:rsid w:val="433266AD"/>
    <w:rsid w:val="43357876"/>
    <w:rsid w:val="4352109E"/>
    <w:rsid w:val="43560B8E"/>
    <w:rsid w:val="436D4129"/>
    <w:rsid w:val="438C45B0"/>
    <w:rsid w:val="43AC1C7E"/>
    <w:rsid w:val="43BF2BD7"/>
    <w:rsid w:val="43C401ED"/>
    <w:rsid w:val="43DE2931"/>
    <w:rsid w:val="43F1324E"/>
    <w:rsid w:val="44104F2A"/>
    <w:rsid w:val="44AC2A30"/>
    <w:rsid w:val="44C4421D"/>
    <w:rsid w:val="44DE708D"/>
    <w:rsid w:val="44E16B7D"/>
    <w:rsid w:val="452A6078"/>
    <w:rsid w:val="45373FB8"/>
    <w:rsid w:val="454D4212"/>
    <w:rsid w:val="455B692F"/>
    <w:rsid w:val="45743E6C"/>
    <w:rsid w:val="45884D24"/>
    <w:rsid w:val="458D0AB3"/>
    <w:rsid w:val="458F0387"/>
    <w:rsid w:val="45AA1B8E"/>
    <w:rsid w:val="45B147A1"/>
    <w:rsid w:val="45DB35CC"/>
    <w:rsid w:val="45EA7CB3"/>
    <w:rsid w:val="46181376"/>
    <w:rsid w:val="46362EF9"/>
    <w:rsid w:val="464078D3"/>
    <w:rsid w:val="46601D24"/>
    <w:rsid w:val="46674E60"/>
    <w:rsid w:val="46893028"/>
    <w:rsid w:val="46C44060"/>
    <w:rsid w:val="46CC73B9"/>
    <w:rsid w:val="46CE6FD6"/>
    <w:rsid w:val="46E110B6"/>
    <w:rsid w:val="46E75FA1"/>
    <w:rsid w:val="46E97F6B"/>
    <w:rsid w:val="46EB3F0D"/>
    <w:rsid w:val="473311E6"/>
    <w:rsid w:val="47336D14"/>
    <w:rsid w:val="47574ED5"/>
    <w:rsid w:val="47794E4B"/>
    <w:rsid w:val="4791660D"/>
    <w:rsid w:val="479B74B7"/>
    <w:rsid w:val="47BC567F"/>
    <w:rsid w:val="47DA5262"/>
    <w:rsid w:val="48286871"/>
    <w:rsid w:val="48741AB6"/>
    <w:rsid w:val="487D4E0F"/>
    <w:rsid w:val="48853CC3"/>
    <w:rsid w:val="48AE65BB"/>
    <w:rsid w:val="48CC544E"/>
    <w:rsid w:val="48E409EA"/>
    <w:rsid w:val="48FD7CFE"/>
    <w:rsid w:val="49044BE8"/>
    <w:rsid w:val="493354CD"/>
    <w:rsid w:val="49417BEA"/>
    <w:rsid w:val="49634005"/>
    <w:rsid w:val="496909A2"/>
    <w:rsid w:val="49D22F38"/>
    <w:rsid w:val="49E30CA1"/>
    <w:rsid w:val="49FD6207"/>
    <w:rsid w:val="4A02381D"/>
    <w:rsid w:val="4A8835F7"/>
    <w:rsid w:val="4A8D338B"/>
    <w:rsid w:val="4AAA5C63"/>
    <w:rsid w:val="4AD8632C"/>
    <w:rsid w:val="4B0709C0"/>
    <w:rsid w:val="4B0D06CC"/>
    <w:rsid w:val="4B201A81"/>
    <w:rsid w:val="4B255FDE"/>
    <w:rsid w:val="4B3D6AD7"/>
    <w:rsid w:val="4B4B1FAE"/>
    <w:rsid w:val="4B693428"/>
    <w:rsid w:val="4B752EB3"/>
    <w:rsid w:val="4B75781C"/>
    <w:rsid w:val="4B7A73E4"/>
    <w:rsid w:val="4B842010"/>
    <w:rsid w:val="4BEF787D"/>
    <w:rsid w:val="4C536D07"/>
    <w:rsid w:val="4C6A7458"/>
    <w:rsid w:val="4C72630D"/>
    <w:rsid w:val="4C7958ED"/>
    <w:rsid w:val="4C7E1155"/>
    <w:rsid w:val="4C96024D"/>
    <w:rsid w:val="4C96649F"/>
    <w:rsid w:val="4C982217"/>
    <w:rsid w:val="4CB93F3C"/>
    <w:rsid w:val="4CE903BF"/>
    <w:rsid w:val="4CE92A73"/>
    <w:rsid w:val="4D0619FF"/>
    <w:rsid w:val="4D1B5540"/>
    <w:rsid w:val="4D27359B"/>
    <w:rsid w:val="4D381304"/>
    <w:rsid w:val="4D4A68EB"/>
    <w:rsid w:val="4D722A68"/>
    <w:rsid w:val="4DB0533F"/>
    <w:rsid w:val="4DB56DF9"/>
    <w:rsid w:val="4DBA7F6B"/>
    <w:rsid w:val="4DE1374A"/>
    <w:rsid w:val="4DE43A02"/>
    <w:rsid w:val="4E1E674C"/>
    <w:rsid w:val="4E573A0C"/>
    <w:rsid w:val="4E710F72"/>
    <w:rsid w:val="4E824F2D"/>
    <w:rsid w:val="4EF94AC3"/>
    <w:rsid w:val="4EFE2265"/>
    <w:rsid w:val="4F0C47F7"/>
    <w:rsid w:val="4F0E056F"/>
    <w:rsid w:val="4F0E67C1"/>
    <w:rsid w:val="4F19785D"/>
    <w:rsid w:val="4F473A81"/>
    <w:rsid w:val="4F5F0DCA"/>
    <w:rsid w:val="4F6E725F"/>
    <w:rsid w:val="4F9111A0"/>
    <w:rsid w:val="50406E4E"/>
    <w:rsid w:val="504361D3"/>
    <w:rsid w:val="50463208"/>
    <w:rsid w:val="5056627C"/>
    <w:rsid w:val="50A867A1"/>
    <w:rsid w:val="50AA42C7"/>
    <w:rsid w:val="50B213CE"/>
    <w:rsid w:val="50B82E88"/>
    <w:rsid w:val="50E035F8"/>
    <w:rsid w:val="50F96FFC"/>
    <w:rsid w:val="50FC089B"/>
    <w:rsid w:val="5139564B"/>
    <w:rsid w:val="513B5867"/>
    <w:rsid w:val="51477D68"/>
    <w:rsid w:val="515D758B"/>
    <w:rsid w:val="51656440"/>
    <w:rsid w:val="519B5084"/>
    <w:rsid w:val="51B86EB8"/>
    <w:rsid w:val="51ED6B61"/>
    <w:rsid w:val="51FA127E"/>
    <w:rsid w:val="51FB0B52"/>
    <w:rsid w:val="51FF0643"/>
    <w:rsid w:val="520774F7"/>
    <w:rsid w:val="520B348B"/>
    <w:rsid w:val="52176CEB"/>
    <w:rsid w:val="52262073"/>
    <w:rsid w:val="52432C25"/>
    <w:rsid w:val="525564B4"/>
    <w:rsid w:val="52DE46FC"/>
    <w:rsid w:val="52E42113"/>
    <w:rsid w:val="52F741DF"/>
    <w:rsid w:val="52FC4B82"/>
    <w:rsid w:val="532365B3"/>
    <w:rsid w:val="532C190B"/>
    <w:rsid w:val="53332C9A"/>
    <w:rsid w:val="53420278"/>
    <w:rsid w:val="53755DED"/>
    <w:rsid w:val="539E7A53"/>
    <w:rsid w:val="53A07C03"/>
    <w:rsid w:val="53A92F5C"/>
    <w:rsid w:val="53C64E1D"/>
    <w:rsid w:val="53CB2ED2"/>
    <w:rsid w:val="53DF697E"/>
    <w:rsid w:val="53E43F94"/>
    <w:rsid w:val="54083235"/>
    <w:rsid w:val="540B32CF"/>
    <w:rsid w:val="541C54DC"/>
    <w:rsid w:val="54533737"/>
    <w:rsid w:val="547A48F8"/>
    <w:rsid w:val="548D1D9F"/>
    <w:rsid w:val="548D63DA"/>
    <w:rsid w:val="54AB2865"/>
    <w:rsid w:val="54B25E40"/>
    <w:rsid w:val="54BC21FD"/>
    <w:rsid w:val="55161546"/>
    <w:rsid w:val="5536081F"/>
    <w:rsid w:val="553D7E00"/>
    <w:rsid w:val="55491426"/>
    <w:rsid w:val="55747599"/>
    <w:rsid w:val="55AF412E"/>
    <w:rsid w:val="55C80600"/>
    <w:rsid w:val="55E70297"/>
    <w:rsid w:val="55E738C7"/>
    <w:rsid w:val="56132360"/>
    <w:rsid w:val="56292132"/>
    <w:rsid w:val="56701B0F"/>
    <w:rsid w:val="56764D9B"/>
    <w:rsid w:val="567A473C"/>
    <w:rsid w:val="56994290"/>
    <w:rsid w:val="56AD4B11"/>
    <w:rsid w:val="56B20379"/>
    <w:rsid w:val="56B440F1"/>
    <w:rsid w:val="56DC53F6"/>
    <w:rsid w:val="56DC71A4"/>
    <w:rsid w:val="56F24C1A"/>
    <w:rsid w:val="56FA762A"/>
    <w:rsid w:val="57151F70"/>
    <w:rsid w:val="572E39BC"/>
    <w:rsid w:val="57381FE6"/>
    <w:rsid w:val="575E5E0B"/>
    <w:rsid w:val="576C0E39"/>
    <w:rsid w:val="578D66F1"/>
    <w:rsid w:val="57B43C7D"/>
    <w:rsid w:val="57DD2798"/>
    <w:rsid w:val="57E31A57"/>
    <w:rsid w:val="57E736D6"/>
    <w:rsid w:val="580F5357"/>
    <w:rsid w:val="586236D9"/>
    <w:rsid w:val="58661882"/>
    <w:rsid w:val="58690F0C"/>
    <w:rsid w:val="586F10EB"/>
    <w:rsid w:val="588B2C30"/>
    <w:rsid w:val="588E2720"/>
    <w:rsid w:val="58EB7B73"/>
    <w:rsid w:val="5934151A"/>
    <w:rsid w:val="593F3A1A"/>
    <w:rsid w:val="59570D64"/>
    <w:rsid w:val="59F111B9"/>
    <w:rsid w:val="5A201A9E"/>
    <w:rsid w:val="5A2E7D17"/>
    <w:rsid w:val="5A380B96"/>
    <w:rsid w:val="5A4F474B"/>
    <w:rsid w:val="5A5A4FB0"/>
    <w:rsid w:val="5A972811"/>
    <w:rsid w:val="5AAD1584"/>
    <w:rsid w:val="5AB26B9A"/>
    <w:rsid w:val="5ABF3065"/>
    <w:rsid w:val="5AEB20AC"/>
    <w:rsid w:val="5AFA7489"/>
    <w:rsid w:val="5B2A44C3"/>
    <w:rsid w:val="5B2B06FA"/>
    <w:rsid w:val="5B5A267B"/>
    <w:rsid w:val="5B5F2152"/>
    <w:rsid w:val="5B712027"/>
    <w:rsid w:val="5B8849C4"/>
    <w:rsid w:val="5BB57FC4"/>
    <w:rsid w:val="5BBC75A4"/>
    <w:rsid w:val="5BE03EBE"/>
    <w:rsid w:val="5BE2700B"/>
    <w:rsid w:val="5BE646E0"/>
    <w:rsid w:val="5C0C4E98"/>
    <w:rsid w:val="5C292E8C"/>
    <w:rsid w:val="5C473312"/>
    <w:rsid w:val="5CD5373D"/>
    <w:rsid w:val="5CDD77D2"/>
    <w:rsid w:val="5CF80AB0"/>
    <w:rsid w:val="5D076885"/>
    <w:rsid w:val="5D5C52AC"/>
    <w:rsid w:val="5D6C356E"/>
    <w:rsid w:val="5D7F481C"/>
    <w:rsid w:val="5D83481E"/>
    <w:rsid w:val="5D845EA0"/>
    <w:rsid w:val="5DAF5613"/>
    <w:rsid w:val="5DBA0208"/>
    <w:rsid w:val="5DC34C1A"/>
    <w:rsid w:val="5DFB6388"/>
    <w:rsid w:val="5DFE5C52"/>
    <w:rsid w:val="5E190CDE"/>
    <w:rsid w:val="5E5F0DE7"/>
    <w:rsid w:val="5E714676"/>
    <w:rsid w:val="5E744166"/>
    <w:rsid w:val="5EC724E8"/>
    <w:rsid w:val="5ECC3FA2"/>
    <w:rsid w:val="5F0831BF"/>
    <w:rsid w:val="5F0C25F1"/>
    <w:rsid w:val="5F28567D"/>
    <w:rsid w:val="5F550779"/>
    <w:rsid w:val="5F6706E3"/>
    <w:rsid w:val="5F697A43"/>
    <w:rsid w:val="5F7268F8"/>
    <w:rsid w:val="5F814D8D"/>
    <w:rsid w:val="5F8605F5"/>
    <w:rsid w:val="5F8761F4"/>
    <w:rsid w:val="5F9E149B"/>
    <w:rsid w:val="5FDC6AE2"/>
    <w:rsid w:val="5FFC08B7"/>
    <w:rsid w:val="600D4872"/>
    <w:rsid w:val="607466A0"/>
    <w:rsid w:val="60787F3E"/>
    <w:rsid w:val="60940AF0"/>
    <w:rsid w:val="60B8658C"/>
    <w:rsid w:val="60B90C1E"/>
    <w:rsid w:val="60C003CB"/>
    <w:rsid w:val="60C3622F"/>
    <w:rsid w:val="60CE7B5E"/>
    <w:rsid w:val="60D94755"/>
    <w:rsid w:val="60F63558"/>
    <w:rsid w:val="60F65306"/>
    <w:rsid w:val="60F90953"/>
    <w:rsid w:val="6126362C"/>
    <w:rsid w:val="615D5386"/>
    <w:rsid w:val="61880654"/>
    <w:rsid w:val="61BE4076"/>
    <w:rsid w:val="61F21F72"/>
    <w:rsid w:val="62083543"/>
    <w:rsid w:val="622540F5"/>
    <w:rsid w:val="624F1A1F"/>
    <w:rsid w:val="62662018"/>
    <w:rsid w:val="6280757E"/>
    <w:rsid w:val="6291178B"/>
    <w:rsid w:val="62C27B96"/>
    <w:rsid w:val="62EE44E7"/>
    <w:rsid w:val="62FE04A2"/>
    <w:rsid w:val="63464D73"/>
    <w:rsid w:val="63512CC8"/>
    <w:rsid w:val="639B1BC7"/>
    <w:rsid w:val="63B05C41"/>
    <w:rsid w:val="63B079EF"/>
    <w:rsid w:val="64095D64"/>
    <w:rsid w:val="641617D6"/>
    <w:rsid w:val="64234664"/>
    <w:rsid w:val="642A59F3"/>
    <w:rsid w:val="645111D2"/>
    <w:rsid w:val="6456730F"/>
    <w:rsid w:val="645A104C"/>
    <w:rsid w:val="64915A72"/>
    <w:rsid w:val="649B7D9B"/>
    <w:rsid w:val="64EC48EB"/>
    <w:rsid w:val="652F0DE7"/>
    <w:rsid w:val="6558033E"/>
    <w:rsid w:val="65B02B4B"/>
    <w:rsid w:val="65D26342"/>
    <w:rsid w:val="65D5373C"/>
    <w:rsid w:val="65E63B9C"/>
    <w:rsid w:val="66560D21"/>
    <w:rsid w:val="6661283B"/>
    <w:rsid w:val="66D35B41"/>
    <w:rsid w:val="673037B4"/>
    <w:rsid w:val="67317098"/>
    <w:rsid w:val="673226C3"/>
    <w:rsid w:val="673646AF"/>
    <w:rsid w:val="67397CFB"/>
    <w:rsid w:val="674E19F8"/>
    <w:rsid w:val="676A6106"/>
    <w:rsid w:val="678B3B15"/>
    <w:rsid w:val="678E0047"/>
    <w:rsid w:val="67BD092C"/>
    <w:rsid w:val="67D55C76"/>
    <w:rsid w:val="67EE0AE5"/>
    <w:rsid w:val="67F142EE"/>
    <w:rsid w:val="67FF2F87"/>
    <w:rsid w:val="680227E3"/>
    <w:rsid w:val="680447AD"/>
    <w:rsid w:val="68120C78"/>
    <w:rsid w:val="68582403"/>
    <w:rsid w:val="68634C04"/>
    <w:rsid w:val="689618A9"/>
    <w:rsid w:val="68D20407"/>
    <w:rsid w:val="69074555"/>
    <w:rsid w:val="69140A20"/>
    <w:rsid w:val="691722BE"/>
    <w:rsid w:val="69194288"/>
    <w:rsid w:val="69216C99"/>
    <w:rsid w:val="6951493B"/>
    <w:rsid w:val="69584DB0"/>
    <w:rsid w:val="698931BC"/>
    <w:rsid w:val="69D501AF"/>
    <w:rsid w:val="69DE760F"/>
    <w:rsid w:val="6A1567FD"/>
    <w:rsid w:val="6A1F767C"/>
    <w:rsid w:val="6A2E4A42"/>
    <w:rsid w:val="6A301CE3"/>
    <w:rsid w:val="6A441DC6"/>
    <w:rsid w:val="6A497A2E"/>
    <w:rsid w:val="6A75729C"/>
    <w:rsid w:val="6A890F99"/>
    <w:rsid w:val="6AA33E09"/>
    <w:rsid w:val="6AA656A7"/>
    <w:rsid w:val="6AB53B3C"/>
    <w:rsid w:val="6AB73D58"/>
    <w:rsid w:val="6ABC311D"/>
    <w:rsid w:val="6AC00DE7"/>
    <w:rsid w:val="6ADB7A47"/>
    <w:rsid w:val="6AF26B3F"/>
    <w:rsid w:val="6B1940CB"/>
    <w:rsid w:val="6B347157"/>
    <w:rsid w:val="6B7632CC"/>
    <w:rsid w:val="6B8C0D41"/>
    <w:rsid w:val="6BD2397F"/>
    <w:rsid w:val="6BDA7CFF"/>
    <w:rsid w:val="6BE26BB3"/>
    <w:rsid w:val="6C0B610A"/>
    <w:rsid w:val="6C272818"/>
    <w:rsid w:val="6C2C6080"/>
    <w:rsid w:val="6C2E1DF8"/>
    <w:rsid w:val="6C537AB1"/>
    <w:rsid w:val="6C9A1E4F"/>
    <w:rsid w:val="6C9E13A2"/>
    <w:rsid w:val="6CB06CB1"/>
    <w:rsid w:val="6D036DE1"/>
    <w:rsid w:val="6D0506E8"/>
    <w:rsid w:val="6D260D22"/>
    <w:rsid w:val="6D2F7BD6"/>
    <w:rsid w:val="6D4E251B"/>
    <w:rsid w:val="6D7F664B"/>
    <w:rsid w:val="6D8C5028"/>
    <w:rsid w:val="6D8F6366"/>
    <w:rsid w:val="6D965EA7"/>
    <w:rsid w:val="6DF826BE"/>
    <w:rsid w:val="6DF834E8"/>
    <w:rsid w:val="6E184C4C"/>
    <w:rsid w:val="6E292877"/>
    <w:rsid w:val="6E295DC3"/>
    <w:rsid w:val="6E3000AA"/>
    <w:rsid w:val="6E443B55"/>
    <w:rsid w:val="6E612A2C"/>
    <w:rsid w:val="6E672B3E"/>
    <w:rsid w:val="6E7F06E9"/>
    <w:rsid w:val="6E8B1162"/>
    <w:rsid w:val="6E971ED7"/>
    <w:rsid w:val="6E9817AB"/>
    <w:rsid w:val="6EC802E2"/>
    <w:rsid w:val="6F280D81"/>
    <w:rsid w:val="6F6D49E6"/>
    <w:rsid w:val="6F79782E"/>
    <w:rsid w:val="6F8A5598"/>
    <w:rsid w:val="6FAE6F31"/>
    <w:rsid w:val="6FB70357"/>
    <w:rsid w:val="6FBE16E5"/>
    <w:rsid w:val="6FC0545D"/>
    <w:rsid w:val="6FC325D7"/>
    <w:rsid w:val="6FDA1996"/>
    <w:rsid w:val="6FF43359"/>
    <w:rsid w:val="7011371A"/>
    <w:rsid w:val="702E686B"/>
    <w:rsid w:val="703419A7"/>
    <w:rsid w:val="70457711"/>
    <w:rsid w:val="708702B5"/>
    <w:rsid w:val="709D579F"/>
    <w:rsid w:val="70A369A8"/>
    <w:rsid w:val="70A42C45"/>
    <w:rsid w:val="70A46B2D"/>
    <w:rsid w:val="70AB1C6A"/>
    <w:rsid w:val="70B623BC"/>
    <w:rsid w:val="70E94540"/>
    <w:rsid w:val="7113767A"/>
    <w:rsid w:val="711710AD"/>
    <w:rsid w:val="711C66C3"/>
    <w:rsid w:val="715C2F64"/>
    <w:rsid w:val="71A55100"/>
    <w:rsid w:val="71B314C2"/>
    <w:rsid w:val="71E13469"/>
    <w:rsid w:val="720158B9"/>
    <w:rsid w:val="721D6A37"/>
    <w:rsid w:val="72247F25"/>
    <w:rsid w:val="725D51E5"/>
    <w:rsid w:val="72693B8A"/>
    <w:rsid w:val="72A03324"/>
    <w:rsid w:val="72A72905"/>
    <w:rsid w:val="72E256EB"/>
    <w:rsid w:val="72E27499"/>
    <w:rsid w:val="72F83160"/>
    <w:rsid w:val="732950C8"/>
    <w:rsid w:val="73410663"/>
    <w:rsid w:val="735C724B"/>
    <w:rsid w:val="739B4217"/>
    <w:rsid w:val="73BE1CB4"/>
    <w:rsid w:val="73BE7F06"/>
    <w:rsid w:val="73CC7D67"/>
    <w:rsid w:val="73D72D76"/>
    <w:rsid w:val="73E6120B"/>
    <w:rsid w:val="73FE0302"/>
    <w:rsid w:val="74393A30"/>
    <w:rsid w:val="74CF1C9F"/>
    <w:rsid w:val="74D379E1"/>
    <w:rsid w:val="74DD260E"/>
    <w:rsid w:val="750B0F29"/>
    <w:rsid w:val="751F2C26"/>
    <w:rsid w:val="753F0BD2"/>
    <w:rsid w:val="75504B8E"/>
    <w:rsid w:val="756845CD"/>
    <w:rsid w:val="7568637B"/>
    <w:rsid w:val="759A2EF5"/>
    <w:rsid w:val="75B67B20"/>
    <w:rsid w:val="75C4732A"/>
    <w:rsid w:val="75FC2F67"/>
    <w:rsid w:val="762C55FB"/>
    <w:rsid w:val="765406AD"/>
    <w:rsid w:val="765B7F10"/>
    <w:rsid w:val="76674885"/>
    <w:rsid w:val="76724FD8"/>
    <w:rsid w:val="767E397C"/>
    <w:rsid w:val="769B5887"/>
    <w:rsid w:val="76D536C3"/>
    <w:rsid w:val="76FD2AF3"/>
    <w:rsid w:val="771B11CB"/>
    <w:rsid w:val="772207AC"/>
    <w:rsid w:val="77297D8C"/>
    <w:rsid w:val="77517F24"/>
    <w:rsid w:val="77536274"/>
    <w:rsid w:val="775E5C88"/>
    <w:rsid w:val="777E63ED"/>
    <w:rsid w:val="77905715"/>
    <w:rsid w:val="77B76927"/>
    <w:rsid w:val="77C41863"/>
    <w:rsid w:val="77C67389"/>
    <w:rsid w:val="77FC724F"/>
    <w:rsid w:val="78006D3F"/>
    <w:rsid w:val="78280044"/>
    <w:rsid w:val="783C764B"/>
    <w:rsid w:val="7879089F"/>
    <w:rsid w:val="78801C2E"/>
    <w:rsid w:val="789A5F5A"/>
    <w:rsid w:val="789E0306"/>
    <w:rsid w:val="78A51694"/>
    <w:rsid w:val="78C22B81"/>
    <w:rsid w:val="78C53AE4"/>
    <w:rsid w:val="78D50C3F"/>
    <w:rsid w:val="79246A5D"/>
    <w:rsid w:val="797572B9"/>
    <w:rsid w:val="797C373C"/>
    <w:rsid w:val="798E037A"/>
    <w:rsid w:val="79AE6327"/>
    <w:rsid w:val="79BE4BFC"/>
    <w:rsid w:val="79EB1329"/>
    <w:rsid w:val="79F006ED"/>
    <w:rsid w:val="7A124B07"/>
    <w:rsid w:val="7A1D455B"/>
    <w:rsid w:val="7A3E76AA"/>
    <w:rsid w:val="7A4D1061"/>
    <w:rsid w:val="7AAA5924"/>
    <w:rsid w:val="7AB468F2"/>
    <w:rsid w:val="7AC31B2E"/>
    <w:rsid w:val="7AF1471D"/>
    <w:rsid w:val="7B707D38"/>
    <w:rsid w:val="7B8C6B3B"/>
    <w:rsid w:val="7BAE6AB2"/>
    <w:rsid w:val="7BB265A2"/>
    <w:rsid w:val="7BCB7664"/>
    <w:rsid w:val="7BCC6F38"/>
    <w:rsid w:val="7BD55DED"/>
    <w:rsid w:val="7BD858DD"/>
    <w:rsid w:val="7C05632B"/>
    <w:rsid w:val="7C09018C"/>
    <w:rsid w:val="7C266648"/>
    <w:rsid w:val="7C2D6D02"/>
    <w:rsid w:val="7C646A14"/>
    <w:rsid w:val="7CEC7D69"/>
    <w:rsid w:val="7CF84488"/>
    <w:rsid w:val="7D3D4717"/>
    <w:rsid w:val="7D472D1A"/>
    <w:rsid w:val="7D6E64F9"/>
    <w:rsid w:val="7DC91981"/>
    <w:rsid w:val="7E372D8F"/>
    <w:rsid w:val="7E3F4209"/>
    <w:rsid w:val="7E7A711F"/>
    <w:rsid w:val="7E8104AE"/>
    <w:rsid w:val="7E88183C"/>
    <w:rsid w:val="7E9E2E0E"/>
    <w:rsid w:val="7EB268B9"/>
    <w:rsid w:val="7ECD54A1"/>
    <w:rsid w:val="7ECE72FC"/>
    <w:rsid w:val="7EF73C90"/>
    <w:rsid w:val="7EFC3659"/>
    <w:rsid w:val="7EFF7C24"/>
    <w:rsid w:val="7F080287"/>
    <w:rsid w:val="7F2F0CF5"/>
    <w:rsid w:val="7FA355E0"/>
    <w:rsid w:val="7FC06DB4"/>
    <w:rsid w:val="7FE504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9"/>
    <w:qFormat/>
    <w:uiPriority w:val="0"/>
    <w:pPr>
      <w:adjustRightInd w:val="0"/>
      <w:snapToGrid w:val="0"/>
      <w:spacing w:line="360" w:lineRule="auto"/>
      <w:jc w:val="center"/>
      <w:outlineLvl w:val="0"/>
    </w:pPr>
    <w:rPr>
      <w:b/>
      <w:bCs/>
      <w:kern w:val="44"/>
      <w:sz w:val="36"/>
      <w:szCs w:val="36"/>
    </w:rPr>
  </w:style>
  <w:style w:type="paragraph" w:styleId="6">
    <w:name w:val="heading 2"/>
    <w:basedOn w:val="7"/>
    <w:next w:val="1"/>
    <w:qFormat/>
    <w:uiPriority w:val="0"/>
    <w:pPr>
      <w:adjustRightInd w:val="0"/>
      <w:snapToGrid w:val="0"/>
      <w:spacing w:after="0" w:line="360" w:lineRule="auto"/>
      <w:jc w:val="center"/>
      <w:outlineLvl w:val="1"/>
    </w:pPr>
    <w:rPr>
      <w:rFonts w:ascii="宋体"/>
      <w:sz w:val="28"/>
      <w:szCs w:val="28"/>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paragraph" w:styleId="8">
    <w:name w:val="heading 4"/>
    <w:basedOn w:val="1"/>
    <w:next w:val="1"/>
    <w:qFormat/>
    <w:uiPriority w:val="0"/>
    <w:pPr>
      <w:keepNext/>
      <w:keepLines/>
      <w:widowControl w:val="0"/>
      <w:spacing w:before="280" w:after="290" w:line="377" w:lineRule="auto"/>
      <w:outlineLvl w:val="3"/>
    </w:pPr>
    <w:rPr>
      <w:rFonts w:ascii="Arial" w:hAnsi="Arial" w:eastAsia="黑体"/>
      <w:b/>
      <w:bCs/>
      <w:sz w:val="28"/>
      <w:szCs w:val="28"/>
    </w:rPr>
  </w:style>
  <w:style w:type="paragraph" w:styleId="9">
    <w:name w:val="heading 5"/>
    <w:basedOn w:val="1"/>
    <w:next w:val="1"/>
    <w:qFormat/>
    <w:uiPriority w:val="0"/>
    <w:pPr>
      <w:keepNext/>
      <w:keepLines/>
      <w:widowControl w:val="0"/>
      <w:spacing w:before="280" w:after="290" w:line="377" w:lineRule="auto"/>
      <w:outlineLvl w:val="4"/>
    </w:pPr>
    <w:rPr>
      <w:b/>
      <w:bCs/>
      <w:sz w:val="28"/>
      <w:szCs w:val="28"/>
    </w:rPr>
  </w:style>
  <w:style w:type="paragraph" w:styleId="10">
    <w:name w:val="heading 8"/>
    <w:basedOn w:val="1"/>
    <w:next w:val="1"/>
    <w:qFormat/>
    <w:uiPriority w:val="0"/>
    <w:pPr>
      <w:keepNext/>
      <w:keepLines/>
      <w:widowControl w:val="0"/>
      <w:numPr>
        <w:ilvl w:val="7"/>
        <w:numId w:val="1"/>
      </w:numPr>
      <w:spacing w:before="240" w:after="64" w:line="319" w:lineRule="auto"/>
      <w:outlineLvl w:val="7"/>
    </w:pPr>
    <w:rPr>
      <w:rFonts w:ascii="Arial" w:hAnsi="Arial" w:eastAsia="黑体"/>
      <w:sz w:val="24"/>
    </w:rPr>
  </w:style>
  <w:style w:type="character" w:default="1" w:styleId="32">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200" w:firstLineChars="200"/>
    </w:pPr>
  </w:style>
  <w:style w:type="paragraph" w:styleId="3">
    <w:name w:val="Body Text Indent"/>
    <w:basedOn w:val="1"/>
    <w:next w:val="1"/>
    <w:qFormat/>
    <w:uiPriority w:val="0"/>
    <w:pPr>
      <w:spacing w:after="120"/>
      <w:ind w:left="200" w:leftChars="200"/>
    </w:pPr>
  </w:style>
  <w:style w:type="paragraph" w:styleId="4">
    <w:name w:val="toc 2"/>
    <w:basedOn w:val="1"/>
    <w:next w:val="1"/>
    <w:qFormat/>
    <w:uiPriority w:val="0"/>
    <w:pPr>
      <w:adjustRightInd w:val="0"/>
      <w:snapToGrid w:val="0"/>
      <w:spacing w:line="288" w:lineRule="auto"/>
      <w:ind w:left="200" w:leftChars="200"/>
    </w:pPr>
  </w:style>
  <w:style w:type="paragraph" w:styleId="11">
    <w:name w:val="Normal Indent"/>
    <w:basedOn w:val="1"/>
    <w:qFormat/>
    <w:uiPriority w:val="0"/>
    <w:pPr>
      <w:ind w:firstLine="420"/>
    </w:pPr>
    <w:rPr>
      <w:sz w:val="14"/>
    </w:rPr>
  </w:style>
  <w:style w:type="paragraph" w:styleId="12">
    <w:name w:val="caption"/>
    <w:basedOn w:val="1"/>
    <w:next w:val="1"/>
    <w:qFormat/>
    <w:uiPriority w:val="0"/>
    <w:pPr>
      <w:spacing w:before="152" w:after="160"/>
    </w:pPr>
    <w:rPr>
      <w:rFonts w:ascii="Arial" w:hAnsi="Arial" w:eastAsia="黑体" w:cs="Arial"/>
      <w:sz w:val="20"/>
      <w:szCs w:val="20"/>
    </w:rPr>
  </w:style>
  <w:style w:type="paragraph" w:styleId="13">
    <w:name w:val="Document Map"/>
    <w:basedOn w:val="1"/>
    <w:qFormat/>
    <w:uiPriority w:val="0"/>
    <w:rPr>
      <w:rFonts w:ascii="微软雅黑" w:hAnsi="微软雅黑"/>
      <w:sz w:val="18"/>
      <w:szCs w:val="18"/>
    </w:rPr>
  </w:style>
  <w:style w:type="paragraph" w:styleId="14">
    <w:name w:val="annotation text"/>
    <w:basedOn w:val="1"/>
    <w:qFormat/>
    <w:uiPriority w:val="0"/>
    <w:pPr>
      <w:spacing w:after="200" w:line="276" w:lineRule="auto"/>
      <w:jc w:val="left"/>
    </w:pPr>
    <w:rPr>
      <w:kern w:val="0"/>
      <w:szCs w:val="21"/>
    </w:rPr>
  </w:style>
  <w:style w:type="paragraph" w:styleId="15">
    <w:name w:val="Body Text"/>
    <w:basedOn w:val="1"/>
    <w:next w:val="16"/>
    <w:qFormat/>
    <w:uiPriority w:val="0"/>
    <w:pPr>
      <w:spacing w:after="120"/>
    </w:pPr>
    <w:rPr>
      <w:kern w:val="0"/>
      <w:szCs w:val="21"/>
    </w:rPr>
  </w:style>
  <w:style w:type="paragraph" w:styleId="16">
    <w:name w:val="index 4"/>
    <w:basedOn w:val="1"/>
    <w:next w:val="1"/>
    <w:qFormat/>
    <w:uiPriority w:val="0"/>
    <w:pPr>
      <w:ind w:left="600" w:leftChars="600"/>
    </w:pPr>
  </w:style>
  <w:style w:type="paragraph" w:styleId="17">
    <w:name w:val="toc 3"/>
    <w:basedOn w:val="1"/>
    <w:next w:val="1"/>
    <w:qFormat/>
    <w:uiPriority w:val="0"/>
    <w:pPr>
      <w:ind w:left="400" w:leftChars="400"/>
    </w:pPr>
  </w:style>
  <w:style w:type="paragraph" w:styleId="18">
    <w:name w:val="Plain Text"/>
    <w:basedOn w:val="1"/>
    <w:qFormat/>
    <w:uiPriority w:val="0"/>
    <w:rPr>
      <w:rFonts w:ascii="宋体"/>
      <w:szCs w:val="20"/>
    </w:rPr>
  </w:style>
  <w:style w:type="paragraph" w:styleId="19">
    <w:name w:val="Date"/>
    <w:basedOn w:val="1"/>
    <w:next w:val="1"/>
    <w:qFormat/>
    <w:uiPriority w:val="0"/>
    <w:pPr>
      <w:ind w:left="2500" w:leftChars="2500"/>
    </w:pPr>
  </w:style>
  <w:style w:type="paragraph" w:styleId="20">
    <w:name w:val="Body Text Indent 2"/>
    <w:basedOn w:val="1"/>
    <w:qFormat/>
    <w:uiPriority w:val="0"/>
    <w:pPr>
      <w:spacing w:line="520" w:lineRule="exact"/>
      <w:ind w:firstLine="196" w:firstLineChars="196"/>
    </w:pPr>
    <w:rPr>
      <w:rFonts w:ascii="仿宋_GB2312" w:eastAsia="仿宋_GB2312"/>
      <w:color w:val="FF0000"/>
      <w:sz w:val="32"/>
    </w:rPr>
  </w:style>
  <w:style w:type="paragraph" w:styleId="21">
    <w:name w:val="Balloon Text"/>
    <w:basedOn w:val="1"/>
    <w:qFormat/>
    <w:uiPriority w:val="0"/>
    <w:rPr>
      <w:sz w:val="18"/>
      <w:szCs w:val="18"/>
    </w:rPr>
  </w:style>
  <w:style w:type="paragraph" w:styleId="22">
    <w:name w:val="footer"/>
    <w:basedOn w:val="1"/>
    <w:qFormat/>
    <w:uiPriority w:val="0"/>
    <w:pPr>
      <w:tabs>
        <w:tab w:val="center" w:pos="4153"/>
        <w:tab w:val="right" w:pos="8306"/>
      </w:tabs>
      <w:snapToGrid w:val="0"/>
      <w:jc w:val="left"/>
    </w:pPr>
    <w:rPr>
      <w:sz w:val="18"/>
      <w:szCs w:val="18"/>
    </w:rPr>
  </w:style>
  <w:style w:type="paragraph" w:styleId="23">
    <w:name w:val="header"/>
    <w:basedOn w:val="1"/>
    <w:next w:val="15"/>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adjustRightInd w:val="0"/>
      <w:snapToGrid w:val="0"/>
      <w:spacing w:line="312" w:lineRule="auto"/>
    </w:pPr>
    <w:rPr>
      <w:b/>
      <w:sz w:val="24"/>
    </w:rPr>
  </w:style>
  <w:style w:type="paragraph" w:styleId="25">
    <w:name w:val="toc 4"/>
    <w:basedOn w:val="1"/>
    <w:next w:val="1"/>
    <w:qFormat/>
    <w:uiPriority w:val="0"/>
    <w:pPr>
      <w:ind w:left="600" w:leftChars="600"/>
    </w:pPr>
  </w:style>
  <w:style w:type="paragraph" w:styleId="26">
    <w:name w:val="Subtitle"/>
    <w:basedOn w:val="1"/>
    <w:next w:val="1"/>
    <w:qFormat/>
    <w:uiPriority w:val="0"/>
    <w:pPr>
      <w:spacing w:before="240" w:after="60" w:line="312" w:lineRule="auto"/>
      <w:jc w:val="left"/>
      <w:outlineLvl w:val="1"/>
    </w:pPr>
    <w:rPr>
      <w:rFonts w:ascii="Cambria" w:hAnsi="Cambria"/>
      <w:bCs/>
      <w:kern w:val="28"/>
      <w:sz w:val="28"/>
      <w:szCs w:val="32"/>
    </w:rPr>
  </w:style>
  <w:style w:type="paragraph" w:styleId="27">
    <w:name w:val="footnote text"/>
    <w:basedOn w:val="1"/>
    <w:qFormat/>
    <w:uiPriority w:val="0"/>
    <w:pPr>
      <w:adjustRightInd w:val="0"/>
      <w:spacing w:line="312" w:lineRule="atLeast"/>
      <w:jc w:val="left"/>
      <w:textAlignment w:val="baseline"/>
    </w:pPr>
    <w:rPr>
      <w:kern w:val="0"/>
      <w:sz w:val="18"/>
      <w:szCs w:val="20"/>
    </w:rPr>
  </w:style>
  <w:style w:type="paragraph" w:styleId="28">
    <w:name w:val="Normal (Web)"/>
    <w:basedOn w:val="1"/>
    <w:qFormat/>
    <w:uiPriority w:val="0"/>
    <w:pPr>
      <w:widowControl/>
      <w:spacing w:before="100" w:beforeAutospacing="1" w:after="100" w:afterAutospacing="1"/>
      <w:jc w:val="left"/>
    </w:pPr>
    <w:rPr>
      <w:rFonts w:ascii="宋体"/>
      <w:kern w:val="0"/>
      <w:sz w:val="24"/>
    </w:rPr>
  </w:style>
  <w:style w:type="paragraph" w:styleId="29">
    <w:name w:val="Title"/>
    <w:basedOn w:val="1"/>
    <w:next w:val="1"/>
    <w:qFormat/>
    <w:uiPriority w:val="0"/>
    <w:pPr>
      <w:adjustRightInd w:val="0"/>
      <w:snapToGrid w:val="0"/>
      <w:jc w:val="center"/>
      <w:outlineLvl w:val="0"/>
    </w:pPr>
    <w:rPr>
      <w:rFonts w:ascii="宋体"/>
      <w:b/>
      <w:iCs/>
      <w:kern w:val="2"/>
      <w:sz w:val="36"/>
      <w:szCs w:val="20"/>
    </w:rPr>
  </w:style>
  <w:style w:type="paragraph" w:styleId="30">
    <w:name w:val="annotation subject"/>
    <w:basedOn w:val="14"/>
    <w:next w:val="14"/>
    <w:link w:val="72"/>
    <w:qFormat/>
    <w:uiPriority w:val="0"/>
    <w:pPr>
      <w:spacing w:after="0" w:line="240" w:lineRule="auto"/>
    </w:pPr>
    <w:rPr>
      <w:b/>
      <w:bCs/>
      <w:kern w:val="2"/>
      <w:szCs w:val="24"/>
    </w:rPr>
  </w:style>
  <w:style w:type="character" w:styleId="33">
    <w:name w:val="page number"/>
    <w:qFormat/>
    <w:uiPriority w:val="0"/>
  </w:style>
  <w:style w:type="character" w:styleId="34">
    <w:name w:val="FollowedHyperlink"/>
    <w:qFormat/>
    <w:uiPriority w:val="0"/>
    <w:rPr>
      <w:color w:val="800080"/>
      <w:u w:val="single"/>
    </w:rPr>
  </w:style>
  <w:style w:type="character" w:styleId="35">
    <w:name w:val="Emphasis"/>
    <w:qFormat/>
    <w:uiPriority w:val="0"/>
    <w:rPr>
      <w:rFonts w:cs="Times New Roman"/>
      <w:color w:val="auto"/>
    </w:rPr>
  </w:style>
  <w:style w:type="character" w:styleId="36">
    <w:name w:val="Hyperlink"/>
    <w:basedOn w:val="32"/>
    <w:qFormat/>
    <w:uiPriority w:val="0"/>
    <w:rPr>
      <w:rFonts w:cs="Times New Roman"/>
      <w:color w:val="1F4F88"/>
      <w:u w:val="none"/>
      <w:lang w:bidi="ar-SA"/>
    </w:rPr>
  </w:style>
  <w:style w:type="character" w:styleId="37">
    <w:name w:val="annotation reference"/>
    <w:qFormat/>
    <w:uiPriority w:val="0"/>
    <w:rPr>
      <w:sz w:val="21"/>
      <w:szCs w:val="21"/>
    </w:rPr>
  </w:style>
  <w:style w:type="paragraph" w:customStyle="1" w:styleId="38">
    <w:name w:val="列出段落1"/>
    <w:basedOn w:val="1"/>
    <w:qFormat/>
    <w:uiPriority w:val="0"/>
    <w:pPr>
      <w:ind w:firstLine="200" w:firstLineChars="200"/>
    </w:pPr>
  </w:style>
  <w:style w:type="character" w:customStyle="1" w:styleId="39">
    <w:name w:val="heading 1 Char"/>
    <w:basedOn w:val="32"/>
    <w:link w:val="5"/>
    <w:qFormat/>
    <w:uiPriority w:val="0"/>
    <w:rPr>
      <w:rFonts w:ascii="Times New Roman" w:hAnsi="Times New Roman" w:eastAsia="宋体" w:cs="Times New Roman"/>
      <w:b/>
      <w:bCs/>
      <w:kern w:val="44"/>
      <w:sz w:val="36"/>
      <w:szCs w:val="36"/>
      <w:lang w:val="en-US" w:eastAsia="zh-CN" w:bidi="ar-SA"/>
    </w:rPr>
  </w:style>
  <w:style w:type="character" w:customStyle="1" w:styleId="40">
    <w:name w:val="NormalCharacter"/>
    <w:qFormat/>
    <w:uiPriority w:val="0"/>
  </w:style>
  <w:style w:type="paragraph" w:styleId="41">
    <w:name w:val="List Paragraph"/>
    <w:basedOn w:val="1"/>
    <w:qFormat/>
    <w:uiPriority w:val="0"/>
    <w:pPr>
      <w:ind w:firstLine="200" w:firstLineChars="200"/>
    </w:pPr>
  </w:style>
  <w:style w:type="character" w:customStyle="1" w:styleId="42">
    <w:name w:val="Char Char8"/>
    <w:qFormat/>
    <w:uiPriority w:val="0"/>
    <w:rPr>
      <w:rFonts w:ascii="Times New Roman" w:hAnsi="Times New Roman" w:eastAsia="宋体" w:cs="Times New Roman"/>
      <w:szCs w:val="24"/>
      <w:lang w:bidi="ar-SA"/>
    </w:rPr>
  </w:style>
  <w:style w:type="character" w:customStyle="1" w:styleId="43">
    <w:name w:val="目录 (2) + 间距 2 pt"/>
    <w:qFormat/>
    <w:uiPriority w:val="0"/>
    <w:rPr>
      <w:rFonts w:ascii="MingLiU" w:hAnsi="MingLiU" w:eastAsia="MingLiU" w:cs="MingLiU"/>
      <w:spacing w:val="40"/>
      <w:kern w:val="2"/>
      <w:sz w:val="22"/>
      <w:shd w:val="clear" w:color="auto" w:fill="FFFFFF"/>
      <w:lang w:bidi="ar-SA"/>
    </w:rPr>
  </w:style>
  <w:style w:type="character" w:customStyle="1" w:styleId="44">
    <w:name w:val="正文文本 (9) + 间距 0 pt"/>
    <w:qFormat/>
    <w:uiPriority w:val="0"/>
    <w:rPr>
      <w:rFonts w:ascii="MingLiU" w:hAnsi="MingLiU" w:eastAsia="MingLiU" w:cs="MingLiU"/>
      <w:spacing w:val="0"/>
      <w:sz w:val="28"/>
      <w:szCs w:val="28"/>
      <w:shd w:val="clear" w:color="auto" w:fill="FFFFFF"/>
      <w:lang w:bidi="ar-SA"/>
    </w:rPr>
  </w:style>
  <w:style w:type="character" w:customStyle="1" w:styleId="45">
    <w:name w:val="txt141"/>
    <w:qFormat/>
    <w:uiPriority w:val="0"/>
    <w:rPr>
      <w:rFonts w:ascii="ˎ̥" w:hAnsi="ˎ̥"/>
      <w:color w:val="000000"/>
      <w:sz w:val="21"/>
      <w:szCs w:val="21"/>
      <w:u w:val="none"/>
    </w:rPr>
  </w:style>
  <w:style w:type="character" w:customStyle="1" w:styleId="46">
    <w:name w:val="Char Char3"/>
    <w:qFormat/>
    <w:uiPriority w:val="0"/>
    <w:rPr>
      <w:rFonts w:ascii="System" w:hAnsi="System" w:eastAsia="System"/>
      <w:sz w:val="24"/>
    </w:rPr>
  </w:style>
  <w:style w:type="character" w:customStyle="1" w:styleId="47">
    <w:name w:val="页码1"/>
    <w:qFormat/>
    <w:uiPriority w:val="0"/>
    <w:rPr>
      <w:rFonts w:cs="Times New Roman"/>
      <w:lang w:bidi="ar-SA"/>
    </w:rPr>
  </w:style>
  <w:style w:type="paragraph" w:customStyle="1" w:styleId="48">
    <w:name w:val="_Style 21"/>
    <w:basedOn w:val="3"/>
    <w:next w:val="2"/>
    <w:qFormat/>
    <w:uiPriority w:val="0"/>
    <w:pPr>
      <w:spacing w:line="276" w:lineRule="auto"/>
      <w:ind w:firstLine="200" w:firstLineChars="200"/>
      <w:jc w:val="left"/>
    </w:pPr>
    <w:rPr>
      <w:rFonts w:ascii="Calibri" w:hAnsi="Calibri"/>
    </w:rPr>
  </w:style>
  <w:style w:type="paragraph" w:customStyle="1" w:styleId="49">
    <w:name w:val="Char"/>
    <w:basedOn w:val="1"/>
    <w:qFormat/>
    <w:uiPriority w:val="0"/>
    <w:pPr>
      <w:spacing w:line="360" w:lineRule="auto"/>
      <w:ind w:firstLine="200" w:firstLineChars="200"/>
    </w:pPr>
    <w:rPr>
      <w:szCs w:val="20"/>
    </w:rPr>
  </w:style>
  <w:style w:type="paragraph" w:customStyle="1" w:styleId="50">
    <w:name w:val="Char3 Char Char1 Char Char Char Char"/>
    <w:basedOn w:val="1"/>
    <w:qFormat/>
    <w:uiPriority w:val="0"/>
    <w:rPr>
      <w:szCs w:val="20"/>
    </w:rPr>
  </w:style>
  <w:style w:type="paragraph" w:customStyle="1" w:styleId="51">
    <w:name w:val="Heading4"/>
    <w:basedOn w:val="1"/>
    <w:next w:val="1"/>
    <w:qFormat/>
    <w:uiPriority w:val="0"/>
    <w:pPr>
      <w:keepNext/>
      <w:widowControl w:val="0"/>
      <w:spacing w:before="240" w:after="60"/>
    </w:pPr>
    <w:rPr>
      <w:b/>
      <w:bCs/>
      <w:sz w:val="28"/>
      <w:szCs w:val="28"/>
    </w:rPr>
  </w:style>
  <w:style w:type="paragraph" w:customStyle="1" w:styleId="52">
    <w:name w:val="+正文"/>
    <w:basedOn w:val="1"/>
    <w:qFormat/>
    <w:uiPriority w:val="0"/>
    <w:pPr>
      <w:spacing w:line="360" w:lineRule="auto"/>
      <w:ind w:firstLine="200" w:firstLineChars="200"/>
    </w:pPr>
    <w:rPr>
      <w:sz w:val="24"/>
      <w:szCs w:val="28"/>
    </w:rPr>
  </w:style>
  <w:style w:type="paragraph" w:customStyle="1" w:styleId="53">
    <w:name w:val="Char Char Char Char Char Char1 Char Char Char Char"/>
    <w:basedOn w:val="1"/>
    <w:qFormat/>
    <w:uiPriority w:val="0"/>
    <w:pPr>
      <w:spacing w:line="360" w:lineRule="auto"/>
      <w:ind w:firstLine="200" w:firstLineChars="200"/>
    </w:pPr>
    <w:rPr>
      <w:rFonts w:ascii="宋体" w:cs="宋体"/>
      <w:sz w:val="24"/>
    </w:rPr>
  </w:style>
  <w:style w:type="paragraph" w:customStyle="1" w:styleId="54">
    <w:name w:val="UserStyle_95"/>
    <w:basedOn w:val="51"/>
    <w:qFormat/>
    <w:uiPriority w:val="0"/>
  </w:style>
  <w:style w:type="paragraph" w:customStyle="1" w:styleId="55">
    <w:name w:val="UserStyle_92"/>
    <w:basedOn w:val="1"/>
    <w:qFormat/>
    <w:uiPriority w:val="0"/>
    <w:pPr>
      <w:widowControl/>
      <w:jc w:val="left"/>
    </w:pPr>
    <w:rPr>
      <w:kern w:val="0"/>
      <w:sz w:val="24"/>
      <w:szCs w:val="21"/>
      <w:lang w:bidi="en-US"/>
    </w:rPr>
  </w:style>
  <w:style w:type="paragraph" w:customStyle="1" w:styleId="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
    <w:name w:val="_Style 5"/>
    <w:basedOn w:val="13"/>
    <w:qFormat/>
    <w:uiPriority w:val="0"/>
    <w:pPr>
      <w:shd w:val="clear" w:color="auto" w:fill="000080"/>
    </w:pPr>
    <w:rPr>
      <w:rFonts w:ascii="Tahoma" w:hAnsi="Tahoma" w:cs="Tahoma"/>
      <w:kern w:val="0"/>
    </w:rPr>
  </w:style>
  <w:style w:type="paragraph" w:customStyle="1" w:styleId="58">
    <w:name w:val="+标题2"/>
    <w:basedOn w:val="6"/>
    <w:qFormat/>
    <w:uiPriority w:val="0"/>
    <w:pPr>
      <w:keepNext w:val="0"/>
      <w:keepLines/>
      <w:widowControl w:val="0"/>
      <w:tabs>
        <w:tab w:val="left" w:pos="1151"/>
      </w:tabs>
      <w:spacing w:before="0"/>
    </w:pPr>
    <w:rPr>
      <w:rFonts w:ascii="Times New Roman" w:hAnsi="Times New Roman" w:eastAsia="MinorBidi"/>
      <w:b w:val="0"/>
      <w:i/>
      <w:iCs/>
      <w:color w:val="000000"/>
      <w:sz w:val="24"/>
    </w:rPr>
  </w:style>
  <w:style w:type="paragraph" w:customStyle="1" w:styleId="59">
    <w:name w:val="BodyText3"/>
    <w:basedOn w:val="1"/>
    <w:qFormat/>
    <w:uiPriority w:val="0"/>
    <w:pPr>
      <w:widowControl/>
      <w:spacing w:after="120"/>
      <w:jc w:val="left"/>
    </w:pPr>
    <w:rPr>
      <w:sz w:val="16"/>
      <w:szCs w:val="16"/>
    </w:rPr>
  </w:style>
  <w:style w:type="paragraph" w:customStyle="1" w:styleId="60">
    <w:name w:val="List Paragraph1"/>
    <w:basedOn w:val="1"/>
    <w:qFormat/>
    <w:uiPriority w:val="0"/>
    <w:pPr>
      <w:ind w:firstLine="200" w:firstLineChars="200"/>
    </w:pPr>
    <w:rPr>
      <w:szCs w:val="20"/>
    </w:rPr>
  </w:style>
  <w:style w:type="paragraph" w:customStyle="1" w:styleId="6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62">
    <w:name w:val="列表段落1"/>
    <w:basedOn w:val="1"/>
    <w:qFormat/>
    <w:uiPriority w:val="0"/>
    <w:pPr>
      <w:ind w:firstLine="200" w:firstLineChars="200"/>
    </w:pPr>
    <w:rPr>
      <w:szCs w:val="20"/>
    </w:rPr>
  </w:style>
  <w:style w:type="paragraph" w:customStyle="1" w:styleId="63">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64">
    <w:name w:val="样式 标题 2 + Times New Roman 四号 非加粗 段前: 5 磅 段后: 0 磅 行距: 固定值 20..."/>
    <w:basedOn w:val="6"/>
    <w:qFormat/>
    <w:uiPriority w:val="0"/>
    <w:pPr>
      <w:spacing w:before="100" w:line="400" w:lineRule="exact"/>
    </w:pPr>
    <w:rPr>
      <w:rFonts w:ascii="Times New Roman" w:hAnsi="Times New Roman" w:eastAsia="黑体" w:cs="宋体"/>
      <w:b w:val="0"/>
      <w:bCs w:val="0"/>
      <w:i/>
      <w:iCs/>
      <w:szCs w:val="20"/>
    </w:rPr>
  </w:style>
  <w:style w:type="paragraph" w:customStyle="1" w:styleId="65">
    <w:name w:val="Char Char Char Char Char Char Char Char Char Char"/>
    <w:basedOn w:val="1"/>
    <w:qFormat/>
    <w:uiPriority w:val="0"/>
    <w:rPr>
      <w:rFonts w:ascii="Tahoma" w:hAnsi="Tahoma" w:eastAsia="楷体_GB2312"/>
      <w:spacing w:val="10"/>
      <w:sz w:val="24"/>
      <w:szCs w:val="20"/>
    </w:rPr>
  </w:style>
  <w:style w:type="paragraph" w:customStyle="1" w:styleId="66">
    <w:name w:val="1"/>
    <w:basedOn w:val="1"/>
    <w:next w:val="20"/>
    <w:qFormat/>
    <w:uiPriority w:val="0"/>
    <w:pPr>
      <w:ind w:firstLine="200" w:firstLineChars="200"/>
    </w:pPr>
    <w:rPr>
      <w:rFonts w:ascii="楷体_GB2312" w:eastAsia="楷体_GB2312"/>
      <w:sz w:val="24"/>
      <w:szCs w:val="20"/>
    </w:rPr>
  </w:style>
  <w:style w:type="paragraph" w:customStyle="1" w:styleId="67">
    <w:name w:val="_Style 3"/>
    <w:basedOn w:val="1"/>
    <w:qFormat/>
    <w:uiPriority w:val="0"/>
    <w:pPr>
      <w:ind w:firstLine="200" w:firstLineChars="200"/>
    </w:pPr>
  </w:style>
  <w:style w:type="paragraph" w:customStyle="1" w:styleId="68">
    <w:name w:val="Revision"/>
    <w:qFormat/>
    <w:uiPriority w:val="0"/>
    <w:rPr>
      <w:rFonts w:ascii="Times New Roman" w:hAnsi="Times New Roman" w:eastAsia="宋体" w:cs="Times New Roman"/>
      <w:kern w:val="2"/>
      <w:sz w:val="21"/>
      <w:szCs w:val="24"/>
      <w:lang w:val="en-US" w:eastAsia="zh-CN" w:bidi="ar-SA"/>
    </w:rPr>
  </w:style>
  <w:style w:type="character" w:customStyle="1" w:styleId="69">
    <w:name w:val="Unresolved Mention"/>
    <w:basedOn w:val="32"/>
    <w:qFormat/>
    <w:uiPriority w:val="0"/>
    <w:rPr>
      <w:color w:val="605E5C"/>
      <w:shd w:val="clear" w:color="auto" w:fill="E1DFDD"/>
    </w:rPr>
  </w:style>
  <w:style w:type="paragraph" w:customStyle="1" w:styleId="7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
    <w:name w:val="标书正文"/>
    <w:basedOn w:val="18"/>
    <w:qFormat/>
    <w:uiPriority w:val="9"/>
    <w:pPr>
      <w:spacing w:line="360" w:lineRule="auto"/>
      <w:jc w:val="left"/>
    </w:pPr>
  </w:style>
  <w:style w:type="character" w:customStyle="1" w:styleId="72">
    <w:name w:val="批注主题 字符"/>
    <w:basedOn w:val="73"/>
    <w:link w:val="30"/>
    <w:qFormat/>
    <w:uiPriority w:val="0"/>
    <w:rPr>
      <w:b/>
      <w:bCs/>
      <w:kern w:val="2"/>
      <w:szCs w:val="24"/>
    </w:rPr>
  </w:style>
  <w:style w:type="character" w:customStyle="1" w:styleId="73">
    <w:name w:val="批注文字 字符"/>
    <w:qFormat/>
    <w:uiPriority w:val="0"/>
    <w:rPr>
      <w:rFonts w:eastAsia="宋体"/>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17</Pages>
  <Words>8775</Words>
  <Characters>9437</Characters>
  <Lines>0</Lines>
  <Paragraphs>811</Paragraphs>
  <TotalTime>156</TotalTime>
  <ScaleCrop>false</ScaleCrop>
  <LinksUpToDate>false</LinksUpToDate>
  <CharactersWithSpaces>9805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2023-10-25T03:24:00Z</dcterms:created>
  <dc:creator>Ge Shuting</dc:creator>
  <cp:lastModifiedBy>孙翠凤</cp:lastModifiedBy>
  <dcterms:modified xsi:type="dcterms:W3CDTF">2026-10-19T01:08:53Z</dcterms:modified>
  <cp:revision>223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9C6BB9AE83B340F1903104E8E91593F2_13</vt:lpwstr>
  </property>
  <property fmtid="{D5CDD505-2E9C-101B-9397-08002B2CF9AE}" pid="4" name="KSOTemplateDocerSaveRecord">
    <vt:lpwstr>eyJoZGlkIjoiMDBkY2Q2ZGRmN2ZkNGIwYjQyNGVmMjAyY2NiZDQ0NDYiLCJ1c2VySWQiOiIxNzY1NTI5ODgxIn0=</vt:lpwstr>
  </property>
</Properties>
</file>